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8FE07E0" w14:textId="77777777" w:rsidR="00F244C3" w:rsidRDefault="00F244C3" w:rsidP="00F244C3">
      <w:pPr>
        <w:pStyle w:val="a3"/>
        <w:spacing w:before="0" w:beforeAutospacing="0" w:after="0" w:afterAutospacing="0"/>
        <w:ind w:left="-180" w:right="-334"/>
      </w:pPr>
      <w:r>
        <w:rPr>
          <w:noProof/>
          <w:lang w:val="en-US"/>
        </w:rPr>
        <w:drawing>
          <wp:inline distT="0" distB="0" distL="0" distR="0" wp14:anchorId="5380BCA8" wp14:editId="0CD25EF0">
            <wp:extent cx="1909445" cy="634365"/>
            <wp:effectExtent l="25400" t="25400" r="20955" b="26035"/>
            <wp:docPr id="1" name="图片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09445" cy="634365"/>
                    </a:xfrm>
                    <a:prstGeom prst="rect">
                      <a:avLst/>
                    </a:prstGeom>
                    <a:noFill/>
                    <a:ln w="19050" cmpd="sng">
                      <a:solidFill>
                        <a:srgbClr val="000000"/>
                      </a:solidFill>
                      <a:miter lim="800000"/>
                      <a:headEnd/>
                      <a:tailEnd/>
                    </a:ln>
                    <a:effectLst/>
                  </pic:spPr>
                </pic:pic>
              </a:graphicData>
            </a:graphic>
          </wp:inline>
        </w:drawing>
      </w:r>
    </w:p>
    <w:p w14:paraId="748115AE" w14:textId="77777777" w:rsidR="00F244C3" w:rsidRDefault="00F244C3" w:rsidP="00F244C3">
      <w:pPr>
        <w:pStyle w:val="a3"/>
        <w:spacing w:before="0" w:beforeAutospacing="0" w:after="0" w:afterAutospacing="0"/>
        <w:ind w:left="-180" w:right="-334"/>
      </w:pPr>
    </w:p>
    <w:p w14:paraId="1729B757" w14:textId="77777777" w:rsidR="00F244C3" w:rsidRDefault="00F244C3" w:rsidP="00F244C3">
      <w:pPr>
        <w:pStyle w:val="a3"/>
        <w:spacing w:before="0" w:beforeAutospacing="0" w:after="0" w:afterAutospacing="0"/>
        <w:ind w:left="-180" w:right="-334"/>
      </w:pPr>
    </w:p>
    <w:p w14:paraId="366B3349" w14:textId="77777777" w:rsidR="00F244C3" w:rsidRDefault="00F244C3" w:rsidP="00F244C3">
      <w:pPr>
        <w:pStyle w:val="a3"/>
        <w:spacing w:before="0" w:beforeAutospacing="0" w:after="0" w:afterAutospacing="0"/>
        <w:ind w:left="-180" w:right="-334"/>
        <w:jc w:val="center"/>
        <w:rPr>
          <w:rFonts w:ascii="Arial" w:hAnsi="Arial" w:cs="Arial"/>
          <w:b/>
          <w:sz w:val="28"/>
          <w:szCs w:val="28"/>
          <w:lang w:val="cy-GB"/>
        </w:rPr>
      </w:pPr>
      <w:bookmarkStart w:id="0" w:name="_GoBack"/>
      <w:bookmarkEnd w:id="0"/>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499B5794" w14:textId="77777777" w:rsidR="00F244C3" w:rsidRPr="00230F35" w:rsidRDefault="00F244C3" w:rsidP="00F244C3">
      <w:pPr>
        <w:pStyle w:val="a3"/>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677B9D5C" w14:textId="77777777" w:rsidR="00F244C3" w:rsidRPr="00230F35" w:rsidRDefault="00F244C3" w:rsidP="00F244C3">
      <w:pPr>
        <w:rPr>
          <w:rFonts w:ascii="Arial" w:hAnsi="Arial" w:cs="Arial"/>
          <w:sz w:val="28"/>
          <w:szCs w:val="28"/>
          <w:lang w:val="cy-GB"/>
        </w:rPr>
      </w:pPr>
    </w:p>
    <w:p w14:paraId="0C50AF09" w14:textId="77777777" w:rsidR="00F244C3" w:rsidRDefault="00F244C3" w:rsidP="00F244C3">
      <w:pPr>
        <w:pStyle w:val="3"/>
        <w:jc w:val="center"/>
        <w:rPr>
          <w:lang w:val="cy-GB"/>
        </w:rPr>
      </w:pPr>
      <w:r>
        <w:rPr>
          <w:lang w:val="cy-GB"/>
        </w:rPr>
        <w:t>THIS SHEET MUST BE THE FIRST PAGE OF THE ASSIGNMENT YOU ARE SUBMITTING  (DO NOT SEND AS A SEPARATE FILE)</w:t>
      </w:r>
    </w:p>
    <w:p w14:paraId="0E57B33B" w14:textId="77777777" w:rsidR="00F244C3" w:rsidRDefault="00F244C3" w:rsidP="00F244C3">
      <w:pPr>
        <w:pStyle w:val="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528"/>
        <w:gridCol w:w="423"/>
        <w:gridCol w:w="1492"/>
        <w:gridCol w:w="286"/>
        <w:gridCol w:w="1787"/>
      </w:tblGrid>
      <w:tr w:rsidR="00F244C3" w:rsidRPr="00230F35" w14:paraId="3395886A" w14:textId="77777777" w:rsidTr="000311B7">
        <w:trPr>
          <w:trHeight w:val="614"/>
        </w:trPr>
        <w:tc>
          <w:tcPr>
            <w:tcW w:w="8856" w:type="dxa"/>
            <w:gridSpan w:val="5"/>
          </w:tcPr>
          <w:p w14:paraId="5583926F" w14:textId="77777777" w:rsidR="00F244C3" w:rsidRPr="00230F35" w:rsidRDefault="00F244C3" w:rsidP="000311B7">
            <w:pPr>
              <w:pStyle w:val="a3"/>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F244C3" w:rsidRPr="00230F35" w14:paraId="18791082" w14:textId="77777777" w:rsidTr="000311B7">
        <w:trPr>
          <w:trHeight w:val="718"/>
        </w:trPr>
        <w:tc>
          <w:tcPr>
            <w:tcW w:w="8856" w:type="dxa"/>
            <w:gridSpan w:val="5"/>
          </w:tcPr>
          <w:p w14:paraId="0A9F070E" w14:textId="77777777" w:rsidR="00F244C3" w:rsidRPr="00F37F43" w:rsidRDefault="00F244C3" w:rsidP="000311B7">
            <w:pPr>
              <w:pStyle w:val="a3"/>
              <w:spacing w:before="0" w:beforeAutospacing="0" w:after="0" w:afterAutospacing="0"/>
              <w:ind w:right="34"/>
              <w:rPr>
                <w:rFonts w:ascii="Arial" w:hAnsi="Arial" w:cs="Arial"/>
                <w:sz w:val="22"/>
                <w:szCs w:val="22"/>
                <w:lang w:val="en-US"/>
              </w:rPr>
            </w:pPr>
            <w:r w:rsidRPr="00230F35">
              <w:rPr>
                <w:rFonts w:ascii="Arial" w:hAnsi="Arial" w:cs="Arial"/>
                <w:sz w:val="22"/>
                <w:szCs w:val="22"/>
              </w:rPr>
              <w:t>Student Name:</w:t>
            </w:r>
            <w:r>
              <w:rPr>
                <w:rFonts w:ascii="Arial" w:hAnsi="Arial" w:cs="Arial" w:hint="eastAsia"/>
                <w:sz w:val="22"/>
                <w:szCs w:val="22"/>
              </w:rPr>
              <w:t xml:space="preserve"> Dan</w:t>
            </w:r>
            <w:proofErr w:type="spellStart"/>
            <w:r>
              <w:rPr>
                <w:rFonts w:ascii="Arial" w:hAnsi="Arial" w:cs="Arial"/>
                <w:sz w:val="22"/>
                <w:szCs w:val="22"/>
                <w:lang w:val="en-US"/>
              </w:rPr>
              <w:t>iel</w:t>
            </w:r>
            <w:proofErr w:type="spellEnd"/>
            <w:r>
              <w:rPr>
                <w:rFonts w:ascii="Arial" w:hAnsi="Arial" w:cs="Arial"/>
                <w:sz w:val="22"/>
                <w:szCs w:val="22"/>
                <w:lang w:val="en-US"/>
              </w:rPr>
              <w:t xml:space="preserve"> </w:t>
            </w:r>
            <w:r>
              <w:rPr>
                <w:rFonts w:ascii="Arial" w:hAnsi="Arial" w:cs="Arial" w:hint="eastAsia"/>
                <w:sz w:val="22"/>
                <w:szCs w:val="22"/>
                <w:lang w:val="en-US"/>
              </w:rPr>
              <w:t xml:space="preserve">P </w:t>
            </w:r>
            <w:proofErr w:type="spellStart"/>
            <w:r>
              <w:rPr>
                <w:rFonts w:ascii="Arial" w:hAnsi="Arial" w:cs="Arial"/>
                <w:sz w:val="22"/>
                <w:szCs w:val="22"/>
                <w:lang w:val="en-US"/>
              </w:rPr>
              <w:t>Clutton</w:t>
            </w:r>
            <w:proofErr w:type="spellEnd"/>
          </w:p>
          <w:p w14:paraId="11DE4E93" w14:textId="77777777" w:rsidR="00F244C3" w:rsidRPr="00230F35" w:rsidRDefault="00F244C3" w:rsidP="000311B7">
            <w:pPr>
              <w:pStyle w:val="a3"/>
              <w:spacing w:before="0" w:beforeAutospacing="0" w:after="0" w:afterAutospacing="0"/>
              <w:ind w:right="34"/>
              <w:rPr>
                <w:rFonts w:ascii="Arial" w:hAnsi="Arial" w:cs="Arial"/>
                <w:sz w:val="22"/>
                <w:szCs w:val="22"/>
              </w:rPr>
            </w:pPr>
          </w:p>
        </w:tc>
      </w:tr>
      <w:tr w:rsidR="00F244C3" w:rsidRPr="00230F35" w14:paraId="69E80D17" w14:textId="77777777" w:rsidTr="000311B7">
        <w:trPr>
          <w:trHeight w:val="849"/>
        </w:trPr>
        <w:tc>
          <w:tcPr>
            <w:tcW w:w="4788" w:type="dxa"/>
          </w:tcPr>
          <w:p w14:paraId="777AFA0E" w14:textId="77777777" w:rsidR="00F244C3" w:rsidRPr="00225891" w:rsidRDefault="00F244C3" w:rsidP="000311B7">
            <w:pPr>
              <w:pStyle w:val="a3"/>
              <w:spacing w:before="0" w:beforeAutospacing="0" w:after="0" w:afterAutospacing="0"/>
              <w:ind w:right="34"/>
              <w:rPr>
                <w:rFonts w:ascii="Arial" w:hAnsi="Arial" w:cs="Arial"/>
                <w:sz w:val="22"/>
                <w:szCs w:val="22"/>
                <w:lang w:val="en-US"/>
              </w:rPr>
            </w:pPr>
            <w:r w:rsidRPr="00230F35">
              <w:rPr>
                <w:rFonts w:ascii="Arial" w:hAnsi="Arial" w:cs="Arial"/>
                <w:sz w:val="22"/>
                <w:szCs w:val="22"/>
              </w:rPr>
              <w:t>Module code:</w:t>
            </w:r>
            <w:r>
              <w:rPr>
                <w:rFonts w:ascii="Arial" w:hAnsi="Arial" w:cs="Arial"/>
                <w:sz w:val="22"/>
                <w:szCs w:val="22"/>
              </w:rPr>
              <w:t xml:space="preserve"> </w:t>
            </w:r>
            <w:r>
              <w:rPr>
                <w:rFonts w:ascii="Arial" w:hAnsi="Arial" w:cs="Arial" w:hint="eastAsia"/>
                <w:sz w:val="22"/>
                <w:szCs w:val="22"/>
              </w:rPr>
              <w:t>CY</w:t>
            </w:r>
            <w:r>
              <w:rPr>
                <w:rFonts w:ascii="Arial" w:hAnsi="Arial" w:cs="Arial"/>
                <w:sz w:val="22"/>
                <w:szCs w:val="22"/>
                <w:lang w:val="en-US"/>
              </w:rPr>
              <w:t>CS7015</w:t>
            </w:r>
          </w:p>
          <w:p w14:paraId="43D7D915" w14:textId="77777777" w:rsidR="00F244C3" w:rsidRPr="00230F35" w:rsidRDefault="00F244C3" w:rsidP="000311B7">
            <w:pPr>
              <w:pStyle w:val="a3"/>
              <w:spacing w:before="0" w:beforeAutospacing="0" w:after="0" w:afterAutospacing="0"/>
              <w:ind w:right="34"/>
              <w:rPr>
                <w:rFonts w:ascii="Arial" w:hAnsi="Arial" w:cs="Arial"/>
                <w:sz w:val="22"/>
                <w:szCs w:val="22"/>
              </w:rPr>
            </w:pPr>
          </w:p>
          <w:p w14:paraId="4AAFC6FB" w14:textId="77777777" w:rsidR="00F244C3" w:rsidRDefault="00F244C3" w:rsidP="000311B7">
            <w:pPr>
              <w:pStyle w:val="a3"/>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Y MABINOGI</w:t>
            </w:r>
          </w:p>
          <w:p w14:paraId="5471688B" w14:textId="77777777" w:rsidR="00F244C3" w:rsidRDefault="00F244C3" w:rsidP="000311B7">
            <w:pPr>
              <w:pStyle w:val="a3"/>
              <w:spacing w:before="0" w:beforeAutospacing="0" w:after="0" w:afterAutospacing="0"/>
              <w:ind w:right="34"/>
              <w:rPr>
                <w:rFonts w:ascii="Arial" w:hAnsi="Arial" w:cs="Arial"/>
                <w:sz w:val="22"/>
                <w:szCs w:val="22"/>
              </w:rPr>
            </w:pPr>
          </w:p>
          <w:p w14:paraId="1DC482C7" w14:textId="77777777" w:rsidR="00F244C3" w:rsidRPr="00230F35" w:rsidRDefault="00F244C3" w:rsidP="000311B7">
            <w:pPr>
              <w:pStyle w:val="a3"/>
              <w:spacing w:before="0" w:beforeAutospacing="0" w:after="0" w:afterAutospacing="0"/>
              <w:ind w:right="34"/>
              <w:rPr>
                <w:rFonts w:ascii="Arial" w:hAnsi="Arial" w:cs="Arial"/>
                <w:sz w:val="22"/>
                <w:szCs w:val="22"/>
              </w:rPr>
            </w:pPr>
          </w:p>
        </w:tc>
        <w:tc>
          <w:tcPr>
            <w:tcW w:w="2266" w:type="dxa"/>
            <w:gridSpan w:val="3"/>
          </w:tcPr>
          <w:p w14:paraId="16D9BD73" w14:textId="77777777" w:rsidR="00F244C3" w:rsidRDefault="00F244C3" w:rsidP="000311B7">
            <w:pPr>
              <w:pStyle w:val="a3"/>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3A459E3F" w14:textId="77777777" w:rsidR="00F244C3" w:rsidRPr="00230F35" w:rsidRDefault="00F244C3" w:rsidP="000311B7">
            <w:pPr>
              <w:pStyle w:val="a3"/>
              <w:spacing w:before="0" w:beforeAutospacing="0" w:after="0" w:afterAutospacing="0"/>
              <w:ind w:right="34"/>
              <w:rPr>
                <w:rFonts w:ascii="Arial" w:hAnsi="Arial" w:cs="Arial"/>
                <w:sz w:val="22"/>
                <w:szCs w:val="22"/>
              </w:rPr>
            </w:pPr>
            <w:r>
              <w:rPr>
                <w:rFonts w:ascii="Arial" w:hAnsi="Arial" w:cs="Arial"/>
                <w:sz w:val="22"/>
                <w:szCs w:val="22"/>
              </w:rPr>
              <w:t>1807567</w:t>
            </w:r>
          </w:p>
        </w:tc>
        <w:tc>
          <w:tcPr>
            <w:tcW w:w="1802" w:type="dxa"/>
          </w:tcPr>
          <w:p w14:paraId="1BD4BCF1" w14:textId="77777777" w:rsidR="00F244C3" w:rsidRPr="00230F35" w:rsidRDefault="00F244C3" w:rsidP="000311B7">
            <w:pPr>
              <w:pStyle w:val="a3"/>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4B612C29" w14:textId="77777777" w:rsidR="00F244C3" w:rsidRPr="00230F35" w:rsidRDefault="00F244C3" w:rsidP="000311B7">
            <w:pPr>
              <w:pStyle w:val="a3"/>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F244C3" w:rsidRPr="00230F35" w14:paraId="36E72D21" w14:textId="77777777" w:rsidTr="000311B7">
        <w:trPr>
          <w:trHeight w:val="1139"/>
        </w:trPr>
        <w:tc>
          <w:tcPr>
            <w:tcW w:w="8856" w:type="dxa"/>
            <w:gridSpan w:val="5"/>
          </w:tcPr>
          <w:p w14:paraId="064B104A" w14:textId="77777777" w:rsidR="00F244C3" w:rsidRPr="00230F35" w:rsidRDefault="00F244C3" w:rsidP="000311B7">
            <w:pPr>
              <w:pStyle w:val="a3"/>
              <w:spacing w:before="0" w:beforeAutospacing="0" w:after="0" w:afterAutospacing="0"/>
              <w:ind w:right="34"/>
              <w:rPr>
                <w:rFonts w:ascii="Arial" w:hAnsi="Arial" w:cs="Arial"/>
                <w:sz w:val="22"/>
                <w:szCs w:val="22"/>
              </w:rPr>
            </w:pPr>
            <w:r>
              <w:rPr>
                <w:rFonts w:ascii="Arial" w:hAnsi="Arial" w:cs="Arial"/>
                <w:sz w:val="22"/>
                <w:szCs w:val="22"/>
              </w:rPr>
              <w:t>Module tutor: Jane Cartwright</w:t>
            </w:r>
          </w:p>
          <w:p w14:paraId="08BC8DB3" w14:textId="77777777" w:rsidR="00F244C3" w:rsidRPr="00230F35" w:rsidRDefault="00F244C3" w:rsidP="000311B7">
            <w:pPr>
              <w:pStyle w:val="a3"/>
              <w:spacing w:before="0" w:beforeAutospacing="0" w:after="0" w:afterAutospacing="0"/>
              <w:ind w:right="34"/>
              <w:rPr>
                <w:rFonts w:ascii="Arial" w:hAnsi="Arial" w:cs="Arial"/>
                <w:sz w:val="22"/>
                <w:szCs w:val="22"/>
              </w:rPr>
            </w:pPr>
          </w:p>
          <w:p w14:paraId="4494C2F3" w14:textId="77777777" w:rsidR="00F244C3" w:rsidRDefault="00F244C3" w:rsidP="000311B7">
            <w:pPr>
              <w:pStyle w:val="a3"/>
              <w:spacing w:before="0" w:beforeAutospacing="0" w:after="0" w:afterAutospacing="0"/>
              <w:ind w:right="34"/>
              <w:rPr>
                <w:rFonts w:ascii="Arial" w:hAnsi="Arial" w:cs="Arial"/>
                <w:sz w:val="22"/>
                <w:szCs w:val="22"/>
              </w:rPr>
            </w:pPr>
          </w:p>
          <w:p w14:paraId="1A07C397" w14:textId="7C802BD3" w:rsidR="00F244C3" w:rsidRPr="00230F35" w:rsidRDefault="00F244C3" w:rsidP="000311B7">
            <w:pPr>
              <w:pStyle w:val="a3"/>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8F3857">
              <w:rPr>
                <w:rFonts w:ascii="Arial" w:hAnsi="Arial" w:cs="Arial"/>
                <w:sz w:val="22"/>
                <w:szCs w:val="22"/>
              </w:rPr>
              <w:t xml:space="preserve"> 06.01.2020</w:t>
            </w:r>
          </w:p>
        </w:tc>
      </w:tr>
      <w:tr w:rsidR="00F244C3" w:rsidRPr="00230F35" w14:paraId="21B212F3" w14:textId="77777777" w:rsidTr="000311B7">
        <w:trPr>
          <w:trHeight w:val="978"/>
        </w:trPr>
        <w:tc>
          <w:tcPr>
            <w:tcW w:w="8856" w:type="dxa"/>
            <w:gridSpan w:val="5"/>
            <w:tcBorders>
              <w:bottom w:val="single" w:sz="4" w:space="0" w:color="000000"/>
            </w:tcBorders>
          </w:tcPr>
          <w:p w14:paraId="5DBB2A72" w14:textId="77777777" w:rsidR="00F244C3" w:rsidRDefault="00F244C3" w:rsidP="000311B7">
            <w:pPr>
              <w:rPr>
                <w:rFonts w:ascii="Arial" w:hAnsi="Arial" w:cs="Arial"/>
                <w:sz w:val="22"/>
                <w:szCs w:val="22"/>
              </w:rPr>
            </w:pPr>
            <w:r>
              <w:rPr>
                <w:rFonts w:ascii="Arial" w:hAnsi="Arial" w:cs="Arial"/>
                <w:sz w:val="22"/>
                <w:szCs w:val="22"/>
              </w:rPr>
              <w:t>If your module has multiple submissions please indicate which piece of work this is.</w:t>
            </w:r>
          </w:p>
          <w:p w14:paraId="705840FC" w14:textId="77777777" w:rsidR="00F244C3" w:rsidRDefault="00F244C3" w:rsidP="000311B7">
            <w:pPr>
              <w:rPr>
                <w:rFonts w:ascii="Arial" w:hAnsi="Arial" w:cs="Arial"/>
                <w:sz w:val="22"/>
                <w:szCs w:val="22"/>
              </w:rPr>
            </w:pPr>
          </w:p>
          <w:p w14:paraId="04C20121" w14:textId="27FD15F0" w:rsidR="00F244C3" w:rsidRPr="00230F35" w:rsidRDefault="00F244C3" w:rsidP="00F244C3">
            <w:pPr>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st</w:t>
            </w:r>
            <w:r w:rsidRPr="00230F35">
              <w:rPr>
                <w:rFonts w:ascii="Arial" w:hAnsi="Arial" w:cs="Arial"/>
                <w:sz w:val="22"/>
                <w:szCs w:val="22"/>
              </w:rPr>
              <w:fldChar w:fldCharType="begin">
                <w:ffData>
                  <w:name w:val="Check14"/>
                  <w:enabled/>
                  <w:calcOnExit w:val="0"/>
                  <w:checkBox>
                    <w:sizeAuto/>
                    <w:default w:val="0"/>
                  </w:checkBox>
                </w:ffData>
              </w:fldChar>
            </w:r>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proofErr w:type="gramStart"/>
            <w:r w:rsidRPr="00230F35">
              <w:rPr>
                <w:rFonts w:ascii="Arial" w:hAnsi="Arial" w:cs="Arial"/>
                <w:sz w:val="22"/>
                <w:szCs w:val="22"/>
              </w:rPr>
              <w:t xml:space="preserve"> </w:t>
            </w:r>
            <w:r>
              <w:rPr>
                <w:rFonts w:ascii="Arial" w:hAnsi="Arial" w:cs="Arial"/>
                <w:sz w:val="22"/>
                <w:szCs w:val="22"/>
              </w:rPr>
              <w:t xml:space="preserve"> </w:t>
            </w:r>
            <w:r w:rsidRPr="00230F35">
              <w:rPr>
                <w:rFonts w:ascii="Arial" w:hAnsi="Arial" w:cs="Arial"/>
                <w:sz w:val="22"/>
                <w:szCs w:val="22"/>
              </w:rPr>
              <w:t>2</w:t>
            </w:r>
            <w:r w:rsidRPr="00230F35">
              <w:rPr>
                <w:rFonts w:ascii="Arial" w:hAnsi="Arial" w:cs="Arial"/>
                <w:sz w:val="22"/>
                <w:szCs w:val="22"/>
                <w:vertAlign w:val="superscript"/>
              </w:rPr>
              <w:t>nd</w:t>
            </w:r>
            <w:r w:rsidRPr="00F37F43">
              <w:rPr>
                <w:rFonts w:ascii="Wingdings" w:hAnsi="Wingdings" w:cs="Arial"/>
                <w:sz w:val="28"/>
                <w:szCs w:val="22"/>
                <w:highlight w:val="lightGray"/>
              </w:rPr>
              <w:t></w:t>
            </w:r>
            <w:proofErr w:type="gramEnd"/>
            <w:r w:rsidRPr="00230F35">
              <w:rPr>
                <w:rFonts w:ascii="Arial" w:hAnsi="Arial" w:cs="Arial"/>
                <w:sz w:val="22"/>
                <w:szCs w:val="22"/>
              </w:rPr>
              <w:t xml:space="preserve">    </w:t>
            </w:r>
          </w:p>
        </w:tc>
      </w:tr>
      <w:tr w:rsidR="00F244C3" w:rsidRPr="00230F35" w14:paraId="64BB2097" w14:textId="77777777" w:rsidTr="000311B7">
        <w:trPr>
          <w:trHeight w:val="978"/>
        </w:trPr>
        <w:tc>
          <w:tcPr>
            <w:tcW w:w="8856" w:type="dxa"/>
            <w:gridSpan w:val="5"/>
            <w:shd w:val="clear" w:color="auto" w:fill="D9D9D9"/>
          </w:tcPr>
          <w:p w14:paraId="478DC473" w14:textId="77777777" w:rsidR="00F244C3" w:rsidRPr="00230F35" w:rsidRDefault="00F244C3" w:rsidP="000311B7">
            <w:pPr>
              <w:pStyle w:val="a3"/>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24B65741" w14:textId="77777777" w:rsidR="00F244C3" w:rsidRDefault="00F244C3" w:rsidP="000311B7">
            <w:pPr>
              <w:pStyle w:val="a3"/>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023E2C89" w14:textId="77777777" w:rsidR="00F244C3" w:rsidRDefault="00F244C3" w:rsidP="000311B7">
            <w:pPr>
              <w:pStyle w:val="a3"/>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Pr="00F37F43">
              <w:rPr>
                <w:rFonts w:ascii="Wingdings" w:hAnsi="Wingdings" w:cs="Arial"/>
                <w:sz w:val="28"/>
                <w:szCs w:val="22"/>
                <w:highlight w:val="lightGray"/>
              </w:rPr>
              <w:t></w:t>
            </w:r>
          </w:p>
          <w:p w14:paraId="263F4808" w14:textId="77777777" w:rsidR="00F244C3" w:rsidRPr="00230F35" w:rsidRDefault="00F244C3" w:rsidP="000311B7">
            <w:pPr>
              <w:pStyle w:val="a3"/>
              <w:spacing w:before="0" w:beforeAutospacing="0" w:after="0" w:afterAutospacing="0"/>
              <w:ind w:right="34"/>
              <w:rPr>
                <w:rFonts w:ascii="Arial" w:hAnsi="Arial" w:cs="Arial"/>
                <w:sz w:val="22"/>
                <w:szCs w:val="22"/>
              </w:rPr>
            </w:pPr>
            <w:r>
              <w:rPr>
                <w:rFonts w:ascii="Calibri" w:hAnsi="Calibri" w:cs="Tahoma"/>
                <w:b/>
                <w:sz w:val="24"/>
                <w:szCs w:val="24"/>
              </w:rPr>
              <w:t>(</w:t>
            </w:r>
            <w:proofErr w:type="gramStart"/>
            <w:r>
              <w:rPr>
                <w:rFonts w:ascii="Calibri" w:hAnsi="Calibri" w:cs="Tahoma"/>
                <w:b/>
                <w:sz w:val="24"/>
                <w:szCs w:val="24"/>
              </w:rPr>
              <w:t>as</w:t>
            </w:r>
            <w:proofErr w:type="gramEnd"/>
            <w:r>
              <w:rPr>
                <w:rFonts w:ascii="Calibri" w:hAnsi="Calibri" w:cs="Tahoma"/>
                <w:b/>
                <w:sz w:val="24"/>
                <w:szCs w:val="24"/>
              </w:rPr>
              <w:t xml:space="preserve"> a substitute for your signature) to confirm that you agree to the above declaration.</w:t>
            </w:r>
          </w:p>
        </w:tc>
      </w:tr>
      <w:tr w:rsidR="00F244C3" w:rsidRPr="00230F35" w14:paraId="1C186993" w14:textId="77777777" w:rsidTr="000311B7">
        <w:trPr>
          <w:trHeight w:val="3972"/>
        </w:trPr>
        <w:tc>
          <w:tcPr>
            <w:tcW w:w="8856" w:type="dxa"/>
            <w:gridSpan w:val="5"/>
          </w:tcPr>
          <w:p w14:paraId="79DE2ED9" w14:textId="77777777" w:rsidR="00F244C3" w:rsidRDefault="00F244C3" w:rsidP="000311B7">
            <w:pPr>
              <w:rPr>
                <w:rFonts w:ascii="Arial" w:hAnsi="Arial"/>
                <w:b/>
              </w:rPr>
            </w:pPr>
          </w:p>
          <w:p w14:paraId="5BB82D8C" w14:textId="77777777" w:rsidR="00F244C3" w:rsidRPr="00116CE6" w:rsidRDefault="00F244C3" w:rsidP="000311B7">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707"/>
              <w:gridCol w:w="1583"/>
            </w:tblGrid>
            <w:tr w:rsidR="00F244C3" w:rsidRPr="00116CE6" w14:paraId="395201D4" w14:textId="77777777" w:rsidTr="000311B7">
              <w:tc>
                <w:tcPr>
                  <w:tcW w:w="6970" w:type="dxa"/>
                </w:tcPr>
                <w:p w14:paraId="43B8314C" w14:textId="77777777" w:rsidR="00F244C3" w:rsidRPr="00116CE6" w:rsidRDefault="00F244C3" w:rsidP="000311B7">
                  <w:pPr>
                    <w:rPr>
                      <w:rFonts w:ascii="Arial" w:hAnsi="Arial"/>
                      <w:sz w:val="20"/>
                      <w:szCs w:val="20"/>
                    </w:rPr>
                  </w:pPr>
                </w:p>
                <w:p w14:paraId="0C47F77F" w14:textId="77777777" w:rsidR="00F244C3" w:rsidRPr="00116CE6" w:rsidRDefault="00F244C3" w:rsidP="000311B7">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3FEE702B" w14:textId="77777777" w:rsidR="00F244C3" w:rsidRPr="00116CE6" w:rsidRDefault="00F244C3" w:rsidP="000311B7">
                  <w:pPr>
                    <w:rPr>
                      <w:rFonts w:ascii="Arial" w:hAnsi="Arial"/>
                      <w:sz w:val="20"/>
                      <w:szCs w:val="20"/>
                    </w:rPr>
                  </w:pPr>
                </w:p>
              </w:tc>
            </w:tr>
            <w:tr w:rsidR="00F244C3" w:rsidRPr="00116CE6" w14:paraId="55969666" w14:textId="77777777" w:rsidTr="000311B7">
              <w:tc>
                <w:tcPr>
                  <w:tcW w:w="6970" w:type="dxa"/>
                </w:tcPr>
                <w:p w14:paraId="1A1D048D" w14:textId="77777777" w:rsidR="00F244C3" w:rsidRPr="00116CE6" w:rsidRDefault="00F244C3" w:rsidP="000311B7">
                  <w:pPr>
                    <w:rPr>
                      <w:rFonts w:ascii="Arial" w:hAnsi="Arial"/>
                      <w:sz w:val="20"/>
                      <w:szCs w:val="20"/>
                    </w:rPr>
                  </w:pPr>
                </w:p>
                <w:p w14:paraId="6644433A" w14:textId="77777777" w:rsidR="00F244C3" w:rsidRPr="00116CE6" w:rsidRDefault="00F244C3" w:rsidP="000311B7">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63D3F623" w14:textId="77777777" w:rsidR="00F244C3" w:rsidRPr="00116CE6" w:rsidRDefault="00F244C3" w:rsidP="000311B7">
                  <w:pPr>
                    <w:rPr>
                      <w:rFonts w:ascii="Arial" w:hAnsi="Arial"/>
                      <w:sz w:val="20"/>
                      <w:szCs w:val="20"/>
                    </w:rPr>
                  </w:pPr>
                </w:p>
              </w:tc>
            </w:tr>
            <w:tr w:rsidR="00F244C3" w:rsidRPr="00116CE6" w14:paraId="73A3C686" w14:textId="77777777" w:rsidTr="000311B7">
              <w:tc>
                <w:tcPr>
                  <w:tcW w:w="6970" w:type="dxa"/>
                </w:tcPr>
                <w:p w14:paraId="0D14A04C" w14:textId="77777777" w:rsidR="00F244C3" w:rsidRPr="00116CE6" w:rsidRDefault="00F244C3" w:rsidP="000311B7">
                  <w:pPr>
                    <w:rPr>
                      <w:rFonts w:ascii="Arial" w:hAnsi="Arial"/>
                      <w:sz w:val="20"/>
                      <w:szCs w:val="20"/>
                    </w:rPr>
                  </w:pPr>
                </w:p>
                <w:p w14:paraId="6B5643E5" w14:textId="77777777" w:rsidR="00F244C3" w:rsidRPr="00116CE6" w:rsidRDefault="00F244C3" w:rsidP="000311B7">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6777A28C" w14:textId="77777777" w:rsidR="00F244C3" w:rsidRPr="00116CE6" w:rsidRDefault="00F244C3" w:rsidP="000311B7">
                  <w:pPr>
                    <w:rPr>
                      <w:rFonts w:ascii="Arial" w:hAnsi="Arial"/>
                      <w:sz w:val="20"/>
                      <w:szCs w:val="20"/>
                    </w:rPr>
                  </w:pPr>
                </w:p>
              </w:tc>
            </w:tr>
            <w:tr w:rsidR="00F244C3" w:rsidRPr="00116CE6" w14:paraId="2E27AB02" w14:textId="77777777" w:rsidTr="000311B7">
              <w:tc>
                <w:tcPr>
                  <w:tcW w:w="6970" w:type="dxa"/>
                </w:tcPr>
                <w:p w14:paraId="6D03F192" w14:textId="77777777" w:rsidR="00F244C3" w:rsidRDefault="00F244C3" w:rsidP="000311B7">
                  <w:pPr>
                    <w:rPr>
                      <w:rFonts w:ascii="Arial" w:hAnsi="Arial"/>
                      <w:sz w:val="20"/>
                      <w:szCs w:val="20"/>
                    </w:rPr>
                  </w:pPr>
                </w:p>
                <w:p w14:paraId="4B5767A6" w14:textId="77777777" w:rsidR="00F244C3" w:rsidRPr="00022345" w:rsidRDefault="00F244C3" w:rsidP="000311B7">
                  <w:pPr>
                    <w:rPr>
                      <w:rFonts w:ascii="Arial" w:hAnsi="Arial"/>
                      <w:b/>
                      <w:sz w:val="20"/>
                      <w:szCs w:val="20"/>
                    </w:rPr>
                  </w:pPr>
                  <w:r w:rsidRPr="00022345">
                    <w:rPr>
                      <w:rFonts w:ascii="Arial" w:hAnsi="Arial"/>
                      <w:b/>
                      <w:sz w:val="20"/>
                      <w:szCs w:val="20"/>
                    </w:rPr>
                    <w:t>Final Mark</w:t>
                  </w:r>
                </w:p>
                <w:p w14:paraId="73301DA6" w14:textId="77777777" w:rsidR="00F244C3" w:rsidRPr="00116CE6" w:rsidRDefault="00F244C3" w:rsidP="000311B7">
                  <w:pPr>
                    <w:rPr>
                      <w:rFonts w:ascii="Arial" w:hAnsi="Arial"/>
                      <w:sz w:val="20"/>
                      <w:szCs w:val="20"/>
                    </w:rPr>
                  </w:pPr>
                </w:p>
              </w:tc>
              <w:tc>
                <w:tcPr>
                  <w:tcW w:w="1660" w:type="dxa"/>
                </w:tcPr>
                <w:p w14:paraId="17EE5B0C" w14:textId="77777777" w:rsidR="00F244C3" w:rsidRPr="00116CE6" w:rsidRDefault="00F244C3" w:rsidP="000311B7">
                  <w:pPr>
                    <w:rPr>
                      <w:rFonts w:ascii="Arial" w:hAnsi="Arial"/>
                      <w:sz w:val="20"/>
                      <w:szCs w:val="20"/>
                    </w:rPr>
                  </w:pPr>
                </w:p>
              </w:tc>
            </w:tr>
          </w:tbl>
          <w:p w14:paraId="42D848CA" w14:textId="77777777" w:rsidR="00F244C3" w:rsidRDefault="00F244C3" w:rsidP="000311B7">
            <w:pPr>
              <w:pStyle w:val="a3"/>
              <w:spacing w:before="0" w:beforeAutospacing="0" w:after="0" w:afterAutospacing="0"/>
              <w:ind w:left="142" w:right="34"/>
              <w:rPr>
                <w:rFonts w:ascii="Arial" w:hAnsi="Arial" w:cs="Arial"/>
                <w:b/>
                <w:sz w:val="22"/>
                <w:szCs w:val="22"/>
              </w:rPr>
            </w:pPr>
          </w:p>
          <w:p w14:paraId="7E6D37C8" w14:textId="77777777" w:rsidR="00F244C3" w:rsidRPr="00230F35" w:rsidRDefault="00F244C3" w:rsidP="000311B7">
            <w:pPr>
              <w:pStyle w:val="a3"/>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3F020205" w14:textId="77777777" w:rsidR="00F244C3" w:rsidRDefault="00F244C3" w:rsidP="000311B7">
            <w:pPr>
              <w:pStyle w:val="a3"/>
              <w:spacing w:before="0" w:beforeAutospacing="0" w:after="0" w:afterAutospacing="0"/>
              <w:rPr>
                <w:rFonts w:ascii="Arial" w:hAnsi="Arial" w:cs="Arial"/>
                <w:b/>
                <w:sz w:val="22"/>
                <w:szCs w:val="22"/>
              </w:rPr>
            </w:pPr>
          </w:p>
          <w:p w14:paraId="4B145827" w14:textId="77777777" w:rsidR="00F244C3" w:rsidRDefault="00F244C3" w:rsidP="000311B7">
            <w:pPr>
              <w:pStyle w:val="a3"/>
              <w:spacing w:before="0" w:beforeAutospacing="0" w:after="0" w:afterAutospacing="0"/>
              <w:rPr>
                <w:rFonts w:ascii="Arial" w:hAnsi="Arial" w:cs="Arial"/>
                <w:b/>
                <w:sz w:val="22"/>
                <w:szCs w:val="22"/>
              </w:rPr>
            </w:pPr>
          </w:p>
          <w:p w14:paraId="66869DF1" w14:textId="77777777" w:rsidR="00F244C3" w:rsidRDefault="00F244C3" w:rsidP="000311B7">
            <w:pPr>
              <w:pStyle w:val="a3"/>
              <w:spacing w:before="0" w:beforeAutospacing="0" w:after="0" w:afterAutospacing="0"/>
              <w:rPr>
                <w:rFonts w:ascii="Arial" w:hAnsi="Arial" w:cs="Arial"/>
                <w:b/>
                <w:sz w:val="22"/>
                <w:szCs w:val="22"/>
              </w:rPr>
            </w:pPr>
          </w:p>
          <w:p w14:paraId="55661538" w14:textId="77777777" w:rsidR="00F244C3" w:rsidRDefault="00F244C3" w:rsidP="000311B7">
            <w:pPr>
              <w:pStyle w:val="a3"/>
              <w:spacing w:before="0" w:beforeAutospacing="0" w:after="0" w:afterAutospacing="0"/>
              <w:rPr>
                <w:rFonts w:ascii="Arial" w:hAnsi="Arial" w:cs="Arial"/>
                <w:b/>
                <w:sz w:val="22"/>
                <w:szCs w:val="22"/>
              </w:rPr>
            </w:pPr>
          </w:p>
          <w:p w14:paraId="4848EA0C" w14:textId="77777777" w:rsidR="00F244C3" w:rsidRDefault="00F244C3" w:rsidP="000311B7">
            <w:pPr>
              <w:pStyle w:val="a3"/>
              <w:spacing w:before="0" w:beforeAutospacing="0" w:after="0" w:afterAutospacing="0"/>
              <w:rPr>
                <w:rFonts w:ascii="Arial" w:hAnsi="Arial" w:cs="Arial"/>
                <w:b/>
                <w:sz w:val="22"/>
                <w:szCs w:val="22"/>
              </w:rPr>
            </w:pPr>
          </w:p>
          <w:p w14:paraId="3047ACFF" w14:textId="77777777" w:rsidR="00F244C3" w:rsidRPr="00230F35" w:rsidRDefault="00F244C3" w:rsidP="000311B7">
            <w:pPr>
              <w:pStyle w:val="a3"/>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48C475EC" w14:textId="77777777" w:rsidR="00F244C3" w:rsidRDefault="00F244C3" w:rsidP="000311B7">
            <w:pPr>
              <w:pStyle w:val="a3"/>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33ECBCEC" w14:textId="77777777" w:rsidR="00F244C3" w:rsidRPr="00001C3B" w:rsidRDefault="00F244C3" w:rsidP="000311B7">
            <w:pPr>
              <w:pStyle w:val="a3"/>
              <w:rPr>
                <w:rFonts w:ascii="Arial" w:hAnsi="Arial" w:cs="Arial"/>
                <w:sz w:val="22"/>
                <w:szCs w:val="22"/>
              </w:rPr>
            </w:pPr>
          </w:p>
        </w:tc>
      </w:tr>
      <w:tr w:rsidR="00F244C3" w:rsidRPr="00230F35" w14:paraId="672AEF42" w14:textId="77777777" w:rsidTr="000311B7">
        <w:trPr>
          <w:trHeight w:val="492"/>
        </w:trPr>
        <w:tc>
          <w:tcPr>
            <w:tcW w:w="6768" w:type="dxa"/>
            <w:gridSpan w:val="3"/>
          </w:tcPr>
          <w:p w14:paraId="6F96FCF3" w14:textId="77777777" w:rsidR="00F244C3" w:rsidRPr="00230F35" w:rsidRDefault="00F244C3" w:rsidP="000311B7">
            <w:pPr>
              <w:pStyle w:val="a3"/>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0E72DA3C" w14:textId="77777777" w:rsidR="00F244C3" w:rsidRPr="00230F35" w:rsidRDefault="00F244C3" w:rsidP="000311B7">
            <w:pPr>
              <w:pStyle w:val="a3"/>
              <w:spacing w:after="0"/>
              <w:ind w:left="142" w:right="34"/>
              <w:rPr>
                <w:rFonts w:ascii="Arial" w:hAnsi="Arial" w:cs="Arial"/>
                <w:sz w:val="22"/>
                <w:szCs w:val="22"/>
              </w:rPr>
            </w:pPr>
            <w:r w:rsidRPr="00230F35">
              <w:rPr>
                <w:rFonts w:ascii="Arial" w:hAnsi="Arial" w:cs="Arial"/>
                <w:sz w:val="22"/>
                <w:szCs w:val="22"/>
              </w:rPr>
              <w:t>Date:</w:t>
            </w:r>
          </w:p>
        </w:tc>
      </w:tr>
      <w:tr w:rsidR="00F244C3" w:rsidRPr="002F467C" w14:paraId="7F92A601" w14:textId="77777777" w:rsidTr="000311B7">
        <w:tc>
          <w:tcPr>
            <w:tcW w:w="8856" w:type="dxa"/>
            <w:gridSpan w:val="5"/>
          </w:tcPr>
          <w:p w14:paraId="7529B168" w14:textId="77777777" w:rsidR="00F244C3" w:rsidRPr="00230F35" w:rsidRDefault="00F244C3" w:rsidP="000311B7">
            <w:pPr>
              <w:pStyle w:val="a3"/>
              <w:spacing w:before="0" w:beforeAutospacing="0" w:after="0" w:afterAutospacing="0"/>
              <w:ind w:right="-334"/>
              <w:rPr>
                <w:rFonts w:ascii="Arial" w:hAnsi="Arial" w:cs="Arial"/>
                <w:bCs/>
                <w:i/>
                <w:sz w:val="22"/>
                <w:szCs w:val="22"/>
              </w:rPr>
            </w:pPr>
          </w:p>
          <w:p w14:paraId="5B87DB57" w14:textId="77777777" w:rsidR="00F244C3" w:rsidRPr="00230F35" w:rsidRDefault="00F244C3" w:rsidP="000311B7">
            <w:pPr>
              <w:pStyle w:val="a3"/>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05F67C7D" w14:textId="77777777" w:rsidR="00F244C3" w:rsidRPr="00230F35" w:rsidRDefault="00F244C3" w:rsidP="000311B7">
            <w:pPr>
              <w:pStyle w:val="a3"/>
              <w:spacing w:before="0" w:beforeAutospacing="0" w:after="0" w:afterAutospacing="0"/>
              <w:ind w:right="-334"/>
              <w:rPr>
                <w:rFonts w:ascii="Arial" w:hAnsi="Arial" w:cs="Arial"/>
                <w:b/>
                <w:bCs/>
                <w:sz w:val="22"/>
                <w:szCs w:val="22"/>
              </w:rPr>
            </w:pPr>
          </w:p>
          <w:p w14:paraId="5C127FC1" w14:textId="77777777" w:rsidR="00F244C3" w:rsidRPr="00230F35" w:rsidRDefault="00F244C3" w:rsidP="000311B7">
            <w:pPr>
              <w:pStyle w:val="a3"/>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4CBBFFBB" w14:textId="77777777" w:rsidR="00F244C3" w:rsidRPr="00230F35" w:rsidRDefault="00F244C3" w:rsidP="000311B7">
            <w:pPr>
              <w:pStyle w:val="a3"/>
              <w:spacing w:before="0" w:beforeAutospacing="0" w:after="0" w:afterAutospacing="0"/>
              <w:ind w:right="-334"/>
              <w:rPr>
                <w:rFonts w:ascii="Arial" w:hAnsi="Arial" w:cs="Arial"/>
                <w:bCs/>
                <w:sz w:val="22"/>
                <w:szCs w:val="22"/>
              </w:rPr>
            </w:pPr>
          </w:p>
          <w:p w14:paraId="634E82FF" w14:textId="77777777" w:rsidR="00F244C3" w:rsidRPr="00230F35" w:rsidRDefault="00F244C3" w:rsidP="000311B7">
            <w:pPr>
              <w:pStyle w:val="a3"/>
              <w:spacing w:before="0" w:beforeAutospacing="0" w:after="0" w:afterAutospacing="0"/>
              <w:ind w:right="-334"/>
              <w:rPr>
                <w:rFonts w:ascii="Arial" w:hAnsi="Arial" w:cs="Arial"/>
                <w:bCs/>
                <w:sz w:val="22"/>
                <w:szCs w:val="22"/>
              </w:rPr>
            </w:pPr>
          </w:p>
          <w:p w14:paraId="56045736" w14:textId="77777777" w:rsidR="00F244C3" w:rsidRPr="00230F35" w:rsidRDefault="00F244C3" w:rsidP="000311B7">
            <w:pPr>
              <w:pStyle w:val="a3"/>
              <w:spacing w:before="0" w:beforeAutospacing="0" w:after="0" w:afterAutospacing="0"/>
              <w:ind w:right="-334"/>
              <w:rPr>
                <w:rFonts w:ascii="Arial" w:hAnsi="Arial" w:cs="Arial"/>
                <w:bCs/>
                <w:sz w:val="22"/>
                <w:szCs w:val="22"/>
              </w:rPr>
            </w:pPr>
          </w:p>
        </w:tc>
      </w:tr>
      <w:tr w:rsidR="00F244C3" w:rsidRPr="002F467C" w14:paraId="76DE16E5" w14:textId="77777777" w:rsidTr="000311B7">
        <w:trPr>
          <w:trHeight w:val="720"/>
        </w:trPr>
        <w:tc>
          <w:tcPr>
            <w:tcW w:w="5211" w:type="dxa"/>
            <w:gridSpan w:val="2"/>
          </w:tcPr>
          <w:p w14:paraId="37F76A14" w14:textId="77777777" w:rsidR="00F244C3" w:rsidRPr="00230F35" w:rsidRDefault="00F244C3" w:rsidP="000311B7">
            <w:pPr>
              <w:pStyle w:val="a3"/>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29AD4288" w14:textId="77777777" w:rsidR="00F244C3" w:rsidRPr="00230F35" w:rsidRDefault="00F244C3" w:rsidP="000311B7">
            <w:pPr>
              <w:pStyle w:val="a3"/>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F244C3" w:rsidRPr="002F467C" w14:paraId="4183FB6C" w14:textId="77777777" w:rsidTr="000311B7">
        <w:trPr>
          <w:trHeight w:val="720"/>
        </w:trPr>
        <w:tc>
          <w:tcPr>
            <w:tcW w:w="8856" w:type="dxa"/>
            <w:gridSpan w:val="5"/>
          </w:tcPr>
          <w:p w14:paraId="412157F0" w14:textId="77777777" w:rsidR="00F244C3" w:rsidRPr="00B34964" w:rsidRDefault="00F244C3" w:rsidP="000311B7">
            <w:pPr>
              <w:rPr>
                <w:rFonts w:ascii="Arial" w:hAnsi="Arial" w:cs="Arial"/>
                <w:b/>
                <w:sz w:val="22"/>
                <w:szCs w:val="22"/>
              </w:rPr>
            </w:pPr>
            <w:r w:rsidRPr="00B34964">
              <w:rPr>
                <w:rFonts w:ascii="Arial" w:hAnsi="Arial" w:cs="Arial"/>
                <w:b/>
                <w:sz w:val="22"/>
                <w:szCs w:val="22"/>
              </w:rPr>
              <w:t>External Examiner’s comments (if relevant)</w:t>
            </w:r>
          </w:p>
          <w:p w14:paraId="373758B2" w14:textId="77777777" w:rsidR="00F244C3" w:rsidRPr="00230F35" w:rsidRDefault="00F244C3" w:rsidP="000311B7">
            <w:pPr>
              <w:pStyle w:val="a3"/>
              <w:spacing w:before="0" w:beforeAutospacing="0" w:after="0" w:afterAutospacing="0"/>
              <w:ind w:right="-334"/>
              <w:rPr>
                <w:rFonts w:ascii="Arial" w:hAnsi="Arial" w:cs="Arial"/>
                <w:bCs/>
                <w:sz w:val="22"/>
                <w:szCs w:val="22"/>
              </w:rPr>
            </w:pPr>
          </w:p>
          <w:p w14:paraId="61527B94" w14:textId="77777777" w:rsidR="00F244C3" w:rsidRPr="00230F35" w:rsidRDefault="00F244C3" w:rsidP="000311B7">
            <w:pPr>
              <w:pStyle w:val="a3"/>
              <w:spacing w:before="0" w:beforeAutospacing="0" w:after="0" w:afterAutospacing="0"/>
              <w:ind w:right="-334"/>
              <w:rPr>
                <w:rFonts w:ascii="Arial" w:hAnsi="Arial" w:cs="Arial"/>
                <w:bCs/>
                <w:sz w:val="22"/>
                <w:szCs w:val="22"/>
              </w:rPr>
            </w:pPr>
          </w:p>
          <w:p w14:paraId="345BD194" w14:textId="77777777" w:rsidR="00F244C3" w:rsidRPr="00230F35" w:rsidRDefault="00F244C3" w:rsidP="000311B7">
            <w:pPr>
              <w:pStyle w:val="a3"/>
              <w:spacing w:before="0" w:beforeAutospacing="0" w:after="0" w:afterAutospacing="0"/>
              <w:ind w:right="-334"/>
              <w:rPr>
                <w:rFonts w:ascii="Arial" w:hAnsi="Arial" w:cs="Arial"/>
                <w:bCs/>
                <w:sz w:val="22"/>
                <w:szCs w:val="22"/>
              </w:rPr>
            </w:pPr>
          </w:p>
        </w:tc>
      </w:tr>
      <w:tr w:rsidR="00F244C3" w:rsidRPr="002F467C" w14:paraId="40BB9D14" w14:textId="77777777" w:rsidTr="000311B7">
        <w:trPr>
          <w:trHeight w:val="720"/>
        </w:trPr>
        <w:tc>
          <w:tcPr>
            <w:tcW w:w="5211" w:type="dxa"/>
            <w:gridSpan w:val="2"/>
          </w:tcPr>
          <w:p w14:paraId="7F514435" w14:textId="77777777" w:rsidR="00F244C3" w:rsidRPr="00230F35" w:rsidRDefault="00F244C3" w:rsidP="000311B7">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6BB2AD9F" w14:textId="77777777" w:rsidR="00F244C3" w:rsidRPr="00230F35" w:rsidRDefault="00F244C3" w:rsidP="000311B7">
            <w:pPr>
              <w:rPr>
                <w:rFonts w:ascii="Arial" w:hAnsi="Arial" w:cs="Arial"/>
                <w:sz w:val="22"/>
                <w:szCs w:val="22"/>
              </w:rPr>
            </w:pPr>
            <w:r w:rsidRPr="00230F35">
              <w:rPr>
                <w:rFonts w:ascii="Arial" w:hAnsi="Arial" w:cs="Arial"/>
                <w:sz w:val="22"/>
                <w:szCs w:val="22"/>
              </w:rPr>
              <w:t>Date:</w:t>
            </w:r>
          </w:p>
        </w:tc>
      </w:tr>
    </w:tbl>
    <w:p w14:paraId="7885ECE4" w14:textId="77777777" w:rsidR="00F244C3" w:rsidRPr="00D67BF8" w:rsidRDefault="00F244C3" w:rsidP="00F244C3">
      <w:pPr>
        <w:pStyle w:val="a3"/>
        <w:spacing w:before="0" w:beforeAutospacing="0" w:after="0" w:afterAutospacing="0"/>
        <w:ind w:right="-334"/>
        <w:rPr>
          <w:rFonts w:ascii="Trebuchet MS" w:hAnsi="Trebuchet MS" w:cs="Tahoma"/>
          <w:bCs/>
          <w:sz w:val="24"/>
          <w:szCs w:val="24"/>
        </w:rPr>
      </w:pPr>
    </w:p>
    <w:p w14:paraId="44DDE4DC" w14:textId="77777777" w:rsidR="00F244C3" w:rsidRDefault="00F244C3" w:rsidP="00F244C3">
      <w:pPr>
        <w:rPr>
          <w:u w:val="single"/>
        </w:rPr>
      </w:pPr>
    </w:p>
    <w:p w14:paraId="0FA1937B" w14:textId="77777777" w:rsidR="00F244C3" w:rsidRDefault="00F244C3" w:rsidP="00F244C3">
      <w:pPr>
        <w:rPr>
          <w:u w:val="single"/>
        </w:rPr>
      </w:pPr>
    </w:p>
    <w:p w14:paraId="44A39B11" w14:textId="77777777" w:rsidR="00F244C3" w:rsidRDefault="00F244C3" w:rsidP="00F244C3">
      <w:pPr>
        <w:rPr>
          <w:u w:val="single"/>
        </w:rPr>
      </w:pPr>
    </w:p>
    <w:p w14:paraId="49E2885C" w14:textId="77777777" w:rsidR="00FD4D3B" w:rsidRPr="00E61602" w:rsidRDefault="00FD4D3B" w:rsidP="00FD4D3B">
      <w:pPr>
        <w:widowControl/>
        <w:jc w:val="left"/>
        <w:rPr>
          <w:rFonts w:ascii="宋体" w:eastAsia="宋体" w:hAnsi="宋体" w:cs="Times New Roman"/>
          <w:b/>
          <w:i/>
          <w:kern w:val="0"/>
          <w:sz w:val="20"/>
          <w:szCs w:val="20"/>
        </w:rPr>
      </w:pPr>
      <w:r w:rsidRPr="00E61602">
        <w:rPr>
          <w:rFonts w:ascii="Helvetica Neue" w:eastAsia="宋体" w:hAnsi="Helvetica Neue" w:cs="Times New Roman"/>
          <w:b/>
          <w:i/>
          <w:color w:val="373A3C"/>
          <w:kern w:val="0"/>
          <w:sz w:val="23"/>
          <w:szCs w:val="23"/>
          <w:shd w:val="clear" w:color="auto" w:fill="FFFFFF"/>
        </w:rPr>
        <w:t>According to John K. Bollard: ‘One key to understanding the </w:t>
      </w:r>
      <w:proofErr w:type="spellStart"/>
      <w:r w:rsidRPr="00E61602">
        <w:rPr>
          <w:rFonts w:ascii="Helvetica Neue" w:eastAsia="宋体" w:hAnsi="Helvetica Neue" w:cs="Times New Roman"/>
          <w:b/>
          <w:i/>
          <w:iCs/>
          <w:color w:val="373A3C"/>
          <w:kern w:val="0"/>
          <w:sz w:val="23"/>
          <w:szCs w:val="23"/>
          <w:shd w:val="clear" w:color="auto" w:fill="FFFFFF"/>
        </w:rPr>
        <w:t>Mabinogi</w:t>
      </w:r>
      <w:proofErr w:type="spellEnd"/>
      <w:r w:rsidRPr="00E61602">
        <w:rPr>
          <w:rFonts w:ascii="Helvetica Neue" w:eastAsia="宋体" w:hAnsi="Helvetica Neue" w:cs="Times New Roman"/>
          <w:b/>
          <w:i/>
          <w:color w:val="373A3C"/>
          <w:kern w:val="0"/>
          <w:sz w:val="23"/>
          <w:szCs w:val="23"/>
          <w:shd w:val="clear" w:color="auto" w:fill="FFFFFF"/>
        </w:rPr>
        <w:t xml:space="preserve"> is to recognize that it probes issues of importance to all of us, most especially the matter of distinguishing between right and wrong and behaving accordingly.’ Discuss with reference to the Four Branches of the </w:t>
      </w:r>
      <w:proofErr w:type="spellStart"/>
      <w:r w:rsidRPr="00E61602">
        <w:rPr>
          <w:rFonts w:ascii="Helvetica Neue" w:eastAsia="宋体" w:hAnsi="Helvetica Neue" w:cs="Times New Roman"/>
          <w:b/>
          <w:i/>
          <w:color w:val="373A3C"/>
          <w:kern w:val="0"/>
          <w:sz w:val="23"/>
          <w:szCs w:val="23"/>
          <w:shd w:val="clear" w:color="auto" w:fill="FFFFFF"/>
        </w:rPr>
        <w:t>Mabinogi</w:t>
      </w:r>
      <w:proofErr w:type="spellEnd"/>
      <w:r w:rsidRPr="00E61602">
        <w:rPr>
          <w:rFonts w:ascii="Helvetica Neue" w:eastAsia="宋体" w:hAnsi="Helvetica Neue" w:cs="Times New Roman"/>
          <w:b/>
          <w:i/>
          <w:color w:val="373A3C"/>
          <w:kern w:val="0"/>
          <w:sz w:val="23"/>
          <w:szCs w:val="23"/>
          <w:shd w:val="clear" w:color="auto" w:fill="FFFFFF"/>
        </w:rPr>
        <w:t>.</w:t>
      </w:r>
    </w:p>
    <w:p w14:paraId="12961C7F" w14:textId="77777777" w:rsidR="00197EB6" w:rsidRDefault="00197EB6"/>
    <w:p w14:paraId="38EFCA80" w14:textId="77777777" w:rsidR="00282676" w:rsidRDefault="00282676">
      <w:pPr>
        <w:rPr>
          <w:b/>
        </w:rPr>
      </w:pPr>
    </w:p>
    <w:p w14:paraId="4A3AA9A0" w14:textId="10C2FAE8" w:rsidR="00573C7F" w:rsidRDefault="002E22EE">
      <w:r>
        <w:t xml:space="preserve">The </w:t>
      </w:r>
      <w:proofErr w:type="spellStart"/>
      <w:r>
        <w:t>Mabinogi</w:t>
      </w:r>
      <w:proofErr w:type="spellEnd"/>
      <w:r>
        <w:t xml:space="preserve"> is a much praised but also much debated piece of medieval Welsh literature. From the time of Lady Charlotte Guest’s English translations in the mid-19</w:t>
      </w:r>
      <w:r w:rsidRPr="002E22EE">
        <w:rPr>
          <w:vertAlign w:val="superscript"/>
        </w:rPr>
        <w:t>th</w:t>
      </w:r>
      <w:r>
        <w:t xml:space="preserve"> century onwards, interest in these mysterious and ma</w:t>
      </w:r>
      <w:r w:rsidR="00282676">
        <w:t xml:space="preserve">rvelous tales has resulted in a huge volume </w:t>
      </w:r>
      <w:r>
        <w:t xml:space="preserve">of comment and criticism. </w:t>
      </w:r>
      <w:proofErr w:type="gramStart"/>
      <w:r w:rsidR="00414FB7">
        <w:t>The</w:t>
      </w:r>
      <w:r>
        <w:t xml:space="preserve"> has</w:t>
      </w:r>
      <w:proofErr w:type="gramEnd"/>
      <w:r>
        <w:t xml:space="preserve"> invited many different intellectual appro</w:t>
      </w:r>
      <w:r w:rsidR="00282676">
        <w:t xml:space="preserve">aches and been used as a key </w:t>
      </w:r>
      <w:r>
        <w:t xml:space="preserve">text for several distinct schools of thought. </w:t>
      </w:r>
    </w:p>
    <w:p w14:paraId="1EF7138A" w14:textId="77777777" w:rsidR="00573C7F" w:rsidRDefault="00573C7F"/>
    <w:p w14:paraId="18EE5AF7" w14:textId="73323131" w:rsidR="00573C7F" w:rsidRDefault="002E22EE">
      <w:r>
        <w:t xml:space="preserve">Early critics searched for the holy grail of the underlying meaning, what we might </w:t>
      </w:r>
      <w:r w:rsidR="00282676">
        <w:t xml:space="preserve">perhaps </w:t>
      </w:r>
      <w:r>
        <w:t xml:space="preserve">call the </w:t>
      </w:r>
      <w:r w:rsidR="00282676">
        <w:t>‘</w:t>
      </w:r>
      <w:r>
        <w:t>origins</w:t>
      </w:r>
      <w:r w:rsidR="00282676">
        <w:t>’</w:t>
      </w:r>
      <w:r>
        <w:t xml:space="preserve"> interpretation, which </w:t>
      </w:r>
      <w:r w:rsidR="00282676">
        <w:t>did not concern itself too</w:t>
      </w:r>
      <w:r>
        <w:t xml:space="preserve"> </w:t>
      </w:r>
      <w:r w:rsidR="00282676">
        <w:t>much with the context of the</w:t>
      </w:r>
      <w:r>
        <w:t xml:space="preserve"> text itself, instead focusing o</w:t>
      </w:r>
      <w:r w:rsidR="00FF2EC4">
        <w:t>n myth and folklore to find the</w:t>
      </w:r>
      <w:r w:rsidR="00282676">
        <w:t xml:space="preserve"> supposed ‘original’</w:t>
      </w:r>
      <w:r>
        <w:t xml:space="preserve"> precursors for the m</w:t>
      </w:r>
      <w:r w:rsidR="00FF2EC4">
        <w:t xml:space="preserve">yriad events in the </w:t>
      </w:r>
      <w:proofErr w:type="spellStart"/>
      <w:r w:rsidR="00FF2EC4">
        <w:t>Mabinogi</w:t>
      </w:r>
      <w:proofErr w:type="spellEnd"/>
      <w:r w:rsidR="00FF2EC4">
        <w:t xml:space="preserve">. Some adherents to such an approach linked these origins to early Welsh culture and saw the </w:t>
      </w:r>
      <w:proofErr w:type="spellStart"/>
      <w:r w:rsidR="00FF2EC4">
        <w:t>Mabinogi</w:t>
      </w:r>
      <w:proofErr w:type="spellEnd"/>
      <w:r w:rsidR="00FF2EC4">
        <w:t xml:space="preserve"> as</w:t>
      </w:r>
      <w:r w:rsidR="00573C7F">
        <w:t xml:space="preserve"> a crucial work for assertin</w:t>
      </w:r>
      <w:r w:rsidR="008B58DB">
        <w:t xml:space="preserve">g a vision of Welsh culture or </w:t>
      </w:r>
      <w:proofErr w:type="spellStart"/>
      <w:r w:rsidR="008B58DB">
        <w:t>C</w:t>
      </w:r>
      <w:r w:rsidR="00573C7F">
        <w:t>elticism</w:t>
      </w:r>
      <w:proofErr w:type="spellEnd"/>
      <w:r w:rsidR="00573C7F">
        <w:t xml:space="preserve">. Others even took a more radical position, arguing that the abundance of supernatural and ritualistic events in the </w:t>
      </w:r>
      <w:r w:rsidR="008B58DB">
        <w:t>text</w:t>
      </w:r>
      <w:r w:rsidR="00573C7F">
        <w:t xml:space="preserve"> </w:t>
      </w:r>
      <w:proofErr w:type="gramStart"/>
      <w:r w:rsidR="00573C7F">
        <w:t>are</w:t>
      </w:r>
      <w:proofErr w:type="gramEnd"/>
      <w:r w:rsidR="00573C7F">
        <w:t xml:space="preserve"> reflections of primitivism. Some, like </w:t>
      </w:r>
      <w:proofErr w:type="spellStart"/>
      <w:r w:rsidR="00573C7F">
        <w:t>Gruffydd</w:t>
      </w:r>
      <w:proofErr w:type="spellEnd"/>
      <w:r w:rsidR="00573C7F">
        <w:t xml:space="preserve">, saw the primitive and the contemporary coming together in the </w:t>
      </w:r>
      <w:proofErr w:type="spellStart"/>
      <w:r w:rsidR="00573C7F">
        <w:t>Mabinogi</w:t>
      </w:r>
      <w:proofErr w:type="spellEnd"/>
      <w:r w:rsidR="00573C7F">
        <w:t xml:space="preserve">. The connecting strand of all these different approaches was that the ‘author’ of the </w:t>
      </w:r>
      <w:proofErr w:type="spellStart"/>
      <w:r w:rsidR="00573C7F">
        <w:t>Mabinogi</w:t>
      </w:r>
      <w:proofErr w:type="spellEnd"/>
      <w:r w:rsidR="00573C7F">
        <w:t xml:space="preserve"> was firmly looking backwards, almost hypnotized by the past, the weight of tradition or folklore almost moving the pen for him. The status of the </w:t>
      </w:r>
      <w:proofErr w:type="spellStart"/>
      <w:r w:rsidR="00573C7F">
        <w:t>Mabinogi</w:t>
      </w:r>
      <w:proofErr w:type="spellEnd"/>
      <w:r w:rsidR="00573C7F">
        <w:t xml:space="preserve"> as a sophisticated and distinct work of literature was somewhat muted as a result.</w:t>
      </w:r>
    </w:p>
    <w:p w14:paraId="1530E635" w14:textId="77777777" w:rsidR="00573C7F" w:rsidRDefault="00573C7F"/>
    <w:p w14:paraId="5AF64D4D" w14:textId="3AF36C3D" w:rsidR="00573C7F" w:rsidRDefault="00573C7F">
      <w:r>
        <w:t xml:space="preserve">From the </w:t>
      </w:r>
      <w:r w:rsidR="009507FB">
        <w:rPr>
          <w:rFonts w:hint="eastAsia"/>
        </w:rPr>
        <w:t>last third</w:t>
      </w:r>
      <w:r w:rsidR="009507FB">
        <w:t xml:space="preserve"> of the</w:t>
      </w:r>
      <w:r>
        <w:t xml:space="preserve"> twentieth century onwards, there</w:t>
      </w:r>
      <w:r w:rsidR="008B58DB">
        <w:t xml:space="preserve"> has been much revision of the</w:t>
      </w:r>
      <w:r>
        <w:t xml:space="preserve"> </w:t>
      </w:r>
      <w:r w:rsidR="008B58DB">
        <w:t>origins approach</w:t>
      </w:r>
      <w:r>
        <w:t xml:space="preserve"> to the </w:t>
      </w:r>
      <w:proofErr w:type="spellStart"/>
      <w:r>
        <w:t>Mabinogi</w:t>
      </w:r>
      <w:proofErr w:type="spellEnd"/>
      <w:r>
        <w:t>. Starting with th</w:t>
      </w:r>
      <w:r w:rsidR="006D0DB4">
        <w:t>e work of John K</w:t>
      </w:r>
      <w:r w:rsidR="008B58DB">
        <w:t>.</w:t>
      </w:r>
      <w:r w:rsidR="006D0DB4">
        <w:t xml:space="preserve"> Bollard, cr</w:t>
      </w:r>
      <w:r w:rsidR="006D0DB4">
        <w:rPr>
          <w:rFonts w:hint="eastAsia"/>
        </w:rPr>
        <w:t>i</w:t>
      </w:r>
      <w:r w:rsidR="006D0DB4">
        <w:t>tic</w:t>
      </w:r>
      <w:r>
        <w:t>s have turned their attention to a much closer reading of the text itself</w:t>
      </w:r>
      <w:r w:rsidR="008B5667">
        <w:t xml:space="preserve">. Rather than being a vessel for channeling ancient culture, critics such as Bollard argue that the </w:t>
      </w:r>
      <w:proofErr w:type="spellStart"/>
      <w:r w:rsidR="008B5667">
        <w:t>Mabinogi</w:t>
      </w:r>
      <w:proofErr w:type="spellEnd"/>
      <w:r w:rsidR="008B5667">
        <w:t xml:space="preserve"> was composed by a single author as a unified and coherent piece of writing with a definite message. Rather than focusing on the past, the writer of the </w:t>
      </w:r>
      <w:proofErr w:type="spellStart"/>
      <w:r w:rsidR="008B5667">
        <w:t>Mabinogi</w:t>
      </w:r>
      <w:proofErr w:type="spellEnd"/>
      <w:r w:rsidR="008B5667">
        <w:t xml:space="preserve"> was composing the work with a contemporary audience and contemporary concerns firmly in mind. Bollard, as the quotation at the beginning of this essay confirms, sees the work as a kind of moral guide</w:t>
      </w:r>
      <w:r w:rsidR="006E7DB3">
        <w:t xml:space="preserve"> for </w:t>
      </w:r>
      <w:r w:rsidR="008B58DB">
        <w:t>medieval</w:t>
      </w:r>
      <w:r w:rsidR="006E7DB3">
        <w:t xml:space="preserve"> readers. This is a plausible interpretation, given that the writer was probably a clergyman and would obviously have been deeply concerned about the moral </w:t>
      </w:r>
      <w:r w:rsidR="008B58DB">
        <w:t>well being</w:t>
      </w:r>
      <w:r w:rsidR="006E7DB3">
        <w:t xml:space="preserve"> of his audience. However, critics have challenged Bollard’s reading of the four branches, offering alternative approaches. Most notably, Helen Fulton has argued that the </w:t>
      </w:r>
      <w:proofErr w:type="spellStart"/>
      <w:r w:rsidR="006E7DB3">
        <w:t>Mabinogi</w:t>
      </w:r>
      <w:proofErr w:type="spellEnd"/>
      <w:r w:rsidR="006E7DB3">
        <w:t xml:space="preserve"> did indeed have a didactic function, but that it was concerned with the education of princes in the </w:t>
      </w:r>
      <w:r w:rsidR="006E7DB3" w:rsidRPr="00E61602">
        <w:rPr>
          <w:i/>
        </w:rPr>
        <w:t xml:space="preserve">speculum </w:t>
      </w:r>
      <w:proofErr w:type="spellStart"/>
      <w:r w:rsidR="006E7DB3" w:rsidRPr="00E61602">
        <w:rPr>
          <w:i/>
        </w:rPr>
        <w:t>principum</w:t>
      </w:r>
      <w:proofErr w:type="spellEnd"/>
      <w:r w:rsidR="006E7DB3">
        <w:t xml:space="preserve"> tradition.</w:t>
      </w:r>
    </w:p>
    <w:p w14:paraId="581645C2" w14:textId="77777777" w:rsidR="00E47319" w:rsidRDefault="00E47319"/>
    <w:p w14:paraId="7125925F" w14:textId="1FD8F7C2" w:rsidR="006E7DB3" w:rsidRDefault="006E7DB3">
      <w:r>
        <w:t xml:space="preserve">In this essay, we will </w:t>
      </w:r>
      <w:r w:rsidR="00BC2D37">
        <w:t xml:space="preserve">consider the various approaches to the </w:t>
      </w:r>
      <w:proofErr w:type="spellStart"/>
      <w:r w:rsidR="00BC2D37">
        <w:t>Mabinogi</w:t>
      </w:r>
      <w:proofErr w:type="spellEnd"/>
      <w:r w:rsidR="00BC2D37">
        <w:t xml:space="preserve"> that have helped frame the ongoing debate. I hope to show that there is value to be taken from all the different interpretations, even if they may seem to be contradictory at first. As with every work of literature, the reader approaches with his own set of ideas, expectations and prejudices. </w:t>
      </w:r>
      <w:r w:rsidR="005563BA">
        <w:t xml:space="preserve">Bollard’s core idea is that the </w:t>
      </w:r>
      <w:proofErr w:type="spellStart"/>
      <w:r w:rsidR="005563BA">
        <w:t>Mabinogi</w:t>
      </w:r>
      <w:proofErr w:type="spellEnd"/>
      <w:r w:rsidR="005563BA">
        <w:t xml:space="preserve"> has a clear thematic purpose.</w:t>
      </w:r>
      <w:r w:rsidR="006B2957">
        <w:rPr>
          <w:rStyle w:val="a8"/>
        </w:rPr>
        <w:footnoteReference w:id="1"/>
      </w:r>
      <w:r w:rsidR="005563BA">
        <w:t xml:space="preserve"> We will consider several different approaches to the work and then comment on whether such a thematic reading of the </w:t>
      </w:r>
      <w:proofErr w:type="spellStart"/>
      <w:r w:rsidR="005563BA">
        <w:t>Mabinogi</w:t>
      </w:r>
      <w:proofErr w:type="spellEnd"/>
      <w:r w:rsidR="005563BA">
        <w:t xml:space="preserve"> is sustainable and convincing.</w:t>
      </w:r>
    </w:p>
    <w:p w14:paraId="2B6D89F2" w14:textId="77777777" w:rsidR="00573C7F" w:rsidRDefault="00573C7F"/>
    <w:p w14:paraId="63709FA0" w14:textId="0EBFAEED" w:rsidR="00FD7EAC" w:rsidRDefault="005563BA">
      <w:r>
        <w:t xml:space="preserve">One of the most important </w:t>
      </w:r>
      <w:r w:rsidR="002F3049">
        <w:t xml:space="preserve">early </w:t>
      </w:r>
      <w:r w:rsidR="00874B9C">
        <w:t>twentieth century</w:t>
      </w:r>
      <w:r>
        <w:t xml:space="preserve"> critics of the </w:t>
      </w:r>
      <w:proofErr w:type="spellStart"/>
      <w:r>
        <w:t>Mabinogi</w:t>
      </w:r>
      <w:proofErr w:type="spellEnd"/>
      <w:r>
        <w:t xml:space="preserve"> was </w:t>
      </w:r>
      <w:r w:rsidR="00874B9C">
        <w:t xml:space="preserve">W.J. </w:t>
      </w:r>
      <w:proofErr w:type="spellStart"/>
      <w:r>
        <w:t>Gruffydd</w:t>
      </w:r>
      <w:proofErr w:type="spellEnd"/>
      <w:r>
        <w:t xml:space="preserve">. </w:t>
      </w:r>
      <w:proofErr w:type="spellStart"/>
      <w:r w:rsidR="00874B9C">
        <w:t>Gruffydd</w:t>
      </w:r>
      <w:proofErr w:type="spellEnd"/>
      <w:r w:rsidR="00874B9C">
        <w:t xml:space="preserve"> was a leading British folklorist, heavily indebted to the ideas of the German folklore scholar Mul</w:t>
      </w:r>
      <w:r w:rsidR="002F3049">
        <w:t xml:space="preserve">ler. </w:t>
      </w:r>
      <w:proofErr w:type="spellStart"/>
      <w:r w:rsidR="002F3049">
        <w:t>Gruffydd</w:t>
      </w:r>
      <w:proofErr w:type="spellEnd"/>
      <w:r w:rsidR="002F3049">
        <w:t xml:space="preserve"> found </w:t>
      </w:r>
      <w:r w:rsidR="008B58DB">
        <w:t xml:space="preserve">considerable </w:t>
      </w:r>
      <w:r w:rsidR="002F3049">
        <w:t xml:space="preserve">inspiration </w:t>
      </w:r>
      <w:r w:rsidR="00874B9C">
        <w:t>in Muller’s study of folk culture and motifs.</w:t>
      </w:r>
      <w:r w:rsidR="002B4EB7">
        <w:rPr>
          <w:rStyle w:val="a8"/>
        </w:rPr>
        <w:footnoteReference w:id="2"/>
      </w:r>
      <w:r w:rsidR="00874B9C">
        <w:t xml:space="preserve"> For </w:t>
      </w:r>
      <w:proofErr w:type="spellStart"/>
      <w:r w:rsidR="00874B9C">
        <w:t>Gruffydd</w:t>
      </w:r>
      <w:proofErr w:type="spellEnd"/>
      <w:r w:rsidR="00874B9C">
        <w:t xml:space="preserve">, the key to understanding the </w:t>
      </w:r>
      <w:proofErr w:type="spellStart"/>
      <w:r w:rsidR="00874B9C">
        <w:t>Mabinogi</w:t>
      </w:r>
      <w:proofErr w:type="spellEnd"/>
      <w:r w:rsidR="00874B9C">
        <w:t xml:space="preserve"> was not </w:t>
      </w:r>
      <w:r w:rsidR="008B58DB">
        <w:t xml:space="preserve">necessarily </w:t>
      </w:r>
      <w:r w:rsidR="00874B9C">
        <w:t>connected to moral lessons or meditat</w:t>
      </w:r>
      <w:r w:rsidR="002B4EB7">
        <w:t>ions. Rather, the entirety of the Four B</w:t>
      </w:r>
      <w:r w:rsidR="00874B9C">
        <w:t xml:space="preserve">ranches was </w:t>
      </w:r>
      <w:proofErr w:type="spellStart"/>
      <w:r w:rsidR="00874B9C">
        <w:t>centred</w:t>
      </w:r>
      <w:proofErr w:type="spellEnd"/>
      <w:r w:rsidR="00874B9C">
        <w:t xml:space="preserve"> </w:t>
      </w:r>
      <w:proofErr w:type="gramStart"/>
      <w:r w:rsidR="00874B9C">
        <w:t>around</w:t>
      </w:r>
      <w:proofErr w:type="gramEnd"/>
      <w:r w:rsidR="00874B9C">
        <w:t xml:space="preserve"> the character of </w:t>
      </w:r>
      <w:proofErr w:type="spellStart"/>
      <w:r w:rsidR="00874B9C">
        <w:t>Pryderi</w:t>
      </w:r>
      <w:proofErr w:type="spellEnd"/>
      <w:r w:rsidR="00874B9C">
        <w:t xml:space="preserve">. </w:t>
      </w:r>
      <w:r w:rsidR="002F3049">
        <w:t>The text was therefore to be understood in terms of the mythical origins of British and Celtic gods.</w:t>
      </w:r>
      <w:r w:rsidR="002B4EB7">
        <w:rPr>
          <w:rStyle w:val="a8"/>
        </w:rPr>
        <w:footnoteReference w:id="3"/>
      </w:r>
      <w:r w:rsidR="002F3049">
        <w:t xml:space="preserve"> </w:t>
      </w:r>
      <w:proofErr w:type="spellStart"/>
      <w:r w:rsidR="002F3049">
        <w:t>Gruffydd</w:t>
      </w:r>
      <w:proofErr w:type="spellEnd"/>
      <w:r w:rsidR="002F3049">
        <w:t xml:space="preserve"> is firmly convinced that the underlying content of the </w:t>
      </w:r>
      <w:proofErr w:type="spellStart"/>
      <w:r w:rsidR="002F3049">
        <w:t>Mabinogi</w:t>
      </w:r>
      <w:proofErr w:type="spellEnd"/>
      <w:r w:rsidR="002F3049">
        <w:t xml:space="preserve"> should be seen in terms of signified and signifiers. The real truth of the tales, according to him, </w:t>
      </w:r>
      <w:r w:rsidR="009A041F">
        <w:t>is rooted in ancient and pre-Christian rituals and practices.</w:t>
      </w:r>
      <w:r w:rsidR="002B4EB7">
        <w:rPr>
          <w:rStyle w:val="a8"/>
        </w:rPr>
        <w:footnoteReference w:id="4"/>
      </w:r>
      <w:r w:rsidR="009A041F">
        <w:t xml:space="preserve"> Although intriguing, this ‘origins’ argument of </w:t>
      </w:r>
      <w:proofErr w:type="spellStart"/>
      <w:r w:rsidR="009A041F">
        <w:t>Gruffydd</w:t>
      </w:r>
      <w:proofErr w:type="spellEnd"/>
      <w:r w:rsidR="009A041F">
        <w:t xml:space="preserve"> and his supporters ignores the apparently modern aspects of the text and many of the contemporary concerns of the characters. More importantly, as Nagy points out, such a </w:t>
      </w:r>
      <w:r w:rsidR="008B58DB">
        <w:t>reductive</w:t>
      </w:r>
      <w:r w:rsidR="009A041F">
        <w:t xml:space="preserve"> view also belittles the efforts of the </w:t>
      </w:r>
      <w:r w:rsidR="008B58DB">
        <w:t>actual</w:t>
      </w:r>
      <w:r w:rsidR="009A041F">
        <w:t xml:space="preserve"> author, suggesting that he had limited understanding of what he was writing. This ‘diminution of authorial control and competence’ seems to clash with the careful structuring and literary soph</w:t>
      </w:r>
      <w:r w:rsidR="008B58DB">
        <w:t xml:space="preserve">istication of the </w:t>
      </w:r>
      <w:proofErr w:type="spellStart"/>
      <w:r w:rsidR="008B58DB">
        <w:t>Mabinogi</w:t>
      </w:r>
      <w:proofErr w:type="spellEnd"/>
      <w:r w:rsidR="008B58DB">
        <w:t xml:space="preserve"> text</w:t>
      </w:r>
      <w:r w:rsidR="009A041F">
        <w:t xml:space="preserve"> </w:t>
      </w:r>
      <w:r w:rsidR="008B58DB">
        <w:t>itself</w:t>
      </w:r>
      <w:r w:rsidR="00FD7EAC">
        <w:t>.</w:t>
      </w:r>
      <w:r w:rsidR="0070231B">
        <w:rPr>
          <w:rStyle w:val="a8"/>
        </w:rPr>
        <w:footnoteReference w:id="5"/>
      </w:r>
    </w:p>
    <w:p w14:paraId="4AF8F947" w14:textId="77777777" w:rsidR="00FD7EAC" w:rsidRDefault="00FD7EAC"/>
    <w:p w14:paraId="799FFEE6" w14:textId="03C9E876" w:rsidR="005563BA" w:rsidRDefault="00FD7EAC">
      <w:proofErr w:type="spellStart"/>
      <w:proofErr w:type="gramStart"/>
      <w:r>
        <w:t>Gruffydd’s</w:t>
      </w:r>
      <w:proofErr w:type="spellEnd"/>
      <w:r>
        <w:t xml:space="preserve"> focus on the idea of primitive </w:t>
      </w:r>
      <w:proofErr w:type="spellStart"/>
      <w:r>
        <w:t>Welshness</w:t>
      </w:r>
      <w:proofErr w:type="spellEnd"/>
      <w:r>
        <w:t xml:space="preserve"> or </w:t>
      </w:r>
      <w:proofErr w:type="spellStart"/>
      <w:r>
        <w:t>C</w:t>
      </w:r>
      <w:r w:rsidR="004433CD">
        <w:t>elticism</w:t>
      </w:r>
      <w:proofErr w:type="spellEnd"/>
      <w:r w:rsidR="004433CD">
        <w:t xml:space="preserve"> as the root of the </w:t>
      </w:r>
      <w:proofErr w:type="spellStart"/>
      <w:r w:rsidR="004433CD">
        <w:t>Mabi</w:t>
      </w:r>
      <w:r>
        <w:t>nogi</w:t>
      </w:r>
      <w:proofErr w:type="spellEnd"/>
      <w:r>
        <w:t xml:space="preserve"> </w:t>
      </w:r>
      <w:r w:rsidR="004433CD">
        <w:t>has been</w:t>
      </w:r>
      <w:r>
        <w:t xml:space="preserve"> challenged by several scholars, including Ke</w:t>
      </w:r>
      <w:r w:rsidR="000B7A59">
        <w:t>nneth Jackson</w:t>
      </w:r>
      <w:proofErr w:type="gramEnd"/>
      <w:r w:rsidR="000B7A59">
        <w:t xml:space="preserve">. Jackson refuted the claim that the </w:t>
      </w:r>
      <w:proofErr w:type="spellStart"/>
      <w:r w:rsidR="000B7A59">
        <w:t>Mabinogi</w:t>
      </w:r>
      <w:proofErr w:type="spellEnd"/>
      <w:r w:rsidR="000B7A59">
        <w:t xml:space="preserve"> was a vehicle for a supposed ‘primal </w:t>
      </w:r>
      <w:proofErr w:type="spellStart"/>
      <w:r w:rsidR="000B7A59">
        <w:t>Welshness</w:t>
      </w:r>
      <w:proofErr w:type="spellEnd"/>
      <w:r w:rsidR="000B7A59">
        <w:t xml:space="preserve"> or </w:t>
      </w:r>
      <w:proofErr w:type="spellStart"/>
      <w:r w:rsidR="000B7A59">
        <w:t>Celticity</w:t>
      </w:r>
      <w:proofErr w:type="spellEnd"/>
      <w:r w:rsidR="000B7A59">
        <w:t>’.</w:t>
      </w:r>
      <w:r w:rsidR="00891815">
        <w:rPr>
          <w:rStyle w:val="a8"/>
        </w:rPr>
        <w:footnoteReference w:id="6"/>
      </w:r>
      <w:r w:rsidR="000B7A59">
        <w:t xml:space="preserve"> Instead, Jackson drew on more modern approaches to folklore studies that emphasized the way ideas and cultural motifs interact in order to create new cultural syntheses. The redactor, according to this view, </w:t>
      </w:r>
      <w:r w:rsidR="001E1605">
        <w:t>combined</w:t>
      </w:r>
      <w:r w:rsidR="000B7A59">
        <w:t xml:space="preserve"> different sources to create his text.</w:t>
      </w:r>
      <w:r w:rsidR="00891815">
        <w:rPr>
          <w:rStyle w:val="a8"/>
        </w:rPr>
        <w:footnoteReference w:id="7"/>
      </w:r>
      <w:r w:rsidR="000B7A59">
        <w:t xml:space="preserve"> However, this approach </w:t>
      </w:r>
      <w:r w:rsidR="001E1605">
        <w:t xml:space="preserve">still </w:t>
      </w:r>
      <w:r w:rsidR="000731E7">
        <w:t>seems to</w:t>
      </w:r>
      <w:r w:rsidR="000B7A59">
        <w:t xml:space="preserve"> </w:t>
      </w:r>
      <w:r w:rsidR="005C3D19">
        <w:t>suggest a relative lack of originality</w:t>
      </w:r>
      <w:r w:rsidR="001E1605">
        <w:t xml:space="preserve"> and understanding</w:t>
      </w:r>
      <w:r w:rsidR="005C3D19">
        <w:t xml:space="preserve"> on the part of the author. As Nagy points out, we are also left uncertain as to why the author would </w:t>
      </w:r>
      <w:r w:rsidR="001E1605">
        <w:t xml:space="preserve">trouble himself to </w:t>
      </w:r>
      <w:r w:rsidR="005C3D19">
        <w:t>compile such a work in the first place.</w:t>
      </w:r>
      <w:r w:rsidR="000731E7">
        <w:rPr>
          <w:rStyle w:val="a8"/>
        </w:rPr>
        <w:footnoteReference w:id="8"/>
      </w:r>
    </w:p>
    <w:p w14:paraId="02E9572B" w14:textId="77777777" w:rsidR="005C3D19" w:rsidRDefault="005C3D19"/>
    <w:p w14:paraId="405ACC1A" w14:textId="612616F6" w:rsidR="005C3D19" w:rsidRDefault="005C3D19">
      <w:r>
        <w:t>Despite the problems in h</w:t>
      </w:r>
      <w:r w:rsidR="005E101D">
        <w:t>is thesis, Jackson’s emphasis on</w:t>
      </w:r>
      <w:r>
        <w:t xml:space="preserve"> cultural exchange has proven to be a useful tool in understanding the </w:t>
      </w:r>
      <w:proofErr w:type="spellStart"/>
      <w:r>
        <w:t>Mabinogion</w:t>
      </w:r>
      <w:proofErr w:type="spellEnd"/>
      <w:r w:rsidR="00E744C7">
        <w:t xml:space="preserve">. Nagy and later critics </w:t>
      </w:r>
      <w:r>
        <w:t xml:space="preserve">see a much more positive and dynamic </w:t>
      </w:r>
      <w:r w:rsidR="00E744C7">
        <w:t>quality</w:t>
      </w:r>
      <w:r>
        <w:t xml:space="preserve"> to the role </w:t>
      </w:r>
      <w:r w:rsidR="00E744C7">
        <w:t xml:space="preserve">of folklore in the creation of the </w:t>
      </w:r>
      <w:proofErr w:type="spellStart"/>
      <w:r w:rsidR="00E744C7">
        <w:t>Mabinogion</w:t>
      </w:r>
      <w:proofErr w:type="spellEnd"/>
      <w:r w:rsidR="00E744C7">
        <w:t>.</w:t>
      </w:r>
      <w:r w:rsidR="005E101D">
        <w:rPr>
          <w:rStyle w:val="a8"/>
        </w:rPr>
        <w:footnoteReference w:id="9"/>
      </w:r>
      <w:r w:rsidR="00E744C7">
        <w:t xml:space="preserve"> As Nagy argues, ‘the trend in folklore studies has been to allow folklore to speak for itself’.</w:t>
      </w:r>
      <w:r w:rsidR="005E101D">
        <w:rPr>
          <w:rStyle w:val="a8"/>
        </w:rPr>
        <w:footnoteReference w:id="10"/>
      </w:r>
      <w:r w:rsidR="00E744C7">
        <w:t xml:space="preserve"> Rather than clumping together different stories and traditions in a hodge-podge manner, we might argue that the author of the </w:t>
      </w:r>
      <w:proofErr w:type="spellStart"/>
      <w:r w:rsidR="00E744C7">
        <w:t>Mabinogi</w:t>
      </w:r>
      <w:proofErr w:type="spellEnd"/>
      <w:r w:rsidR="00E744C7">
        <w:t xml:space="preserve"> was drawing on strong traditions and had a clear idea of what materials he wanted to include and why.</w:t>
      </w:r>
    </w:p>
    <w:p w14:paraId="78AAD305" w14:textId="1BAA2470" w:rsidR="00E744C7" w:rsidRDefault="00E744C7"/>
    <w:p w14:paraId="170961A0" w14:textId="7C5ADA34" w:rsidR="00E4013D" w:rsidRDefault="00B9261A">
      <w:r>
        <w:t>J.K. Bollard</w:t>
      </w:r>
      <w:r w:rsidR="00A953F2">
        <w:t>, however, has been</w:t>
      </w:r>
      <w:r>
        <w:t xml:space="preserve"> the most prominent critic of the search for ‘origins’ or hidden meanings in understanding the </w:t>
      </w:r>
      <w:proofErr w:type="spellStart"/>
      <w:r>
        <w:t>Mabinogi</w:t>
      </w:r>
      <w:proofErr w:type="spellEnd"/>
      <w:r>
        <w:t xml:space="preserve">. Instead of berating the author for clumsiness or </w:t>
      </w:r>
      <w:r w:rsidR="001E1605">
        <w:t>patch working</w:t>
      </w:r>
      <w:r>
        <w:t xml:space="preserve">, Bollard </w:t>
      </w:r>
      <w:r w:rsidR="0001423A">
        <w:t xml:space="preserve">praises the author and encourages readers to see structure and intention in the text. He finds </w:t>
      </w:r>
      <w:r>
        <w:t xml:space="preserve">in the </w:t>
      </w:r>
      <w:proofErr w:type="spellStart"/>
      <w:r>
        <w:t>Mabinogi</w:t>
      </w:r>
      <w:proofErr w:type="spellEnd"/>
      <w:r>
        <w:t xml:space="preserve"> a work of ‘consummate skill…with a vision and a moral code to meet the needs of a contemporary audience</w:t>
      </w:r>
      <w:r w:rsidR="0001423A">
        <w:t>’</w:t>
      </w:r>
      <w:r>
        <w:t>.</w:t>
      </w:r>
      <w:r w:rsidR="0001135D">
        <w:rPr>
          <w:rStyle w:val="a8"/>
        </w:rPr>
        <w:footnoteReference w:id="11"/>
      </w:r>
    </w:p>
    <w:p w14:paraId="3B3636EC" w14:textId="77777777" w:rsidR="0001135D" w:rsidRDefault="0001135D"/>
    <w:p w14:paraId="69449A5A" w14:textId="1DEF1093" w:rsidR="00B9261A" w:rsidRDefault="00A953F2">
      <w:r>
        <w:t xml:space="preserve">In Bollard’s view, the author of the work was consciously creating a new ‘myth’ </w:t>
      </w:r>
      <w:r w:rsidR="00E4013D">
        <w:t>that was relevant to the medieval audience that he was writing for.</w:t>
      </w:r>
      <w:r w:rsidR="00EC22BB">
        <w:rPr>
          <w:rStyle w:val="a8"/>
        </w:rPr>
        <w:footnoteReference w:id="12"/>
      </w:r>
      <w:r w:rsidR="00E4013D">
        <w:t xml:space="preserve"> We might well question exactly what he means by ‘myth’. Rather than an obscure, convoluted repository of ancient lore, Bollard </w:t>
      </w:r>
      <w:r w:rsidR="001E1605">
        <w:t>seems to see</w:t>
      </w:r>
      <w:r w:rsidR="00E4013D">
        <w:t xml:space="preserve"> </w:t>
      </w:r>
      <w:r w:rsidR="001E1605">
        <w:t>‘</w:t>
      </w:r>
      <w:r w:rsidR="00E4013D">
        <w:t>myth</w:t>
      </w:r>
      <w:r w:rsidR="001E1605">
        <w:t>’</w:t>
      </w:r>
      <w:r w:rsidR="00E4013D">
        <w:t xml:space="preserve"> as a way for a given society to examine its own norms and structures.</w:t>
      </w:r>
      <w:r w:rsidR="00005DA8">
        <w:rPr>
          <w:rStyle w:val="a8"/>
        </w:rPr>
        <w:footnoteReference w:id="13"/>
      </w:r>
      <w:r w:rsidR="00E4013D">
        <w:t xml:space="preserve"> The </w:t>
      </w:r>
      <w:proofErr w:type="spellStart"/>
      <w:r w:rsidR="00E4013D" w:rsidRPr="00005DA8">
        <w:rPr>
          <w:i/>
        </w:rPr>
        <w:t>Mabinogi</w:t>
      </w:r>
      <w:proofErr w:type="spellEnd"/>
      <w:r w:rsidR="00E4013D">
        <w:t>, says Bollard, is composed of an interlaced structure that repeats key motifs and concerns. As he puts it, this structure allows the author to promote ‘ideals and a straightforward code of conduct’ that can be appreciated by his audience.</w:t>
      </w:r>
      <w:r w:rsidR="00005DA8">
        <w:rPr>
          <w:rStyle w:val="a8"/>
        </w:rPr>
        <w:footnoteReference w:id="14"/>
      </w:r>
    </w:p>
    <w:p w14:paraId="61D9124D" w14:textId="77777777" w:rsidR="00E4013D" w:rsidRDefault="00E4013D"/>
    <w:p w14:paraId="18DA0F0D" w14:textId="12B43452" w:rsidR="00E4013D" w:rsidRDefault="00804FD9">
      <w:r>
        <w:t xml:space="preserve">For example, in </w:t>
      </w:r>
      <w:proofErr w:type="spellStart"/>
      <w:r>
        <w:t>Branwen</w:t>
      </w:r>
      <w:proofErr w:type="spellEnd"/>
      <w:r>
        <w:t xml:space="preserve"> the discernment between right and wrong, and the consequences of the key characters’ behavior, are central elements that lead to a climactic and destructive conflict. </w:t>
      </w:r>
      <w:r w:rsidR="00604D9A">
        <w:t>The feud between the Welsh and Irish plays out in a seemingly unending series of conflicts and negotiations.</w:t>
      </w:r>
      <w:r w:rsidR="004D3C76">
        <w:rPr>
          <w:rStyle w:val="a8"/>
        </w:rPr>
        <w:footnoteReference w:id="15"/>
      </w:r>
      <w:r w:rsidR="00604D9A">
        <w:t xml:space="preserve"> Central to the whole tale is the idea of ‘counsel’, that the king may summon his people in times of crisis and that, in turn, the people may come together to make demands or offer advice to their ruler.</w:t>
      </w:r>
      <w:r w:rsidR="004D3C76">
        <w:rPr>
          <w:rStyle w:val="a8"/>
        </w:rPr>
        <w:footnoteReference w:id="16"/>
      </w:r>
      <w:r w:rsidR="00604D9A">
        <w:t xml:space="preserve"> </w:t>
      </w:r>
      <w:r w:rsidR="00DC1890">
        <w:t xml:space="preserve">As we shall see, certain commentators see specific reference to contemporary affairs here, </w:t>
      </w:r>
      <w:r w:rsidR="006D2320">
        <w:t>including</w:t>
      </w:r>
      <w:r w:rsidR="00DC1890">
        <w:t xml:space="preserve"> the correct execution of kingship. For Bollard, though, </w:t>
      </w:r>
      <w:proofErr w:type="spellStart"/>
      <w:r w:rsidR="00DC1890">
        <w:t>Branwen</w:t>
      </w:r>
      <w:proofErr w:type="spellEnd"/>
      <w:r w:rsidR="00DC1890">
        <w:t xml:space="preserve"> more broadly examines key questions regarding the role of social relationships in preventing war. The story is, in his words, a ‘mythic paradigm’ of an aspect of society cr</w:t>
      </w:r>
      <w:r w:rsidR="001E1605">
        <w:t xml:space="preserve">ucial for its survival and </w:t>
      </w:r>
      <w:proofErr w:type="gramStart"/>
      <w:r w:rsidR="001E1605">
        <w:t xml:space="preserve">well </w:t>
      </w:r>
      <w:r w:rsidR="00DC1890">
        <w:t>being</w:t>
      </w:r>
      <w:proofErr w:type="gramEnd"/>
      <w:r w:rsidR="00DC1890">
        <w:t>.</w:t>
      </w:r>
      <w:r w:rsidR="006D2320">
        <w:rPr>
          <w:rStyle w:val="a8"/>
        </w:rPr>
        <w:footnoteReference w:id="17"/>
      </w:r>
    </w:p>
    <w:p w14:paraId="076948C4" w14:textId="77777777" w:rsidR="0001318C" w:rsidRDefault="0001318C"/>
    <w:p w14:paraId="05CD07CA" w14:textId="0A98386E" w:rsidR="00753FE7" w:rsidRDefault="00F32B9E">
      <w:r>
        <w:t>The actions of the key characters</w:t>
      </w:r>
      <w:r w:rsidR="007349A3">
        <w:t xml:space="preserve"> in the second branch, comprising</w:t>
      </w:r>
      <w:r>
        <w:t xml:space="preserve"> </w:t>
      </w:r>
      <w:proofErr w:type="spellStart"/>
      <w:r>
        <w:t>Bendigedfran</w:t>
      </w:r>
      <w:proofErr w:type="spellEnd"/>
      <w:r>
        <w:t xml:space="preserve">, </w:t>
      </w:r>
      <w:proofErr w:type="spellStart"/>
      <w:r>
        <w:t>Efnisien</w:t>
      </w:r>
      <w:proofErr w:type="spellEnd"/>
      <w:r>
        <w:t xml:space="preserve">, </w:t>
      </w:r>
      <w:proofErr w:type="spellStart"/>
      <w:r>
        <w:t>Branwen</w:t>
      </w:r>
      <w:proofErr w:type="spellEnd"/>
      <w:r>
        <w:t xml:space="preserve"> herself, and </w:t>
      </w:r>
      <w:proofErr w:type="spellStart"/>
      <w:r>
        <w:rPr>
          <w:rFonts w:hint="eastAsia"/>
        </w:rPr>
        <w:t>Math</w:t>
      </w:r>
      <w:r>
        <w:t>olwch</w:t>
      </w:r>
      <w:proofErr w:type="spellEnd"/>
      <w:r w:rsidR="007349A3">
        <w:t>,</w:t>
      </w:r>
      <w:r>
        <w:t xml:space="preserve"> do indeed all seem designed to invite the reader to ponder the question of right and wrong, as well as </w:t>
      </w:r>
      <w:r w:rsidR="00361731">
        <w:t>the</w:t>
      </w:r>
      <w:r>
        <w:t xml:space="preserve"> </w:t>
      </w:r>
      <w:r w:rsidR="00361731">
        <w:t>inevitable</w:t>
      </w:r>
      <w:r>
        <w:t xml:space="preserve"> consequences</w:t>
      </w:r>
      <w:r w:rsidR="00361731">
        <w:t xml:space="preserve"> of such moral </w:t>
      </w:r>
      <w:proofErr w:type="gramStart"/>
      <w:r w:rsidR="00361731">
        <w:t>choices</w:t>
      </w:r>
      <w:r>
        <w:t>.</w:t>
      </w:r>
      <w:proofErr w:type="gramEnd"/>
      <w:r>
        <w:t xml:space="preserve"> </w:t>
      </w:r>
      <w:proofErr w:type="spellStart"/>
      <w:r>
        <w:t>Bendigedfran</w:t>
      </w:r>
      <w:proofErr w:type="spellEnd"/>
      <w:r>
        <w:t xml:space="preserve"> shows strong leadership, but seems to do all he can to avoid open conflict. By contrast, </w:t>
      </w:r>
      <w:proofErr w:type="spellStart"/>
      <w:r w:rsidR="00BE481D">
        <w:t>Matholwch</w:t>
      </w:r>
      <w:proofErr w:type="spellEnd"/>
      <w:r w:rsidR="00BE481D">
        <w:t xml:space="preserve"> is weak and easily influenced by his men. Instead of taking their counsel and considering it, he quickly caves in to their demands. His actions lead to total destruction. This dynam</w:t>
      </w:r>
      <w:r w:rsidR="007349A3">
        <w:t>ic between good and bad counsel</w:t>
      </w:r>
      <w:r w:rsidR="00EF08A9">
        <w:t xml:space="preserve">, as well as good and bad actions, </w:t>
      </w:r>
      <w:r w:rsidR="00BE481D">
        <w:t>provides, as Bollard puts it, ‘narrative and thematic coherence’ to the story, as well as building the tension towards the bloody finale.</w:t>
      </w:r>
      <w:r w:rsidR="007B2D00">
        <w:rPr>
          <w:rStyle w:val="a8"/>
        </w:rPr>
        <w:footnoteReference w:id="18"/>
      </w:r>
      <w:r w:rsidR="00BE481D">
        <w:t xml:space="preserve"> Similarly, </w:t>
      </w:r>
      <w:proofErr w:type="spellStart"/>
      <w:r w:rsidR="00BE481D">
        <w:t>Efnisien</w:t>
      </w:r>
      <w:proofErr w:type="spellEnd"/>
      <w:r w:rsidR="00BE481D">
        <w:t xml:space="preserve"> and </w:t>
      </w:r>
      <w:proofErr w:type="spellStart"/>
      <w:r w:rsidR="00BE481D">
        <w:t>Branwen</w:t>
      </w:r>
      <w:proofErr w:type="spellEnd"/>
      <w:r w:rsidR="00BE481D">
        <w:t xml:space="preserve"> end up destroying themselves, seemingly contrite at their role in bringing destruction to their countrymen. There would seem to be obvious lessons </w:t>
      </w:r>
      <w:r w:rsidR="0085792B">
        <w:t xml:space="preserve">here </w:t>
      </w:r>
      <w:r w:rsidR="00BE481D">
        <w:t>that the reader would be expected to take away after reading or hearing the tale.</w:t>
      </w:r>
    </w:p>
    <w:p w14:paraId="19BCC20D" w14:textId="77777777" w:rsidR="00F32B9E" w:rsidRDefault="00F32B9E"/>
    <w:p w14:paraId="006EF6C5" w14:textId="45A02CCB" w:rsidR="00BE481D" w:rsidRDefault="00BE481D">
      <w:r>
        <w:t xml:space="preserve">Bollard further points out that the motif of counsel and discussion, and the crucial </w:t>
      </w:r>
      <w:r w:rsidR="00056788">
        <w:t xml:space="preserve">question of wisely </w:t>
      </w:r>
      <w:r>
        <w:t xml:space="preserve">choosing the right course of behavior, can be found in the other three branches of the </w:t>
      </w:r>
      <w:proofErr w:type="spellStart"/>
      <w:r>
        <w:t>Mabinogi</w:t>
      </w:r>
      <w:proofErr w:type="spellEnd"/>
      <w:r>
        <w:t>.</w:t>
      </w:r>
      <w:r w:rsidR="003D51EA">
        <w:rPr>
          <w:rStyle w:val="a8"/>
        </w:rPr>
        <w:footnoteReference w:id="19"/>
      </w:r>
      <w:r w:rsidR="00056788">
        <w:t xml:space="preserve"> In the first branch, </w:t>
      </w:r>
      <w:proofErr w:type="spellStart"/>
      <w:r w:rsidR="00056788">
        <w:t>Pwyll</w:t>
      </w:r>
      <w:proofErr w:type="spellEnd"/>
      <w:r w:rsidR="00056788">
        <w:t xml:space="preserve"> is placed in a difficult predicament when he trades places with </w:t>
      </w:r>
      <w:proofErr w:type="spellStart"/>
      <w:r w:rsidR="00056788">
        <w:t>Arawn</w:t>
      </w:r>
      <w:proofErr w:type="spellEnd"/>
      <w:r w:rsidR="00056788">
        <w:t xml:space="preserve">. He chooses not to betray his friendship and returns to his realm with a seemingly stronger understanding of himself and his responsibilities as a king. </w:t>
      </w:r>
      <w:r w:rsidR="00F26617">
        <w:t xml:space="preserve">In the third branch, the cool and calculated approach of </w:t>
      </w:r>
      <w:proofErr w:type="spellStart"/>
      <w:r w:rsidR="00F26617">
        <w:t>Manawydan</w:t>
      </w:r>
      <w:proofErr w:type="spellEnd"/>
      <w:r w:rsidR="00F26617">
        <w:t xml:space="preserve"> seems to offer a way out of all the difficulties he faces, including the apparently intractable curse on Dyfed.</w:t>
      </w:r>
      <w:r w:rsidR="00F95AB4">
        <w:t xml:space="preserve"> It is also important to note here that the curse itself is linked back to the treatment of </w:t>
      </w:r>
      <w:proofErr w:type="spellStart"/>
      <w:r w:rsidR="00F95AB4">
        <w:t>Gwawl</w:t>
      </w:r>
      <w:proofErr w:type="spellEnd"/>
      <w:r w:rsidR="00F95AB4">
        <w:t xml:space="preserve"> in the first branch.</w:t>
      </w:r>
      <w:r w:rsidR="00F26617">
        <w:t xml:space="preserve"> In the fourth, I would argue, we see the consequences of ill-counsel and irrational </w:t>
      </w:r>
      <w:proofErr w:type="spellStart"/>
      <w:r w:rsidR="00F26617">
        <w:t>beh</w:t>
      </w:r>
      <w:r w:rsidR="00EF08A9">
        <w:t>a</w:t>
      </w:r>
      <w:r w:rsidR="00F26617">
        <w:t>viour</w:t>
      </w:r>
      <w:proofErr w:type="spellEnd"/>
      <w:r w:rsidR="00F26617">
        <w:t xml:space="preserve"> in the actions of </w:t>
      </w:r>
      <w:proofErr w:type="spellStart"/>
      <w:r w:rsidR="00F26617">
        <w:t>Gwydion</w:t>
      </w:r>
      <w:proofErr w:type="spellEnd"/>
      <w:r w:rsidR="00F26617">
        <w:t>. It is only the resolute and martial nature of the unusually afflicted Math that ultimately saves the kingdom from destruction.</w:t>
      </w:r>
    </w:p>
    <w:p w14:paraId="6AD5120F" w14:textId="77777777" w:rsidR="00F32B9E" w:rsidRDefault="00F32B9E"/>
    <w:p w14:paraId="25E6D3E6" w14:textId="12CB1B46" w:rsidR="00D46D55" w:rsidRDefault="00D46D55">
      <w:r>
        <w:t xml:space="preserve">According to the above evidence, then, we might be inclined to agree with Bollard’s idea that a meditation of right and wrong behavior is the key to understanding the </w:t>
      </w:r>
      <w:proofErr w:type="spellStart"/>
      <w:r>
        <w:t>Mabinogion</w:t>
      </w:r>
      <w:proofErr w:type="spellEnd"/>
      <w:r>
        <w:t>.</w:t>
      </w:r>
      <w:r w:rsidR="00F95AB4">
        <w:t xml:space="preserve"> We may also therefore subscribe to his </w:t>
      </w:r>
      <w:r w:rsidR="003D51EA">
        <w:t>‘</w:t>
      </w:r>
      <w:r w:rsidR="00F95AB4">
        <w:t>synchronous</w:t>
      </w:r>
      <w:r w:rsidR="003D51EA">
        <w:t>’</w:t>
      </w:r>
      <w:r w:rsidR="00361731">
        <w:t xml:space="preserve"> reading of the Four B</w:t>
      </w:r>
      <w:r w:rsidR="00F95AB4">
        <w:t>ranches and recognize their interconnectedness.</w:t>
      </w:r>
      <w:r>
        <w:t xml:space="preserve"> However, </w:t>
      </w:r>
      <w:r w:rsidR="00750CA5">
        <w:t>Bollard’s view</w:t>
      </w:r>
      <w:r w:rsidR="00C9438C">
        <w:t>s</w:t>
      </w:r>
      <w:r w:rsidR="00750CA5">
        <w:t xml:space="preserve"> have attracted a fair amount of criticism, particularly from </w:t>
      </w:r>
      <w:proofErr w:type="spellStart"/>
      <w:r w:rsidR="00BD34A9">
        <w:rPr>
          <w:rFonts w:hint="eastAsia"/>
        </w:rPr>
        <w:t>P</w:t>
      </w:r>
      <w:r w:rsidR="00361731">
        <w:t>roinsias</w:t>
      </w:r>
      <w:proofErr w:type="spellEnd"/>
      <w:r w:rsidR="00BD34A9">
        <w:t xml:space="preserve"> </w:t>
      </w:r>
      <w:r w:rsidR="00750CA5">
        <w:t>Mac Cana.</w:t>
      </w:r>
      <w:r w:rsidR="0027034C">
        <w:t xml:space="preserve"> Mac Cana claims that Bollard offers little evidence </w:t>
      </w:r>
      <w:r w:rsidR="000E286C">
        <w:t xml:space="preserve">for the argument </w:t>
      </w:r>
      <w:r w:rsidR="0027034C">
        <w:t xml:space="preserve">that the apparent connections and </w:t>
      </w:r>
      <w:r w:rsidR="0065409F">
        <w:t>thematic resonance between the F</w:t>
      </w:r>
      <w:r w:rsidR="0027034C">
        <w:t xml:space="preserve">our </w:t>
      </w:r>
      <w:r w:rsidR="0065409F">
        <w:t>Branches</w:t>
      </w:r>
      <w:r w:rsidR="0027034C">
        <w:t xml:space="preserve"> are the result of the author’s ‘deliberate and sensitive craftsmanship’. Indeed, says Mac Cana, Bollard seems confused about exactly what he is crediting the author fo</w:t>
      </w:r>
      <w:r w:rsidR="00F033F7">
        <w:t xml:space="preserve">r, whether it should be </w:t>
      </w:r>
      <w:r w:rsidR="0027034C">
        <w:t xml:space="preserve">the </w:t>
      </w:r>
      <w:r w:rsidR="00F033F7">
        <w:t>essential</w:t>
      </w:r>
      <w:r w:rsidR="0027034C">
        <w:t xml:space="preserve"> structure of the </w:t>
      </w:r>
      <w:r w:rsidR="00F033F7">
        <w:t>narratives, or instead a ‘secondary complex of tales’ that now embellishes that structure.</w:t>
      </w:r>
      <w:r w:rsidR="000D1FE7">
        <w:rPr>
          <w:rStyle w:val="a8"/>
        </w:rPr>
        <w:footnoteReference w:id="20"/>
      </w:r>
      <w:r w:rsidR="00F033F7">
        <w:t xml:space="preserve"> </w:t>
      </w:r>
    </w:p>
    <w:p w14:paraId="21B8A298" w14:textId="77777777" w:rsidR="00F033F7" w:rsidRDefault="00F033F7"/>
    <w:p w14:paraId="0A96C402" w14:textId="3015032C" w:rsidR="004F1868" w:rsidRDefault="00F033F7">
      <w:r>
        <w:t>Furthermore, and perhaps more importantly, Mac Cana claims that Bollard minimizes or ‘brushes aside’ contradictions or breaks in the text.</w:t>
      </w:r>
      <w:r w:rsidR="000D1FE7">
        <w:rPr>
          <w:rStyle w:val="a8"/>
        </w:rPr>
        <w:footnoteReference w:id="21"/>
      </w:r>
      <w:r>
        <w:t xml:space="preserve"> </w:t>
      </w:r>
      <w:r w:rsidR="00DF5B86">
        <w:t>In other words, while he is happy to praise the author for the praiseworthy elements of the tales, Bollard absolves him of responsibility for any abrupt, contradictory or less convincing sections of the narrative.</w:t>
      </w:r>
      <w:r w:rsidR="006F74B6">
        <w:t xml:space="preserve"> </w:t>
      </w:r>
      <w:r w:rsidR="00474A60">
        <w:t xml:space="preserve">In support of this view, Mac Cana cites Jackson’s criticism of the author’s ‘clumsy patching’ of the </w:t>
      </w:r>
      <w:r w:rsidR="002A3C87">
        <w:t xml:space="preserve">stealing of </w:t>
      </w:r>
      <w:proofErr w:type="spellStart"/>
      <w:r w:rsidR="002A3C87">
        <w:t>Pryderi</w:t>
      </w:r>
      <w:proofErr w:type="spellEnd"/>
      <w:r w:rsidR="002A3C87">
        <w:t xml:space="preserve"> in </w:t>
      </w:r>
      <w:proofErr w:type="spellStart"/>
      <w:r w:rsidR="002A3C87" w:rsidRPr="002A3C87">
        <w:rPr>
          <w:i/>
        </w:rPr>
        <w:t>Pwyll</w:t>
      </w:r>
      <w:proofErr w:type="spellEnd"/>
      <w:r w:rsidR="002A3C87">
        <w:t xml:space="preserve"> and </w:t>
      </w:r>
      <w:r w:rsidR="00795268">
        <w:t>suggests</w:t>
      </w:r>
      <w:r w:rsidR="002A3C87">
        <w:t xml:space="preserve"> that Bollard understates the significance of these </w:t>
      </w:r>
      <w:r w:rsidR="0065409F">
        <w:t>narrative</w:t>
      </w:r>
      <w:r w:rsidR="002A3C87">
        <w:t xml:space="preserve"> </w:t>
      </w:r>
      <w:r w:rsidR="0065409F">
        <w:t>ambiguities</w:t>
      </w:r>
      <w:r w:rsidR="002A3C87">
        <w:t>.</w:t>
      </w:r>
      <w:r w:rsidR="000D1FE7">
        <w:rPr>
          <w:rStyle w:val="a8"/>
        </w:rPr>
        <w:footnoteReference w:id="22"/>
      </w:r>
      <w:r w:rsidR="004F1868">
        <w:t xml:space="preserve"> </w:t>
      </w:r>
    </w:p>
    <w:p w14:paraId="3917F299" w14:textId="77777777" w:rsidR="004F1868" w:rsidRDefault="004F1868"/>
    <w:p w14:paraId="64DD09A2" w14:textId="0AE416C3" w:rsidR="00F033F7" w:rsidRDefault="004F1868">
      <w:r>
        <w:t>Bollard defends his views in later articles, but it is hard not to have some sympathy with Mac Cana and Jackson in this regard.</w:t>
      </w:r>
      <w:r w:rsidR="00234A7E">
        <w:t xml:space="preserve"> For example, Mac Cana points out </w:t>
      </w:r>
      <w:r w:rsidR="00525A8F">
        <w:t>problems in</w:t>
      </w:r>
      <w:r w:rsidR="00234A7E">
        <w:t xml:space="preserve"> the portrayal</w:t>
      </w:r>
      <w:r w:rsidR="00525A8F">
        <w:t xml:space="preserve"> of Rhiannon and </w:t>
      </w:r>
      <w:proofErr w:type="spellStart"/>
      <w:r w:rsidR="00525A8F">
        <w:t>Pwyll’s</w:t>
      </w:r>
      <w:proofErr w:type="spellEnd"/>
      <w:r w:rsidR="00525A8F">
        <w:t xml:space="preserve"> relationship in the wake of the child’s abduction, when despite her daily penance she retains her place of </w:t>
      </w:r>
      <w:proofErr w:type="spellStart"/>
      <w:r w:rsidR="00525A8F">
        <w:t>honour</w:t>
      </w:r>
      <w:proofErr w:type="spellEnd"/>
      <w:r w:rsidR="00525A8F">
        <w:t xml:space="preserve"> at the court.</w:t>
      </w:r>
      <w:r w:rsidR="000D1FE7">
        <w:rPr>
          <w:rStyle w:val="a8"/>
        </w:rPr>
        <w:footnoteReference w:id="23"/>
      </w:r>
      <w:r w:rsidR="00525A8F">
        <w:t xml:space="preserve"> We might concede that </w:t>
      </w:r>
      <w:proofErr w:type="spellStart"/>
      <w:r w:rsidR="00525A8F">
        <w:t>Pwyll</w:t>
      </w:r>
      <w:proofErr w:type="spellEnd"/>
      <w:r w:rsidR="00525A8F">
        <w:t xml:space="preserve"> is determined to defend his wife’s honor and trusts her reputation will be restored, or that this </w:t>
      </w:r>
      <w:r w:rsidR="00AF2774">
        <w:t xml:space="preserve">simply </w:t>
      </w:r>
      <w:r w:rsidR="00525A8F">
        <w:t xml:space="preserve">reflects </w:t>
      </w:r>
      <w:r w:rsidR="00AF2774">
        <w:t>the rigid</w:t>
      </w:r>
      <w:r w:rsidR="00525A8F">
        <w:t xml:space="preserve"> </w:t>
      </w:r>
      <w:r w:rsidR="00AF2774">
        <w:t xml:space="preserve">adherence to </w:t>
      </w:r>
      <w:r w:rsidR="00525A8F">
        <w:t xml:space="preserve">seating </w:t>
      </w:r>
      <w:r w:rsidR="00AF2774">
        <w:t>conventions</w:t>
      </w:r>
      <w:r w:rsidR="00525A8F">
        <w:t xml:space="preserve"> in medieval </w:t>
      </w:r>
      <w:r w:rsidR="00AB6FF4">
        <w:t>Welsh</w:t>
      </w:r>
      <w:r w:rsidR="00AF2774">
        <w:t xml:space="preserve"> courts</w:t>
      </w:r>
      <w:r w:rsidR="00525A8F">
        <w:t xml:space="preserve">. However, it seems </w:t>
      </w:r>
      <w:r w:rsidR="00AF2774">
        <w:t xml:space="preserve">that </w:t>
      </w:r>
      <w:r w:rsidR="00525A8F">
        <w:t xml:space="preserve">the </w:t>
      </w:r>
      <w:r w:rsidR="00AF2774">
        <w:t>‘</w:t>
      </w:r>
      <w:r w:rsidR="00525A8F">
        <w:t>Calumniated Wife</w:t>
      </w:r>
      <w:r w:rsidR="00AF2774">
        <w:t>’</w:t>
      </w:r>
      <w:r w:rsidR="00525A8F">
        <w:t xml:space="preserve"> motif has </w:t>
      </w:r>
      <w:r w:rsidR="00DD2459">
        <w:t>perhaps</w:t>
      </w:r>
      <w:r w:rsidR="00525A8F">
        <w:t xml:space="preserve"> been inserted</w:t>
      </w:r>
      <w:r w:rsidR="00DD2459">
        <w:t xml:space="preserve"> somewhat artificially here.</w:t>
      </w:r>
      <w:r w:rsidR="00AF2774">
        <w:t xml:space="preserve"> </w:t>
      </w:r>
      <w:r w:rsidR="00DD2459">
        <w:t xml:space="preserve">Mac Cana points out a more serious error in the second branch, where </w:t>
      </w:r>
      <w:proofErr w:type="spellStart"/>
      <w:r w:rsidR="00DD2459">
        <w:t>Efnisien’s</w:t>
      </w:r>
      <w:proofErr w:type="spellEnd"/>
      <w:r w:rsidR="00DD2459">
        <w:t xml:space="preserve"> violent reaction to </w:t>
      </w:r>
      <w:proofErr w:type="spellStart"/>
      <w:r w:rsidR="00DD2459">
        <w:t>Branwen’s</w:t>
      </w:r>
      <w:proofErr w:type="spellEnd"/>
      <w:r w:rsidR="00DD2459">
        <w:t xml:space="preserve"> betrothal seemingly overlooks the fact that </w:t>
      </w:r>
      <w:proofErr w:type="spellStart"/>
      <w:r w:rsidR="00DD2459">
        <w:t>Matholwch</w:t>
      </w:r>
      <w:proofErr w:type="spellEnd"/>
      <w:r w:rsidR="00DD2459">
        <w:t xml:space="preserve"> </w:t>
      </w:r>
      <w:r w:rsidR="00161437">
        <w:t xml:space="preserve">had already </w:t>
      </w:r>
      <w:r w:rsidR="00DD2459">
        <w:t>informed him of his</w:t>
      </w:r>
      <w:r w:rsidR="00161437">
        <w:t xml:space="preserve"> purpose in the opening scene. </w:t>
      </w:r>
      <w:r>
        <w:t>It seems clear</w:t>
      </w:r>
      <w:r w:rsidR="00DD2459">
        <w:t>, therefore,</w:t>
      </w:r>
      <w:r>
        <w:t xml:space="preserve"> that</w:t>
      </w:r>
      <w:r w:rsidR="00DD2459">
        <w:t xml:space="preserve"> study of</w:t>
      </w:r>
      <w:r w:rsidR="005E3E35">
        <w:t xml:space="preserve"> f</w:t>
      </w:r>
      <w:r>
        <w:t xml:space="preserve">olklore </w:t>
      </w:r>
      <w:r w:rsidR="005E3E35">
        <w:t>and motifs</w:t>
      </w:r>
      <w:r>
        <w:t xml:space="preserve"> can be </w:t>
      </w:r>
      <w:r w:rsidR="00DD2459">
        <w:t xml:space="preserve">extremely </w:t>
      </w:r>
      <w:r>
        <w:t xml:space="preserve">fruitful </w:t>
      </w:r>
      <w:r w:rsidR="00EA0CF5">
        <w:t>in</w:t>
      </w:r>
      <w:r w:rsidR="005E3E35">
        <w:t xml:space="preserve"> illuminating our understanding</w:t>
      </w:r>
      <w:r w:rsidR="00234A7E">
        <w:t xml:space="preserve"> of</w:t>
      </w:r>
      <w:r w:rsidR="00DD2459">
        <w:t xml:space="preserve"> </w:t>
      </w:r>
      <w:r>
        <w:t xml:space="preserve">the text. </w:t>
      </w:r>
      <w:r w:rsidR="00251FC2">
        <w:t>As Mac Cana reminds us here, it is important to keep an open mind and to employ diverse methods of ‘assessment and interpretation’.</w:t>
      </w:r>
      <w:r w:rsidR="00AF2774">
        <w:rPr>
          <w:rStyle w:val="a8"/>
        </w:rPr>
        <w:footnoteReference w:id="24"/>
      </w:r>
    </w:p>
    <w:p w14:paraId="3D8D1D99" w14:textId="77777777" w:rsidR="00750CA5" w:rsidRDefault="00750CA5"/>
    <w:p w14:paraId="25D69BB8" w14:textId="0D5C0E34" w:rsidR="007B35F5" w:rsidRDefault="000036DB">
      <w:r>
        <w:t xml:space="preserve">Despite his criticisms of Bollard’s ideas described above, Mac Cana concedes that sections of the text, particularly the portrayal of the calm and rational </w:t>
      </w:r>
      <w:proofErr w:type="spellStart"/>
      <w:r>
        <w:t>Manawydan</w:t>
      </w:r>
      <w:proofErr w:type="spellEnd"/>
      <w:r>
        <w:t xml:space="preserve"> in the Third Branch, seem to suggest an author who is able to </w:t>
      </w:r>
      <w:r w:rsidR="00161437">
        <w:t>competently</w:t>
      </w:r>
      <w:r w:rsidR="00AF2774">
        <w:t xml:space="preserve"> </w:t>
      </w:r>
      <w:r>
        <w:t>marshal traditional sources in order to convey a personal vision that was relevant to “the social and political” circumstances of his era.</w:t>
      </w:r>
      <w:r w:rsidR="00161437">
        <w:rPr>
          <w:rStyle w:val="a8"/>
        </w:rPr>
        <w:footnoteReference w:id="25"/>
      </w:r>
      <w:r>
        <w:t xml:space="preserve"> Indeed, the connection of the text to contemporary events and</w:t>
      </w:r>
      <w:r w:rsidR="00C152C9">
        <w:t xml:space="preserve"> </w:t>
      </w:r>
      <w:r>
        <w:t xml:space="preserve">the question of how a medieval readership would have understood such references have emerged as key </w:t>
      </w:r>
      <w:r w:rsidR="00C152C9">
        <w:t>issues</w:t>
      </w:r>
      <w:r w:rsidR="00EE556E">
        <w:t xml:space="preserve"> in the debate surrounding the </w:t>
      </w:r>
      <w:proofErr w:type="spellStart"/>
      <w:r w:rsidR="00EE556E">
        <w:t>Mabinogi</w:t>
      </w:r>
      <w:proofErr w:type="spellEnd"/>
      <w:r w:rsidR="00EE556E">
        <w:t>.</w:t>
      </w:r>
      <w:r>
        <w:t xml:space="preserve">   </w:t>
      </w:r>
    </w:p>
    <w:p w14:paraId="3CFFCE84" w14:textId="77777777" w:rsidR="001C0238" w:rsidRDefault="001C0238"/>
    <w:p w14:paraId="6D192C11" w14:textId="37DDD448" w:rsidR="0001318C" w:rsidRDefault="00486401">
      <w:r>
        <w:t xml:space="preserve">According to </w:t>
      </w:r>
      <w:proofErr w:type="spellStart"/>
      <w:r>
        <w:t>Sioned</w:t>
      </w:r>
      <w:proofErr w:type="spellEnd"/>
      <w:r>
        <w:t xml:space="preserve"> Davies, citing earlier research</w:t>
      </w:r>
      <w:r w:rsidR="00C152C9">
        <w:t xml:space="preserve">, the Four Branches were first </w:t>
      </w:r>
      <w:r>
        <w:t xml:space="preserve">composed in the second half of the eleventh century, while the earliest preserved complete versions of the </w:t>
      </w:r>
      <w:proofErr w:type="spellStart"/>
      <w:r>
        <w:t>Mabinogi</w:t>
      </w:r>
      <w:proofErr w:type="spellEnd"/>
      <w:r>
        <w:t xml:space="preserve"> </w:t>
      </w:r>
      <w:proofErr w:type="gramStart"/>
      <w:r>
        <w:t>are</w:t>
      </w:r>
      <w:proofErr w:type="gramEnd"/>
      <w:r>
        <w:t xml:space="preserve"> to be found in </w:t>
      </w:r>
      <w:r w:rsidRPr="00486401">
        <w:t xml:space="preserve">the </w:t>
      </w:r>
      <w:r w:rsidRPr="00F84A10">
        <w:rPr>
          <w:i/>
        </w:rPr>
        <w:t xml:space="preserve">White Book of </w:t>
      </w:r>
      <w:proofErr w:type="spellStart"/>
      <w:r w:rsidRPr="00F84A10">
        <w:rPr>
          <w:i/>
        </w:rPr>
        <w:t>Rhydderch</w:t>
      </w:r>
      <w:proofErr w:type="spellEnd"/>
      <w:r w:rsidRPr="00486401">
        <w:t xml:space="preserve"> (c. 1350) and the </w:t>
      </w:r>
      <w:r w:rsidRPr="00F84A10">
        <w:rPr>
          <w:i/>
        </w:rPr>
        <w:t xml:space="preserve">Red Book of </w:t>
      </w:r>
      <w:proofErr w:type="spellStart"/>
      <w:r w:rsidRPr="00F84A10">
        <w:rPr>
          <w:i/>
        </w:rPr>
        <w:t>Hergest</w:t>
      </w:r>
      <w:proofErr w:type="spellEnd"/>
      <w:r w:rsidRPr="00F84A10">
        <w:rPr>
          <w:i/>
        </w:rPr>
        <w:t xml:space="preserve"> </w:t>
      </w:r>
      <w:r w:rsidRPr="00486401">
        <w:t>(c. 1400)</w:t>
      </w:r>
      <w:r>
        <w:t>.</w:t>
      </w:r>
      <w:r w:rsidR="00291AB4">
        <w:rPr>
          <w:rStyle w:val="a8"/>
        </w:rPr>
        <w:footnoteReference w:id="26"/>
      </w:r>
      <w:r>
        <w:t xml:space="preserve"> This suggests that the creation and dissemination of the tales took place during a crucial and turbulent period in Welsh history, encompassing the Norman Invasion, </w:t>
      </w:r>
      <w:r w:rsidR="00407DD9">
        <w:t>the emergence of the Welsh princes</w:t>
      </w:r>
      <w:r w:rsidR="00C152C9">
        <w:t xml:space="preserve"> in </w:t>
      </w:r>
      <w:proofErr w:type="spellStart"/>
      <w:r w:rsidR="008C736A">
        <w:t>Gwynedd</w:t>
      </w:r>
      <w:proofErr w:type="spellEnd"/>
      <w:r w:rsidR="00407DD9">
        <w:t xml:space="preserve">, and the subsequent destruction of Welsh independence. It seems reasonable to surmise that this background must have had some measure of influence on the choice of subject matter found in the </w:t>
      </w:r>
      <w:proofErr w:type="spellStart"/>
      <w:r w:rsidR="00407DD9">
        <w:t>Mabinogi</w:t>
      </w:r>
      <w:proofErr w:type="spellEnd"/>
      <w:r w:rsidR="00407DD9">
        <w:t>.</w:t>
      </w:r>
      <w:r w:rsidR="00EF08A9">
        <w:t xml:space="preserve"> It may therefore offer us another important </w:t>
      </w:r>
      <w:r w:rsidR="00F0382A">
        <w:t>approach</w:t>
      </w:r>
      <w:r w:rsidR="00EF08A9">
        <w:t xml:space="preserve"> for understanding the text</w:t>
      </w:r>
      <w:r w:rsidR="00A622D9">
        <w:t xml:space="preserve"> and the audience it was aimed at</w:t>
      </w:r>
      <w:r w:rsidR="00EF08A9">
        <w:t>.</w:t>
      </w:r>
    </w:p>
    <w:p w14:paraId="1CE68A36" w14:textId="77777777" w:rsidR="00407DD9" w:rsidRDefault="00407DD9"/>
    <w:p w14:paraId="230E5F61" w14:textId="43E1ECFF" w:rsidR="00951D44" w:rsidRDefault="00A622D9">
      <w:r>
        <w:t>Helen Fulton</w:t>
      </w:r>
      <w:r w:rsidR="00EF08A9">
        <w:t xml:space="preserve"> </w:t>
      </w:r>
      <w:r>
        <w:t xml:space="preserve">has made a strong argument that we should see the </w:t>
      </w:r>
      <w:proofErr w:type="spellStart"/>
      <w:r>
        <w:t>Mabinogi</w:t>
      </w:r>
      <w:proofErr w:type="spellEnd"/>
      <w:r>
        <w:t xml:space="preserve"> as more than purely a work of </w:t>
      </w:r>
      <w:proofErr w:type="gramStart"/>
      <w:r w:rsidR="00DB4866">
        <w:t>straight forward</w:t>
      </w:r>
      <w:proofErr w:type="gramEnd"/>
      <w:r w:rsidR="00DB4866">
        <w:t xml:space="preserve"> </w:t>
      </w:r>
      <w:r>
        <w:t xml:space="preserve">literature or entertainment. In her view, the </w:t>
      </w:r>
      <w:proofErr w:type="spellStart"/>
      <w:r>
        <w:t>Mabinogi</w:t>
      </w:r>
      <w:proofErr w:type="spellEnd"/>
      <w:r>
        <w:t xml:space="preserve"> had a ‘particular resonance’ for the Welsh aristocracy of the thirteenth and fourteenth centuries, </w:t>
      </w:r>
      <w:r w:rsidR="00A92A5D">
        <w:t xml:space="preserve">as they came to terms with new political and social realities in the wake of the </w:t>
      </w:r>
      <w:r w:rsidR="00F84A10">
        <w:t>English conquest</w:t>
      </w:r>
      <w:r w:rsidR="00A92A5D">
        <w:t>.</w:t>
      </w:r>
      <w:r w:rsidR="000539E5">
        <w:rPr>
          <w:rStyle w:val="a8"/>
        </w:rPr>
        <w:footnoteReference w:id="27"/>
      </w:r>
      <w:r w:rsidR="00A92A5D">
        <w:t xml:space="preserve"> Fulton rightly points out that Welsh learning </w:t>
      </w:r>
      <w:proofErr w:type="gramStart"/>
      <w:r w:rsidR="00A92A5D">
        <w:t>was</w:t>
      </w:r>
      <w:proofErr w:type="gramEnd"/>
      <w:r w:rsidR="00A92A5D">
        <w:t xml:space="preserve"> highly influenced by the incoming </w:t>
      </w:r>
      <w:r w:rsidR="00F84A10">
        <w:t>English</w:t>
      </w:r>
      <w:r w:rsidR="00A92A5D">
        <w:t xml:space="preserve"> and the wider developments in the European political system. She claims that this influence </w:t>
      </w:r>
      <w:r w:rsidR="009507FB">
        <w:t>included a particular style of k</w:t>
      </w:r>
      <w:r w:rsidR="00A92A5D">
        <w:t>ingship, namely the feudal model that in her view was overtaking an older, what she terms a ‘theocratic’, mode of rule. S</w:t>
      </w:r>
      <w:r w:rsidR="00F84A10">
        <w:t xml:space="preserve">he notes that the rulers of </w:t>
      </w:r>
      <w:proofErr w:type="spellStart"/>
      <w:r w:rsidR="00F84A10">
        <w:t>Gwy</w:t>
      </w:r>
      <w:r w:rsidR="00A92A5D">
        <w:t>nedd</w:t>
      </w:r>
      <w:proofErr w:type="spellEnd"/>
      <w:r w:rsidR="00A92A5D">
        <w:t xml:space="preserve">, for example, embraced the newly evolving system and took on many of the political </w:t>
      </w:r>
      <w:r w:rsidR="00951D44">
        <w:t xml:space="preserve">norms of </w:t>
      </w:r>
      <w:r w:rsidR="00A92A5D">
        <w:t>their powerful English neighbor.</w:t>
      </w:r>
      <w:r w:rsidR="000539E5">
        <w:rPr>
          <w:rStyle w:val="a8"/>
        </w:rPr>
        <w:footnoteReference w:id="28"/>
      </w:r>
      <w:r w:rsidR="0038402B">
        <w:t xml:space="preserve"> All of this would seem to be a reasonable analysis of the background in which the </w:t>
      </w:r>
      <w:proofErr w:type="spellStart"/>
      <w:r w:rsidR="0038402B">
        <w:t>Mabinogi</w:t>
      </w:r>
      <w:proofErr w:type="spellEnd"/>
      <w:r w:rsidR="0038402B">
        <w:t xml:space="preserve"> was written down.</w:t>
      </w:r>
    </w:p>
    <w:p w14:paraId="687F1A8E" w14:textId="77777777" w:rsidR="0038402B" w:rsidRDefault="0038402B"/>
    <w:p w14:paraId="09B926BC" w14:textId="5242136A" w:rsidR="0038402B" w:rsidRDefault="0038402B">
      <w:r>
        <w:t xml:space="preserve">In Fulton’s view, however, the </w:t>
      </w:r>
      <w:proofErr w:type="spellStart"/>
      <w:r>
        <w:t>Mabinogi</w:t>
      </w:r>
      <w:proofErr w:type="spellEnd"/>
      <w:r>
        <w:t xml:space="preserve"> should be understood as serving a much more specific purpose than simply commentating on these important historical events</w:t>
      </w:r>
      <w:r w:rsidR="009507FB">
        <w:t>, or indeed dealing with more general issues of right and wrong</w:t>
      </w:r>
      <w:r>
        <w:t xml:space="preserve">. In her opinion, the </w:t>
      </w:r>
      <w:proofErr w:type="spellStart"/>
      <w:r>
        <w:t>Mabinogi</w:t>
      </w:r>
      <w:proofErr w:type="spellEnd"/>
      <w:r>
        <w:t xml:space="preserve"> had a didactic function </w:t>
      </w:r>
      <w:r w:rsidR="009507FB">
        <w:t>aimed at educating</w:t>
      </w:r>
      <w:r>
        <w:t xml:space="preserve"> Welsh princes and the sons of the Welsh aristocracy about how to rule effectively.</w:t>
      </w:r>
      <w:r w:rsidR="000539E5">
        <w:rPr>
          <w:rStyle w:val="a8"/>
        </w:rPr>
        <w:footnoteReference w:id="29"/>
      </w:r>
      <w:r>
        <w:t xml:space="preserve"> </w:t>
      </w:r>
      <w:r w:rsidR="00E258B1">
        <w:t xml:space="preserve">Fulton places the text in the </w:t>
      </w:r>
      <w:r w:rsidR="00E258B1" w:rsidRPr="00E258B1">
        <w:rPr>
          <w:i/>
        </w:rPr>
        <w:t xml:space="preserve">speculum </w:t>
      </w:r>
      <w:proofErr w:type="spellStart"/>
      <w:r w:rsidR="00E258B1" w:rsidRPr="00E258B1">
        <w:rPr>
          <w:i/>
        </w:rPr>
        <w:t>principum</w:t>
      </w:r>
      <w:proofErr w:type="spellEnd"/>
      <w:r w:rsidR="00E258B1">
        <w:t xml:space="preserve"> (mirror of princes) genre, noting how these traditional texts were important in spreading ideas about correct feudal kingship throughout Europe in the twelfth and thirteenth centuries.</w:t>
      </w:r>
      <w:r w:rsidR="000539E5">
        <w:rPr>
          <w:rStyle w:val="a8"/>
        </w:rPr>
        <w:footnoteReference w:id="30"/>
      </w:r>
      <w:r w:rsidR="00E258B1">
        <w:t xml:space="preserve"> Building on Catherine McKenna’s suggestion that </w:t>
      </w:r>
      <w:proofErr w:type="spellStart"/>
      <w:r w:rsidR="00E258B1" w:rsidRPr="005F7DDE">
        <w:rPr>
          <w:i/>
        </w:rPr>
        <w:t>Pwyll</w:t>
      </w:r>
      <w:proofErr w:type="spellEnd"/>
      <w:r w:rsidR="00E258B1">
        <w:t xml:space="preserve"> had just such an exemplary function for Welsh princes, Fulton goes on to claim that </w:t>
      </w:r>
      <w:r w:rsidR="00E258B1" w:rsidRPr="00E258B1">
        <w:rPr>
          <w:i/>
        </w:rPr>
        <w:t>all</w:t>
      </w:r>
      <w:r w:rsidR="00E258B1">
        <w:t xml:space="preserve"> of the </w:t>
      </w:r>
      <w:r w:rsidR="00E258B1" w:rsidRPr="006751FE">
        <w:t>Four Branches</w:t>
      </w:r>
      <w:r w:rsidR="00E258B1" w:rsidRPr="00631F03">
        <w:rPr>
          <w:i/>
        </w:rPr>
        <w:t xml:space="preserve"> </w:t>
      </w:r>
      <w:r w:rsidR="00E258B1">
        <w:t xml:space="preserve">are intended </w:t>
      </w:r>
      <w:r w:rsidR="005F7DDE">
        <w:t>as ‘implicit’ instructional texts to assist the Welsh nobility.</w:t>
      </w:r>
      <w:r w:rsidR="000539E5">
        <w:rPr>
          <w:rStyle w:val="a8"/>
        </w:rPr>
        <w:footnoteReference w:id="31"/>
      </w:r>
    </w:p>
    <w:p w14:paraId="53B435C1" w14:textId="77777777" w:rsidR="005F7DDE" w:rsidRDefault="005F7DDE"/>
    <w:p w14:paraId="437F0814" w14:textId="6081C1C5" w:rsidR="005F7DDE" w:rsidRDefault="005F7DDE">
      <w:r>
        <w:t xml:space="preserve">In support of this rather startling assertion, Fulton notes </w:t>
      </w:r>
      <w:r w:rsidR="00F100D0">
        <w:t>that</w:t>
      </w:r>
      <w:r>
        <w:t xml:space="preserve"> other medieval texts</w:t>
      </w:r>
      <w:r w:rsidR="00F100D0">
        <w:t xml:space="preserve"> that were popular in Wales</w:t>
      </w:r>
      <w:r>
        <w:t xml:space="preserve">, such as Gerald of Wales’ </w:t>
      </w:r>
      <w:r w:rsidRPr="005F7DDE">
        <w:rPr>
          <w:i/>
        </w:rPr>
        <w:t xml:space="preserve">De </w:t>
      </w:r>
      <w:proofErr w:type="spellStart"/>
      <w:r w:rsidRPr="005F7DDE">
        <w:rPr>
          <w:i/>
        </w:rPr>
        <w:t>Principis</w:t>
      </w:r>
      <w:proofErr w:type="spellEnd"/>
      <w:r w:rsidRPr="005F7DDE">
        <w:rPr>
          <w:i/>
        </w:rPr>
        <w:t xml:space="preserve"> </w:t>
      </w:r>
      <w:proofErr w:type="spellStart"/>
      <w:r w:rsidRPr="005F7DDE">
        <w:rPr>
          <w:i/>
        </w:rPr>
        <w:t>Instructione</w:t>
      </w:r>
      <w:proofErr w:type="spellEnd"/>
      <w:r>
        <w:t xml:space="preserve">, </w:t>
      </w:r>
      <w:r w:rsidR="00F100D0">
        <w:t>can be placed</w:t>
      </w:r>
      <w:r>
        <w:t xml:space="preserve"> in</w:t>
      </w:r>
      <w:r w:rsidR="00D1473A">
        <w:t xml:space="preserve"> the speculum </w:t>
      </w:r>
      <w:proofErr w:type="spellStart"/>
      <w:r w:rsidR="00D1473A">
        <w:t>principum</w:t>
      </w:r>
      <w:proofErr w:type="spellEnd"/>
      <w:r w:rsidR="00D1473A">
        <w:t xml:space="preserve"> genre, </w:t>
      </w:r>
      <w:r w:rsidR="00F100D0">
        <w:t>as they possess</w:t>
      </w:r>
      <w:r w:rsidR="00D1473A">
        <w:t xml:space="preserve"> an ‘explicitly educational and prescriptive function’ for young princes.</w:t>
      </w:r>
      <w:r w:rsidR="000539E5">
        <w:rPr>
          <w:rStyle w:val="a8"/>
        </w:rPr>
        <w:footnoteReference w:id="32"/>
      </w:r>
      <w:r w:rsidR="00D1473A">
        <w:t xml:space="preserve"> More broadly, however, she also suggests that the definition of the ‘mirror of princes’ should also include popular romance and exemplary tales such as the </w:t>
      </w:r>
      <w:r w:rsidR="00D1473A" w:rsidRPr="006751FE">
        <w:t>Four Branches</w:t>
      </w:r>
      <w:r w:rsidR="00D1473A">
        <w:t xml:space="preserve">, as well as widely read narratives such as </w:t>
      </w:r>
      <w:proofErr w:type="spellStart"/>
      <w:r w:rsidR="00D1473A" w:rsidRPr="00D1473A">
        <w:rPr>
          <w:i/>
        </w:rPr>
        <w:t>Chwedlau</w:t>
      </w:r>
      <w:proofErr w:type="spellEnd"/>
      <w:r w:rsidR="00D1473A" w:rsidRPr="00D1473A">
        <w:rPr>
          <w:i/>
        </w:rPr>
        <w:t xml:space="preserve"> </w:t>
      </w:r>
      <w:proofErr w:type="spellStart"/>
      <w:r w:rsidR="00D1473A" w:rsidRPr="00D1473A">
        <w:rPr>
          <w:i/>
        </w:rPr>
        <w:t>Odo</w:t>
      </w:r>
      <w:proofErr w:type="spellEnd"/>
      <w:r w:rsidR="00D1473A">
        <w:t xml:space="preserve"> and </w:t>
      </w:r>
      <w:proofErr w:type="spellStart"/>
      <w:r w:rsidR="00D1473A" w:rsidRPr="00D1473A">
        <w:rPr>
          <w:i/>
        </w:rPr>
        <w:t>Chwedlau</w:t>
      </w:r>
      <w:proofErr w:type="spellEnd"/>
      <w:r w:rsidR="00D1473A" w:rsidRPr="00D1473A">
        <w:rPr>
          <w:i/>
        </w:rPr>
        <w:t xml:space="preserve"> </w:t>
      </w:r>
      <w:proofErr w:type="spellStart"/>
      <w:r w:rsidR="00D1473A" w:rsidRPr="00D1473A">
        <w:rPr>
          <w:i/>
        </w:rPr>
        <w:t>Saith</w:t>
      </w:r>
      <w:proofErr w:type="spellEnd"/>
      <w:r w:rsidR="00D1473A" w:rsidRPr="00D1473A">
        <w:rPr>
          <w:i/>
        </w:rPr>
        <w:t xml:space="preserve"> </w:t>
      </w:r>
      <w:proofErr w:type="spellStart"/>
      <w:r w:rsidR="00D1473A" w:rsidRPr="00D1473A">
        <w:rPr>
          <w:i/>
        </w:rPr>
        <w:t>Ddoethion</w:t>
      </w:r>
      <w:proofErr w:type="spellEnd"/>
      <w:r w:rsidR="00D1473A" w:rsidRPr="00D1473A">
        <w:rPr>
          <w:i/>
        </w:rPr>
        <w:t xml:space="preserve"> </w:t>
      </w:r>
      <w:proofErr w:type="spellStart"/>
      <w:r w:rsidR="00D1473A" w:rsidRPr="00D1473A">
        <w:rPr>
          <w:i/>
        </w:rPr>
        <w:t>Rhufain</w:t>
      </w:r>
      <w:proofErr w:type="spellEnd"/>
      <w:r w:rsidR="00750D20">
        <w:t>.</w:t>
      </w:r>
      <w:r w:rsidR="000539E5">
        <w:rPr>
          <w:rStyle w:val="a8"/>
        </w:rPr>
        <w:footnoteReference w:id="33"/>
      </w:r>
    </w:p>
    <w:p w14:paraId="65E1C4D3" w14:textId="77777777" w:rsidR="00750D20" w:rsidRDefault="00750D20"/>
    <w:p w14:paraId="03B0F206" w14:textId="6F7295FB" w:rsidR="00951D44" w:rsidRDefault="00750D20">
      <w:r>
        <w:t>Fulton argues that each of the Four Branches offers an exemp</w:t>
      </w:r>
      <w:r w:rsidR="00594B04">
        <w:t>lary portrait of a</w:t>
      </w:r>
      <w:r w:rsidR="009507FB">
        <w:t xml:space="preserve"> </w:t>
      </w:r>
      <w:r w:rsidR="00594B04">
        <w:t>s</w:t>
      </w:r>
      <w:r>
        <w:t>pecific</w:t>
      </w:r>
      <w:r w:rsidR="00594B04">
        <w:t xml:space="preserve"> kind of prince:</w:t>
      </w:r>
      <w:r>
        <w:t xml:space="preserve"> namely</w:t>
      </w:r>
      <w:r w:rsidR="00594B04">
        <w:t>,</w:t>
      </w:r>
      <w:r>
        <w:t xml:space="preserve"> regional, national, regent and boy-prince.</w:t>
      </w:r>
      <w:r w:rsidR="00FB791D">
        <w:rPr>
          <w:rStyle w:val="a8"/>
        </w:rPr>
        <w:footnoteReference w:id="34"/>
      </w:r>
      <w:r>
        <w:t xml:space="preserve"> </w:t>
      </w:r>
      <w:r w:rsidR="00594B04">
        <w:t>Also important is the concept of the ‘</w:t>
      </w:r>
      <w:proofErr w:type="spellStart"/>
      <w:r w:rsidR="00594B04">
        <w:t>mab</w:t>
      </w:r>
      <w:proofErr w:type="spellEnd"/>
      <w:r w:rsidR="00594B04">
        <w:t>’, the untutored prince who receives guidance from an older, seemingly wiser male mentor figure.</w:t>
      </w:r>
      <w:r w:rsidR="00D740DF">
        <w:t xml:space="preserve"> In the </w:t>
      </w:r>
      <w:proofErr w:type="spellStart"/>
      <w:r w:rsidR="00D740DF">
        <w:t>Mabinogi</w:t>
      </w:r>
      <w:proofErr w:type="spellEnd"/>
      <w:r w:rsidR="00D740DF">
        <w:t xml:space="preserve">, according to Fulton, </w:t>
      </w:r>
      <w:proofErr w:type="spellStart"/>
      <w:r w:rsidR="00D740DF">
        <w:t>Pryderi</w:t>
      </w:r>
      <w:proofErr w:type="spellEnd"/>
      <w:r w:rsidR="00B433C8">
        <w:t xml:space="preserve"> (twice)</w:t>
      </w:r>
      <w:r w:rsidR="00D740DF">
        <w:t xml:space="preserve">, </w:t>
      </w:r>
      <w:proofErr w:type="spellStart"/>
      <w:r w:rsidR="00D740DF">
        <w:t>Gwern</w:t>
      </w:r>
      <w:proofErr w:type="spellEnd"/>
      <w:r w:rsidR="00D740DF">
        <w:t xml:space="preserve"> (extremely briefly it seems!) and </w:t>
      </w:r>
      <w:proofErr w:type="spellStart"/>
      <w:r w:rsidR="00D740DF">
        <w:t>Lleu</w:t>
      </w:r>
      <w:proofErr w:type="spellEnd"/>
      <w:r w:rsidR="00D740DF">
        <w:t xml:space="preserve"> </w:t>
      </w:r>
      <w:proofErr w:type="spellStart"/>
      <w:r w:rsidR="00D740DF">
        <w:t>Llaw</w:t>
      </w:r>
      <w:proofErr w:type="spellEnd"/>
      <w:r w:rsidR="00D740DF">
        <w:t xml:space="preserve"> </w:t>
      </w:r>
      <w:proofErr w:type="spellStart"/>
      <w:r w:rsidR="00D740DF">
        <w:t>Gyffes</w:t>
      </w:r>
      <w:proofErr w:type="spellEnd"/>
      <w:r w:rsidR="00D740DF">
        <w:t xml:space="preserve"> serve as such figures and </w:t>
      </w:r>
      <w:r w:rsidR="00B433C8">
        <w:t>reveal</w:t>
      </w:r>
      <w:r w:rsidR="00D740DF">
        <w:t xml:space="preserve"> the supposed true purpose of the text.</w:t>
      </w:r>
      <w:r w:rsidR="00FB791D">
        <w:rPr>
          <w:rStyle w:val="a8"/>
        </w:rPr>
        <w:footnoteReference w:id="35"/>
      </w:r>
      <w:r w:rsidR="00D740DF">
        <w:t xml:space="preserve"> </w:t>
      </w:r>
      <w:r w:rsidR="00B433C8">
        <w:t>Moreover, Fulton argues that these four kinds of roles mirror the real life positions of lordship open to thirteenth century Welsh princes. As such, the Four Branches offered the Welsh nobility ‘dynamic examples’ of effective leadership withi</w:t>
      </w:r>
      <w:r w:rsidR="00506D02">
        <w:t>n a feudal structure, which were</w:t>
      </w:r>
      <w:r w:rsidR="00AE1405">
        <w:t xml:space="preserve"> presented at</w:t>
      </w:r>
      <w:r w:rsidR="00B433C8">
        <w:t xml:space="preserve"> ‘</w:t>
      </w:r>
      <w:r w:rsidR="00AE1405">
        <w:t xml:space="preserve">symbolic and allegorical levels’ in the </w:t>
      </w:r>
      <w:proofErr w:type="spellStart"/>
      <w:r w:rsidR="00AE1405">
        <w:t>Mabinogi</w:t>
      </w:r>
      <w:proofErr w:type="spellEnd"/>
      <w:r w:rsidR="00B433C8">
        <w:t>.</w:t>
      </w:r>
      <w:r w:rsidR="00506D02">
        <w:rPr>
          <w:rStyle w:val="a8"/>
        </w:rPr>
        <w:footnoteReference w:id="36"/>
      </w:r>
      <w:r w:rsidR="00AE1405">
        <w:t xml:space="preserve"> It is also important to note that, far from </w:t>
      </w:r>
      <w:r w:rsidR="00F100D0">
        <w:t>rejecting</w:t>
      </w:r>
      <w:r w:rsidR="00AE1405">
        <w:t xml:space="preserve"> the invaders’ culture, the Welsh princes and their nobles </w:t>
      </w:r>
      <w:r w:rsidR="00506D02">
        <w:t>were often</w:t>
      </w:r>
      <w:r w:rsidR="00AE1405">
        <w:t xml:space="preserve"> seen to be consciously adopting its norms and social practices</w:t>
      </w:r>
      <w:r w:rsidR="00506D02">
        <w:t xml:space="preserve"> during this period</w:t>
      </w:r>
      <w:r w:rsidR="00AE1405">
        <w:t>.</w:t>
      </w:r>
    </w:p>
    <w:p w14:paraId="67C7AE05" w14:textId="77777777" w:rsidR="00AE1405" w:rsidRDefault="00AE1405"/>
    <w:p w14:paraId="726BD3A0" w14:textId="25970DF1" w:rsidR="00AE1405" w:rsidRDefault="00AE1405">
      <w:r>
        <w:t xml:space="preserve">Fulton makes a persuasive argument for seeing the </w:t>
      </w:r>
      <w:proofErr w:type="spellStart"/>
      <w:r>
        <w:t>Mabinogi</w:t>
      </w:r>
      <w:proofErr w:type="spellEnd"/>
      <w:r>
        <w:t xml:space="preserve"> as a kind of princes’ handbook, teaching them the moral lessons they need</w:t>
      </w:r>
      <w:r w:rsidR="00F100D0">
        <w:t>ed</w:t>
      </w:r>
      <w:r>
        <w:t xml:space="preserve"> to survive and sustain the nobility to the next generation. The </w:t>
      </w:r>
      <w:proofErr w:type="spellStart"/>
      <w:r>
        <w:t>Mabinogi</w:t>
      </w:r>
      <w:proofErr w:type="spellEnd"/>
      <w:r>
        <w:t xml:space="preserve"> does indeed focus very much on the role of the king and the potential challenges of succession and change. However, we might raise some objections before we wholly subscribe to her views. For one thing, if the </w:t>
      </w:r>
      <w:proofErr w:type="spellStart"/>
      <w:r>
        <w:t>Mabinogi</w:t>
      </w:r>
      <w:proofErr w:type="spellEnd"/>
      <w:r>
        <w:t xml:space="preserve"> was meant to be </w:t>
      </w:r>
      <w:r w:rsidR="00D5584A">
        <w:t xml:space="preserve">didactic, we might expect some kind of introductory material to give context to the tales and perhaps mention specific noble patrons whose sons would be expected to read or listen to the tales. The </w:t>
      </w:r>
      <w:proofErr w:type="spellStart"/>
      <w:r w:rsidR="00D5584A">
        <w:t>Mabinogi</w:t>
      </w:r>
      <w:proofErr w:type="spellEnd"/>
      <w:r w:rsidR="00D5584A">
        <w:t xml:space="preserve"> seems to lack such framing material. Furthermore, the idea that the Four Branches </w:t>
      </w:r>
      <w:proofErr w:type="gramStart"/>
      <w:r w:rsidR="00D5584A">
        <w:t>were primarily intended to be read or</w:t>
      </w:r>
      <w:proofErr w:type="gramEnd"/>
      <w:r w:rsidR="00D5584A">
        <w:t xml:space="preserve"> heard by princes and nobles seems rather </w:t>
      </w:r>
      <w:r w:rsidR="00F100D0">
        <w:t>difficult</w:t>
      </w:r>
      <w:r w:rsidR="00D5584A">
        <w:t xml:space="preserve"> to </w:t>
      </w:r>
      <w:r w:rsidR="00F100D0">
        <w:t>accept</w:t>
      </w:r>
      <w:r w:rsidR="00D5584A">
        <w:t xml:space="preserve">. As we shall see, the tales were deeply bound up in oral tradition and are imbued with fantastical and supernatural events. Surely such material would have been understood and </w:t>
      </w:r>
      <w:r w:rsidR="009507FB">
        <w:t xml:space="preserve">avidly </w:t>
      </w:r>
      <w:r w:rsidR="00D5584A">
        <w:t>consumed by a much wider audience in the form of storytelling and word of mouth. The tales therefore might be taken to have a much wider significance, perhaps offering universal moral le</w:t>
      </w:r>
      <w:r w:rsidR="00D93E27">
        <w:t xml:space="preserve">ssons, rather than being </w:t>
      </w:r>
      <w:r w:rsidR="00622743">
        <w:t xml:space="preserve">narrowly </w:t>
      </w:r>
      <w:r w:rsidR="00D93E27">
        <w:t>focused on the social and p</w:t>
      </w:r>
      <w:r w:rsidR="00506D02">
        <w:t>olitical affairs of the moment.</w:t>
      </w:r>
    </w:p>
    <w:p w14:paraId="63DE7943" w14:textId="77777777" w:rsidR="00622743" w:rsidRDefault="00622743"/>
    <w:p w14:paraId="757D11CD" w14:textId="2F289398" w:rsidR="006B5664" w:rsidRDefault="00622743">
      <w:r>
        <w:t>It is also important to note that, despite their seeming connection, each branch of th</w:t>
      </w:r>
      <w:r w:rsidR="001A14AD">
        <w:t xml:space="preserve">e </w:t>
      </w:r>
      <w:proofErr w:type="spellStart"/>
      <w:r w:rsidR="001A14AD">
        <w:t>Mabinogi</w:t>
      </w:r>
      <w:proofErr w:type="spellEnd"/>
      <w:r w:rsidR="001A14AD">
        <w:t xml:space="preserve"> is quite distinct</w:t>
      </w:r>
      <w:r w:rsidR="009507FB">
        <w:t xml:space="preserve">, which makes it difficult to talk in definitive terms about </w:t>
      </w:r>
      <w:r w:rsidR="00506D02">
        <w:t>a</w:t>
      </w:r>
      <w:r w:rsidR="009507FB">
        <w:t xml:space="preserve"> </w:t>
      </w:r>
      <w:r w:rsidR="00506D02">
        <w:t>clear</w:t>
      </w:r>
      <w:r w:rsidR="009507FB">
        <w:t xml:space="preserve"> ‘author’s purpose’.</w:t>
      </w:r>
      <w:r w:rsidR="001A14AD">
        <w:t xml:space="preserve"> Scholars have often focused closely on a particular branch and found what they regard as the ‘key’ to understanding it, </w:t>
      </w:r>
      <w:r w:rsidR="00F100D0">
        <w:t>implying that</w:t>
      </w:r>
      <w:r w:rsidR="001A14AD">
        <w:t xml:space="preserve"> their discovery </w:t>
      </w:r>
      <w:r w:rsidR="00F100D0">
        <w:t xml:space="preserve">has relevance for </w:t>
      </w:r>
      <w:r w:rsidR="001A14AD">
        <w:t xml:space="preserve">the </w:t>
      </w:r>
      <w:r w:rsidR="00F100D0">
        <w:t>other three branches</w:t>
      </w:r>
      <w:r w:rsidR="001A14AD">
        <w:t>. An example of this is Byr</w:t>
      </w:r>
      <w:r w:rsidR="00506D02">
        <w:t xml:space="preserve">on </w:t>
      </w:r>
      <w:proofErr w:type="spellStart"/>
      <w:r w:rsidR="00506D02">
        <w:t>Huws</w:t>
      </w:r>
      <w:proofErr w:type="spellEnd"/>
      <w:r w:rsidR="00506D02">
        <w:t xml:space="preserve"> in his analysis of the Third B</w:t>
      </w:r>
      <w:r w:rsidR="001A14AD">
        <w:t xml:space="preserve">ranch. </w:t>
      </w:r>
      <w:proofErr w:type="spellStart"/>
      <w:r w:rsidR="001A14AD">
        <w:t>Huws</w:t>
      </w:r>
      <w:proofErr w:type="spellEnd"/>
      <w:r w:rsidR="001A14AD">
        <w:t xml:space="preserve"> sees the enchantment of Dyfed in </w:t>
      </w:r>
      <w:proofErr w:type="spellStart"/>
      <w:r w:rsidR="001A14AD" w:rsidRPr="001A14AD">
        <w:rPr>
          <w:i/>
        </w:rPr>
        <w:t>Manawydan</w:t>
      </w:r>
      <w:proofErr w:type="spellEnd"/>
      <w:r w:rsidR="001A14AD">
        <w:t xml:space="preserve"> as an allegory for the historical clearances of the </w:t>
      </w:r>
      <w:proofErr w:type="spellStart"/>
      <w:r w:rsidR="001A14AD">
        <w:t>Deheubarth</w:t>
      </w:r>
      <w:proofErr w:type="spellEnd"/>
      <w:r w:rsidR="001A14AD">
        <w:t xml:space="preserve"> region (particularly in Dyfed) enacted on behalf of King Henry in the late eleventh and early twelfth centuries. </w:t>
      </w:r>
      <w:proofErr w:type="spellStart"/>
      <w:r w:rsidR="006E1B8C">
        <w:t>Huws</w:t>
      </w:r>
      <w:proofErr w:type="spellEnd"/>
      <w:r w:rsidR="006E1B8C">
        <w:t xml:space="preserve"> supports his thesis by pointing to the disappearance of the native population in the tale and the way the four protagonists are forced to adapt to a seemingly hostile English culture in order to survive. Eventually, </w:t>
      </w:r>
      <w:proofErr w:type="spellStart"/>
      <w:r w:rsidR="006E1B8C">
        <w:t>Manawydan</w:t>
      </w:r>
      <w:proofErr w:type="spellEnd"/>
      <w:r w:rsidR="006E1B8C">
        <w:t xml:space="preserve"> overcomes the enchantment and restores the realm. </w:t>
      </w:r>
      <w:proofErr w:type="spellStart"/>
      <w:r w:rsidR="006E1B8C">
        <w:t>Huws</w:t>
      </w:r>
      <w:proofErr w:type="spellEnd"/>
      <w:r w:rsidR="006E1B8C">
        <w:t xml:space="preserve"> claims that these fictional events and characters correspond to real world ones, namely English bishops and their dealings with </w:t>
      </w:r>
      <w:proofErr w:type="spellStart"/>
      <w:r w:rsidR="006E1B8C">
        <w:t>Gruffydd</w:t>
      </w:r>
      <w:proofErr w:type="spellEnd"/>
      <w:r w:rsidR="006E1B8C">
        <w:t xml:space="preserve"> </w:t>
      </w:r>
      <w:proofErr w:type="spellStart"/>
      <w:proofErr w:type="gramStart"/>
      <w:r w:rsidR="006E1B8C">
        <w:t>ap</w:t>
      </w:r>
      <w:proofErr w:type="spellEnd"/>
      <w:proofErr w:type="gramEnd"/>
      <w:r w:rsidR="006E1B8C">
        <w:t xml:space="preserve"> Rhys.</w:t>
      </w:r>
      <w:r w:rsidR="006B5664">
        <w:t xml:space="preserve"> Rather than finding evidence of collaboration and assimilation, </w:t>
      </w:r>
      <w:proofErr w:type="spellStart"/>
      <w:r w:rsidR="006B5664">
        <w:t>Huws</w:t>
      </w:r>
      <w:proofErr w:type="spellEnd"/>
      <w:r w:rsidR="006B5664">
        <w:t xml:space="preserve"> sees the third branch as an account of the resistance of the Welsh to English domination and oppression.</w:t>
      </w:r>
      <w:r w:rsidR="001C4CE4">
        <w:rPr>
          <w:rStyle w:val="a8"/>
        </w:rPr>
        <w:footnoteReference w:id="37"/>
      </w:r>
    </w:p>
    <w:p w14:paraId="389F8C0C" w14:textId="77777777" w:rsidR="006B5664" w:rsidRDefault="006B5664"/>
    <w:p w14:paraId="489A873F" w14:textId="72A817D0" w:rsidR="00622743" w:rsidRDefault="006E1B8C">
      <w:r>
        <w:t xml:space="preserve">I would argue that </w:t>
      </w:r>
      <w:proofErr w:type="spellStart"/>
      <w:r w:rsidR="006B5664">
        <w:t>Huws</w:t>
      </w:r>
      <w:proofErr w:type="spellEnd"/>
      <w:r w:rsidR="006B5664">
        <w:t xml:space="preserve"> </w:t>
      </w:r>
      <w:r>
        <w:t>and</w:t>
      </w:r>
      <w:r w:rsidR="006B5664">
        <w:t>,</w:t>
      </w:r>
      <w:r>
        <w:t xml:space="preserve"> to a certain extent</w:t>
      </w:r>
      <w:r w:rsidR="006B5664">
        <w:t>,</w:t>
      </w:r>
      <w:r>
        <w:t xml:space="preserve"> </w:t>
      </w:r>
      <w:r w:rsidR="006B5664">
        <w:t xml:space="preserve">Fulton, both find the meaning they are looking for in </w:t>
      </w:r>
      <w:r w:rsidR="00260EA3">
        <w:t xml:space="preserve">certain </w:t>
      </w:r>
      <w:r w:rsidR="006B5664">
        <w:t>specif</w:t>
      </w:r>
      <w:r w:rsidR="00260EA3">
        <w:t xml:space="preserve">ic events of the Four Branches, rather than reaching conclusions after a close reading of the </w:t>
      </w:r>
      <w:r w:rsidR="00B26873">
        <w:t>entirety of the</w:t>
      </w:r>
      <w:r w:rsidR="00260EA3">
        <w:t xml:space="preserve"> </w:t>
      </w:r>
      <w:r w:rsidR="00B26873">
        <w:t>whole work</w:t>
      </w:r>
      <w:r w:rsidR="00260EA3">
        <w:t xml:space="preserve">. Their contributions are valuable and offer us insight into a turbulent period of Welsh history, but it is hard to make such a complex and multi-faceted text as the </w:t>
      </w:r>
      <w:proofErr w:type="spellStart"/>
      <w:r w:rsidR="00260EA3">
        <w:t>Mabinogi</w:t>
      </w:r>
      <w:proofErr w:type="spellEnd"/>
      <w:r w:rsidR="00260EA3">
        <w:t xml:space="preserve"> submit to such seemingly neat and complete explanations.</w:t>
      </w:r>
    </w:p>
    <w:p w14:paraId="41655C20" w14:textId="77777777" w:rsidR="00260EA3" w:rsidRDefault="00260EA3"/>
    <w:p w14:paraId="767618F7" w14:textId="7AE5F250" w:rsidR="00733718" w:rsidRDefault="00733718">
      <w:r>
        <w:rPr>
          <w:rFonts w:hint="eastAsia"/>
        </w:rPr>
        <w:t>Th</w:t>
      </w:r>
      <w:r>
        <w:t xml:space="preserve">ere has been much debate regarding the circumstances surrounding the composition of the </w:t>
      </w:r>
      <w:proofErr w:type="spellStart"/>
      <w:r>
        <w:t>Mabinogi</w:t>
      </w:r>
      <w:proofErr w:type="spellEnd"/>
      <w:r>
        <w:t xml:space="preserve">. Were the tales composed primarily as oral compositions and then finally written down, or were they principally a literary exercise drawing on existing traditions, including oral performance? </w:t>
      </w:r>
      <w:proofErr w:type="spellStart"/>
      <w:r>
        <w:t>Sioned</w:t>
      </w:r>
      <w:proofErr w:type="spellEnd"/>
      <w:r>
        <w:t xml:space="preserve"> Davies has provided us with some interesting observations in this regard in her work. She points out, importantly, that there is a huge diversity in the Welsh tales that have come down to us, but she also argues that the Four Branches are the product of ‘one mind…a deliberate artistic piece of literature’, speculating that they were written by a high-ranking member of the church. Crucially, however, she gives compelling evidence that the ‘author’ worked from traditional materials and maintained many elements of </w:t>
      </w:r>
      <w:r w:rsidR="002C3B98">
        <w:t>Welsh</w:t>
      </w:r>
      <w:r>
        <w:t xml:space="preserve"> oral tradition in </w:t>
      </w:r>
      <w:r w:rsidR="000F6412">
        <w:t>his</w:t>
      </w:r>
      <w:r>
        <w:t xml:space="preserve"> work.</w:t>
      </w:r>
      <w:r w:rsidR="00307470">
        <w:rPr>
          <w:rStyle w:val="a8"/>
        </w:rPr>
        <w:footnoteReference w:id="38"/>
      </w:r>
      <w:r>
        <w:t xml:space="preserve"> </w:t>
      </w:r>
    </w:p>
    <w:p w14:paraId="582C3053" w14:textId="77777777" w:rsidR="002C3B98" w:rsidRDefault="002C3B98"/>
    <w:p w14:paraId="0044D3EC" w14:textId="2BC13EB7" w:rsidR="00733718" w:rsidRDefault="009947A4">
      <w:r>
        <w:t>Nevertheless, Davies also recognizes that the ‘author’, despite his respect for oral tradition and his myriad sources, was consciously trying to craft something new, a work of literature with a ‘genuine interest in human nature’ and a ‘scale of values’</w:t>
      </w:r>
      <w:r w:rsidR="00307470">
        <w:rPr>
          <w:rStyle w:val="a8"/>
        </w:rPr>
        <w:footnoteReference w:id="39"/>
      </w:r>
      <w:r>
        <w:t xml:space="preserve"> intended to help his readers navigate the challenges of their daily lives, </w:t>
      </w:r>
      <w:r w:rsidR="00CE57F3">
        <w:t>regardless of</w:t>
      </w:r>
      <w:r>
        <w:t xml:space="preserve"> their station in the world.</w:t>
      </w:r>
      <w:r w:rsidR="000E63B2">
        <w:t xml:space="preserve"> According to Davies, each of the Four Branches contains ‘strongly delineated characters’ that ‘discover’ or exemplify important moral lessons through their actions and experiences.</w:t>
      </w:r>
      <w:r w:rsidR="00ED07EC">
        <w:rPr>
          <w:rStyle w:val="a8"/>
        </w:rPr>
        <w:footnoteReference w:id="40"/>
      </w:r>
      <w:r w:rsidR="000E63B2">
        <w:t xml:space="preserve"> </w:t>
      </w:r>
      <w:r w:rsidR="001F1D5C">
        <w:t xml:space="preserve">For example, </w:t>
      </w:r>
      <w:proofErr w:type="spellStart"/>
      <w:r w:rsidR="001F1D5C">
        <w:t>Pwyll</w:t>
      </w:r>
      <w:proofErr w:type="spellEnd"/>
      <w:r w:rsidR="001F1D5C">
        <w:t xml:space="preserve"> seems to learn to be more circumspect in his actions through the implicit guidance of </w:t>
      </w:r>
      <w:proofErr w:type="spellStart"/>
      <w:r w:rsidR="001F1D5C">
        <w:t>Arawn</w:t>
      </w:r>
      <w:proofErr w:type="spellEnd"/>
      <w:r w:rsidR="001F1D5C">
        <w:t xml:space="preserve"> and the admonition of the high-spirited, calculating Rhiannon. </w:t>
      </w:r>
      <w:proofErr w:type="spellStart"/>
      <w:r w:rsidR="001F1D5C">
        <w:t>Manawydan</w:t>
      </w:r>
      <w:proofErr w:type="spellEnd"/>
      <w:r w:rsidR="001F1D5C">
        <w:t xml:space="preserve"> shows the benefits of calm, rational behavior that would have been much praised by scholarly and ecclesiastical society of the twelfth and thirteenth centuries. Davies also </w:t>
      </w:r>
      <w:r w:rsidR="005F6A82">
        <w:t>emphasizes</w:t>
      </w:r>
      <w:r w:rsidR="001F1D5C">
        <w:t xml:space="preserve"> the crucial role of the female characters in the text, arguing that they </w:t>
      </w:r>
      <w:r w:rsidR="00B4744D">
        <w:t>are not only perhaps more vividly drawn and complex than then men, but also essential for driving the plot forward. As Davies puts it, the</w:t>
      </w:r>
      <w:r w:rsidR="009B02C2">
        <w:rPr>
          <w:rFonts w:hint="eastAsia"/>
        </w:rPr>
        <w:t>y</w:t>
      </w:r>
      <w:r w:rsidR="00B4744D">
        <w:t xml:space="preserve"> put the men in positions where they must ‘make decisions’, leading to important conse</w:t>
      </w:r>
      <w:r w:rsidR="000311B7">
        <w:t>quences for everybody involved.</w:t>
      </w:r>
      <w:r w:rsidR="00ED07EC">
        <w:rPr>
          <w:rStyle w:val="a8"/>
        </w:rPr>
        <w:footnoteReference w:id="41"/>
      </w:r>
    </w:p>
    <w:p w14:paraId="0039424A" w14:textId="77777777" w:rsidR="000311B7" w:rsidRDefault="000311B7"/>
    <w:p w14:paraId="3ED24621" w14:textId="007B1DDC" w:rsidR="00C277F8" w:rsidRDefault="000311B7">
      <w:proofErr w:type="spellStart"/>
      <w:r>
        <w:rPr>
          <w:rFonts w:hint="eastAsia"/>
        </w:rPr>
        <w:t>Sio</w:t>
      </w:r>
      <w:r>
        <w:t>ned</w:t>
      </w:r>
      <w:proofErr w:type="spellEnd"/>
      <w:r>
        <w:t xml:space="preserve"> Davies has helped establish important new avenues for further research through her insightful analysis of the structure and style of the Four Branches. She offers convincing evidence that the redactor was working in the existing oral tradition </w:t>
      </w:r>
      <w:r w:rsidR="003D51EA">
        <w:t>of</w:t>
      </w:r>
      <w:r w:rsidR="005F6A82">
        <w:t xml:space="preserve"> m</w:t>
      </w:r>
      <w:r>
        <w:t xml:space="preserve">edieval Wales even as he committed the work to the written form. However, Davies shows that </w:t>
      </w:r>
      <w:r w:rsidR="00F330F6">
        <w:t xml:space="preserve">the </w:t>
      </w:r>
      <w:r w:rsidR="00F15480">
        <w:t>majority</w:t>
      </w:r>
      <w:r w:rsidR="00F330F6">
        <w:t xml:space="preserve"> of</w:t>
      </w:r>
      <w:r>
        <w:t xml:space="preserve"> the formulae used by the writer </w:t>
      </w:r>
      <w:r w:rsidR="00F15480">
        <w:t>were</w:t>
      </w:r>
      <w:r>
        <w:t xml:space="preserve"> adaptable and could be used by a creative mind to produce something entirely new and with contemporary relevance.</w:t>
      </w:r>
      <w:r w:rsidR="00F330F6">
        <w:rPr>
          <w:rStyle w:val="a8"/>
        </w:rPr>
        <w:footnoteReference w:id="42"/>
      </w:r>
      <w:r>
        <w:t xml:space="preserve"> </w:t>
      </w:r>
    </w:p>
    <w:p w14:paraId="17059904" w14:textId="77777777" w:rsidR="000311B7" w:rsidRDefault="000311B7"/>
    <w:p w14:paraId="48A68B18" w14:textId="04BE695C" w:rsidR="000311B7" w:rsidRDefault="000311B7">
      <w:r>
        <w:t>Based on the arguments and debate we have set out above</w:t>
      </w:r>
      <w:r w:rsidR="00195BFF">
        <w:t xml:space="preserve">, we can tentatively draw several conclusions about the Four Branches. It is beyond doubt that the tales have a high level of sophistication, possessing a tightly woven structure that allows the author to develop complex plots and characters. It also seems undeniable that the author explored a variety of themes in his work. As with any complex literary </w:t>
      </w:r>
      <w:r w:rsidR="0009377A">
        <w:t>creation</w:t>
      </w:r>
      <w:r w:rsidR="00195BFF">
        <w:t xml:space="preserve">, however, the </w:t>
      </w:r>
      <w:proofErr w:type="spellStart"/>
      <w:r w:rsidR="00195BFF">
        <w:t>Mabinogi</w:t>
      </w:r>
      <w:proofErr w:type="spellEnd"/>
      <w:r w:rsidR="00195BFF">
        <w:t xml:space="preserve"> is open to many interpretations according to the focus of the reader. Undoubtedly, the idea that it is somehow one-dimensional or </w:t>
      </w:r>
      <w:r w:rsidR="0009377A">
        <w:t>the</w:t>
      </w:r>
      <w:r w:rsidR="00195BFF">
        <w:t xml:space="preserve"> bungled </w:t>
      </w:r>
      <w:r w:rsidR="0009377A">
        <w:t>production of an inferior writer</w:t>
      </w:r>
      <w:r w:rsidR="00195BFF">
        <w:t xml:space="preserve"> is no longer sustainable.</w:t>
      </w:r>
      <w:r w:rsidR="0009377A">
        <w:t xml:space="preserve"> The Four Branches clearly works on many levels, inviting a number of allegorical interpretations, including connections with the major</w:t>
      </w:r>
      <w:r w:rsidR="00F330F6">
        <w:t xml:space="preserve"> currents of political life in m</w:t>
      </w:r>
      <w:r w:rsidR="0009377A">
        <w:t xml:space="preserve">edieval Britain and beyond. </w:t>
      </w:r>
      <w:r w:rsidR="003E1B13">
        <w:t xml:space="preserve">It is also clear that there is a strong undercurrent of magical and supernatural elements that surely have their roots in pre-Christian British society and the collective legacy of folklore and myth. </w:t>
      </w:r>
      <w:r w:rsidR="0009377A">
        <w:t>However, establishing a definit</w:t>
      </w:r>
      <w:r w:rsidR="003D51EA">
        <w:t>iv</w:t>
      </w:r>
      <w:r w:rsidR="0009377A">
        <w:t xml:space="preserve">e explanation for the purpose of the work remains somewhat difficult and the evidence is </w:t>
      </w:r>
      <w:r w:rsidR="003E1B13">
        <w:t xml:space="preserve">at times </w:t>
      </w:r>
      <w:r w:rsidR="0009377A">
        <w:t>tenuous.</w:t>
      </w:r>
    </w:p>
    <w:p w14:paraId="57305F0F" w14:textId="77777777" w:rsidR="0009377A" w:rsidRDefault="0009377A"/>
    <w:p w14:paraId="3C757161" w14:textId="697D6F25" w:rsidR="0009377A" w:rsidRDefault="003D51EA">
      <w:r>
        <w:t>Nevertheless</w:t>
      </w:r>
      <w:r w:rsidR="0009377A">
        <w:t>, I would argue that this is what makes the text so important and</w:t>
      </w:r>
      <w:r w:rsidR="003E1B13">
        <w:t xml:space="preserve"> relevant in our own time</w:t>
      </w:r>
      <w:r w:rsidR="0009377A">
        <w:t xml:space="preserve">. The </w:t>
      </w:r>
      <w:proofErr w:type="spellStart"/>
      <w:r w:rsidR="0009377A" w:rsidRPr="00FC5371">
        <w:rPr>
          <w:i/>
        </w:rPr>
        <w:t>Mabinogi</w:t>
      </w:r>
      <w:proofErr w:type="spellEnd"/>
      <w:r w:rsidR="0009377A">
        <w:t xml:space="preserve"> continues to invite lively debate and fruitful research tha</w:t>
      </w:r>
      <w:r w:rsidR="00F330F6">
        <w:t>t deepens our understanding of m</w:t>
      </w:r>
      <w:r w:rsidR="0009377A">
        <w:t xml:space="preserve">edieval Welsh literature and society. </w:t>
      </w:r>
      <w:r w:rsidR="003E1B13">
        <w:t xml:space="preserve">Bollard’s conviction that the author had something significant to say about fundamental questions of social life and personal conduct has been borne out by careful appreciation of the text. It may ultimately be beyond us to unlock the supposed </w:t>
      </w:r>
      <w:r>
        <w:t>ultimate</w:t>
      </w:r>
      <w:r w:rsidR="003E1B13">
        <w:t xml:space="preserve"> </w:t>
      </w:r>
      <w:r>
        <w:t>‘</w:t>
      </w:r>
      <w:r w:rsidR="003E1B13">
        <w:t>meaning</w:t>
      </w:r>
      <w:r>
        <w:t>’</w:t>
      </w:r>
      <w:r w:rsidR="003E1B13">
        <w:t xml:space="preserve"> of the Four Branches, </w:t>
      </w:r>
      <w:r w:rsidR="00642AE3">
        <w:t>but this is perhaps not a crucial problem. Instead, the work of the unknown medieval author is a starting point for myriad avenues of research and discovery. It is truly a text for the ages.</w:t>
      </w:r>
    </w:p>
    <w:p w14:paraId="3832E7D1" w14:textId="77777777" w:rsidR="000311B7" w:rsidRDefault="000311B7"/>
    <w:p w14:paraId="740C4D62" w14:textId="563420A3" w:rsidR="00C277F8" w:rsidRDefault="00C277F8"/>
    <w:p w14:paraId="32EE39EB" w14:textId="77777777" w:rsidR="00CE142F" w:rsidRDefault="00CE142F"/>
    <w:p w14:paraId="0A29F80B" w14:textId="77777777" w:rsidR="00CE142F" w:rsidRDefault="00CE142F" w:rsidP="00CE142F">
      <w:r>
        <w:t>Bibliography</w:t>
      </w:r>
    </w:p>
    <w:p w14:paraId="071D7825" w14:textId="77777777" w:rsidR="00CE142F" w:rsidRDefault="00CE142F" w:rsidP="00CE142F"/>
    <w:p w14:paraId="1096D51F" w14:textId="77777777" w:rsidR="00CE142F" w:rsidRDefault="00CE142F" w:rsidP="00CE142F">
      <w:r>
        <w:t>Primary Sources</w:t>
      </w:r>
    </w:p>
    <w:p w14:paraId="057ACA27" w14:textId="77777777" w:rsidR="00CE142F" w:rsidRDefault="00CE142F" w:rsidP="00CE142F"/>
    <w:p w14:paraId="52A9DD02" w14:textId="77777777" w:rsidR="00CE142F" w:rsidRDefault="00CE142F" w:rsidP="00CE142F">
      <w:r>
        <w:t xml:space="preserve">Davies, S., </w:t>
      </w:r>
      <w:r w:rsidRPr="00724226">
        <w:rPr>
          <w:i/>
        </w:rPr>
        <w:t xml:space="preserve">The </w:t>
      </w:r>
      <w:proofErr w:type="spellStart"/>
      <w:r w:rsidRPr="00724226">
        <w:rPr>
          <w:i/>
        </w:rPr>
        <w:t>Mabinogion</w:t>
      </w:r>
      <w:proofErr w:type="spellEnd"/>
      <w:r w:rsidRPr="00724226">
        <w:rPr>
          <w:i/>
        </w:rPr>
        <w:t>: A New Translation</w:t>
      </w:r>
      <w:r>
        <w:t xml:space="preserve">, </w:t>
      </w:r>
      <w:r w:rsidRPr="00724226">
        <w:t>(Oxford: Oxford University Press, 2007)</w:t>
      </w:r>
    </w:p>
    <w:p w14:paraId="59908153" w14:textId="77777777" w:rsidR="00CE142F" w:rsidRDefault="00CE142F" w:rsidP="00CE142F"/>
    <w:p w14:paraId="17BE20B3" w14:textId="77777777" w:rsidR="00CE142F" w:rsidRDefault="00CE142F" w:rsidP="00CE142F">
      <w:r>
        <w:t>Secondary Sources</w:t>
      </w:r>
    </w:p>
    <w:p w14:paraId="73F93ACE" w14:textId="77777777" w:rsidR="00CE142F" w:rsidRDefault="00CE142F" w:rsidP="00CE142F"/>
    <w:p w14:paraId="3B51F17D" w14:textId="77777777" w:rsidR="00CE142F" w:rsidRDefault="00CE142F" w:rsidP="00CE142F">
      <w:r w:rsidRPr="003532CC">
        <w:t>Bollard, J. K.</w:t>
      </w:r>
      <w:r>
        <w:t>,</w:t>
      </w:r>
      <w:r w:rsidRPr="003532CC">
        <w:t xml:space="preserve"> </w:t>
      </w:r>
      <w:r>
        <w:t>‘</w:t>
      </w:r>
      <w:r w:rsidRPr="003532CC">
        <w:t xml:space="preserve">The Role of Myth and Tradition in the Four Branches of the </w:t>
      </w:r>
      <w:proofErr w:type="spellStart"/>
      <w:r w:rsidRPr="003532CC">
        <w:t>Mabinogi</w:t>
      </w:r>
      <w:proofErr w:type="spellEnd"/>
      <w:r>
        <w:t>’,</w:t>
      </w:r>
      <w:r w:rsidRPr="003532CC">
        <w:t xml:space="preserve"> </w:t>
      </w:r>
      <w:r w:rsidRPr="003532CC">
        <w:rPr>
          <w:i/>
        </w:rPr>
        <w:t>Cambridge Medieval Celtic Studies</w:t>
      </w:r>
      <w:r>
        <w:rPr>
          <w:i/>
        </w:rPr>
        <w:t>,</w:t>
      </w:r>
      <w:r w:rsidRPr="003532CC">
        <w:rPr>
          <w:i/>
        </w:rPr>
        <w:t xml:space="preserve"> </w:t>
      </w:r>
      <w:r>
        <w:t>(6): (Winter, 1983), 67–86.</w:t>
      </w:r>
    </w:p>
    <w:p w14:paraId="51AA1D9A" w14:textId="77777777" w:rsidR="00CE142F" w:rsidRDefault="00CE142F" w:rsidP="00CE142F"/>
    <w:p w14:paraId="063E8AF2" w14:textId="52462DC0" w:rsidR="00CE142F" w:rsidRDefault="00CE142F" w:rsidP="00CE142F">
      <w:proofErr w:type="spellStart"/>
      <w:proofErr w:type="gramStart"/>
      <w:r>
        <w:t>Byfield</w:t>
      </w:r>
      <w:proofErr w:type="spellEnd"/>
      <w:r>
        <w:t>, C.</w:t>
      </w:r>
      <w:r w:rsidR="00F65BAA">
        <w:t xml:space="preserve"> </w:t>
      </w:r>
      <w:r>
        <w:t xml:space="preserve">E., 'Character and Conflict in the Four Branches of the </w:t>
      </w:r>
      <w:proofErr w:type="spellStart"/>
      <w:r>
        <w:t>Mabanogi</w:t>
      </w:r>
      <w:proofErr w:type="spellEnd"/>
      <w:r>
        <w:t xml:space="preserve">', </w:t>
      </w:r>
      <w:r w:rsidRPr="00DE3A64">
        <w:rPr>
          <w:i/>
        </w:rPr>
        <w:t>Bulletin of the Board of Celtic Studies</w:t>
      </w:r>
      <w:r>
        <w:t>, (40): (1993), 56-61.</w:t>
      </w:r>
      <w:proofErr w:type="gramEnd"/>
    </w:p>
    <w:p w14:paraId="28650BE8" w14:textId="77777777" w:rsidR="00CE142F" w:rsidRDefault="00CE142F" w:rsidP="00CE142F"/>
    <w:p w14:paraId="66550A74" w14:textId="3D257804" w:rsidR="00F62303" w:rsidRDefault="004E0834" w:rsidP="00CE142F">
      <w:r>
        <w:t>Davies, S.,</w:t>
      </w:r>
      <w:r w:rsidR="00F62303">
        <w:t xml:space="preserve"> ‘Storytelling in Medieval Wales’, </w:t>
      </w:r>
      <w:r w:rsidR="00F62303" w:rsidRPr="00F62303">
        <w:rPr>
          <w:i/>
        </w:rPr>
        <w:t>Oral Tradition</w:t>
      </w:r>
      <w:r w:rsidR="00F62303" w:rsidRPr="00F62303">
        <w:t xml:space="preserve">, </w:t>
      </w:r>
      <w:r w:rsidR="00F62303">
        <w:t>(</w:t>
      </w:r>
      <w:r w:rsidR="00F62303" w:rsidRPr="00F62303">
        <w:t>7</w:t>
      </w:r>
      <w:r w:rsidR="00F62303">
        <w:rPr>
          <w:rFonts w:hint="eastAsia"/>
        </w:rPr>
        <w:t>)</w:t>
      </w:r>
      <w:r w:rsidR="00F62303">
        <w:t>(2): (1992),</w:t>
      </w:r>
      <w:r>
        <w:t xml:space="preserve"> </w:t>
      </w:r>
      <w:r w:rsidR="00F62303" w:rsidRPr="00F62303">
        <w:t>231-257</w:t>
      </w:r>
    </w:p>
    <w:p w14:paraId="677F029E" w14:textId="77777777" w:rsidR="00F62303" w:rsidRDefault="00F62303" w:rsidP="00CE142F"/>
    <w:p w14:paraId="4A2E24F2" w14:textId="7D12DFCE" w:rsidR="004E0834" w:rsidRDefault="004E0834" w:rsidP="00CE142F">
      <w:r>
        <w:t xml:space="preserve">Fulton, H., </w:t>
      </w:r>
      <w:r w:rsidRPr="004E0834">
        <w:rPr>
          <w:i/>
        </w:rPr>
        <w:t>Medieval Celtic Literature and Society</w:t>
      </w:r>
      <w:r>
        <w:t xml:space="preserve">, (Dublin: Four Courts Press, 2005), </w:t>
      </w:r>
      <w:r w:rsidR="007537E5">
        <w:t>230-247</w:t>
      </w:r>
    </w:p>
    <w:p w14:paraId="674C4575" w14:textId="77777777" w:rsidR="004E0834" w:rsidRDefault="004E0834" w:rsidP="00CE142F"/>
    <w:p w14:paraId="64EB33D4" w14:textId="664CB77C" w:rsidR="002B4EB7" w:rsidRDefault="00651CDE" w:rsidP="00CE142F">
      <w:proofErr w:type="spellStart"/>
      <w:r>
        <w:t>Gruffydd</w:t>
      </w:r>
      <w:proofErr w:type="spellEnd"/>
      <w:r w:rsidR="005D68D7">
        <w:t>, W.J.</w:t>
      </w:r>
      <w:r>
        <w:t xml:space="preserve">, </w:t>
      </w:r>
      <w:r w:rsidR="00EC7FE4">
        <w:rPr>
          <w:i/>
        </w:rPr>
        <w:t>Math f</w:t>
      </w:r>
      <w:r w:rsidR="009860BE">
        <w:rPr>
          <w:i/>
        </w:rPr>
        <w:t xml:space="preserve">ab </w:t>
      </w:r>
      <w:proofErr w:type="spellStart"/>
      <w:r w:rsidR="009860BE">
        <w:rPr>
          <w:i/>
        </w:rPr>
        <w:t>Mathonwy</w:t>
      </w:r>
      <w:proofErr w:type="spellEnd"/>
      <w:r w:rsidR="009860BE">
        <w:rPr>
          <w:i/>
        </w:rPr>
        <w:t xml:space="preserve">: An Inquiry Into the Origins and Development of the Fourth Branch of the </w:t>
      </w:r>
      <w:proofErr w:type="spellStart"/>
      <w:r w:rsidR="009860BE">
        <w:rPr>
          <w:i/>
        </w:rPr>
        <w:t>Mabinogi</w:t>
      </w:r>
      <w:proofErr w:type="spellEnd"/>
      <w:r w:rsidR="009860BE">
        <w:rPr>
          <w:i/>
        </w:rPr>
        <w:t xml:space="preserve"> with the Text and a T</w:t>
      </w:r>
      <w:r w:rsidR="009860BE" w:rsidRPr="00651CDE">
        <w:rPr>
          <w:i/>
        </w:rPr>
        <w:t>ranslation</w:t>
      </w:r>
      <w:r>
        <w:t>, (Cardiff: University of Wales Press, 1928)</w:t>
      </w:r>
    </w:p>
    <w:p w14:paraId="5373159D" w14:textId="77777777" w:rsidR="005D68D7" w:rsidRDefault="005D68D7" w:rsidP="00CE142F"/>
    <w:p w14:paraId="47867A47" w14:textId="77777777" w:rsidR="00CE142F" w:rsidRDefault="00CE142F" w:rsidP="00CE142F">
      <w:proofErr w:type="gramStart"/>
      <w:r>
        <w:t>Hall, A., ‘</w:t>
      </w:r>
      <w:proofErr w:type="spellStart"/>
      <w:r>
        <w:t>Gwyr</w:t>
      </w:r>
      <w:proofErr w:type="spellEnd"/>
      <w:r>
        <w:t xml:space="preserve"> y </w:t>
      </w:r>
      <w:proofErr w:type="spellStart"/>
      <w:r>
        <w:t>Gogledd</w:t>
      </w:r>
      <w:proofErr w:type="spellEnd"/>
      <w:r>
        <w:t>?</w:t>
      </w:r>
      <w:proofErr w:type="gramEnd"/>
      <w:r>
        <w:t xml:space="preserve"> Some Icelandic Analogues to </w:t>
      </w:r>
      <w:proofErr w:type="spellStart"/>
      <w:r>
        <w:t>Branwen</w:t>
      </w:r>
      <w:proofErr w:type="spellEnd"/>
      <w:r>
        <w:t xml:space="preserve"> </w:t>
      </w:r>
      <w:proofErr w:type="spellStart"/>
      <w:r>
        <w:t>Fech</w:t>
      </w:r>
      <w:proofErr w:type="spellEnd"/>
      <w:r>
        <w:t xml:space="preserve"> </w:t>
      </w:r>
      <w:proofErr w:type="spellStart"/>
      <w:r>
        <w:t>Llyr</w:t>
      </w:r>
      <w:proofErr w:type="spellEnd"/>
      <w:r>
        <w:t xml:space="preserve">’, </w:t>
      </w:r>
      <w:r w:rsidRPr="00DE3A64">
        <w:rPr>
          <w:i/>
        </w:rPr>
        <w:t>Cambrian Medieval Celtic Studies</w:t>
      </w:r>
      <w:r>
        <w:t>, (42): (Winter, 2001), 27–50.</w:t>
      </w:r>
      <w:r>
        <w:rPr>
          <w:rFonts w:hint="eastAsia"/>
        </w:rPr>
        <w:t xml:space="preserve"> </w:t>
      </w:r>
    </w:p>
    <w:p w14:paraId="0D0DDC13" w14:textId="77777777" w:rsidR="00CE142F" w:rsidRDefault="00CE142F" w:rsidP="00CE142F"/>
    <w:p w14:paraId="504C2CB5" w14:textId="27108561" w:rsidR="00F06260" w:rsidRDefault="00F06260" w:rsidP="00CE142F">
      <w:proofErr w:type="spellStart"/>
      <w:r>
        <w:t>H</w:t>
      </w:r>
      <w:r w:rsidR="00920ED2">
        <w:t>uws</w:t>
      </w:r>
      <w:proofErr w:type="spellEnd"/>
      <w:r w:rsidR="00920ED2">
        <w:t>, B.</w:t>
      </w:r>
      <w:r w:rsidR="00DF051F">
        <w:t>,</w:t>
      </w:r>
      <w:r w:rsidR="00920ED2">
        <w:t xml:space="preserve"> ‘</w:t>
      </w:r>
      <w:proofErr w:type="spellStart"/>
      <w:r w:rsidR="00920ED2">
        <w:t>Manawydan</w:t>
      </w:r>
      <w:proofErr w:type="spellEnd"/>
      <w:r w:rsidR="00920ED2">
        <w:t xml:space="preserve"> </w:t>
      </w:r>
      <w:proofErr w:type="spellStart"/>
      <w:r w:rsidR="00920ED2">
        <w:t>uab</w:t>
      </w:r>
      <w:proofErr w:type="spellEnd"/>
      <w:r w:rsidR="00920ED2">
        <w:t xml:space="preserve"> </w:t>
      </w:r>
      <w:proofErr w:type="spellStart"/>
      <w:r w:rsidR="00920ED2">
        <w:t>Ll</w:t>
      </w:r>
      <w:r w:rsidR="00920ED2" w:rsidRPr="00920ED2">
        <w:t>ŷ</w:t>
      </w:r>
      <w:r w:rsidR="00920ED2">
        <w:t>r</w:t>
      </w:r>
      <w:proofErr w:type="spellEnd"/>
      <w:r w:rsidR="00920ED2">
        <w:t>: A T</w:t>
      </w:r>
      <w:r w:rsidR="00920ED2" w:rsidRPr="00920ED2">
        <w:t xml:space="preserve">ale of the Norman Occupation of </w:t>
      </w:r>
      <w:proofErr w:type="spellStart"/>
      <w:r w:rsidR="00920ED2" w:rsidRPr="00920ED2">
        <w:t>Deheubarth</w:t>
      </w:r>
      <w:proofErr w:type="spellEnd"/>
      <w:r w:rsidR="00920ED2">
        <w:t xml:space="preserve">’, </w:t>
      </w:r>
      <w:r w:rsidR="00920ED2" w:rsidRPr="00920ED2">
        <w:t xml:space="preserve">Transactions of the </w:t>
      </w:r>
      <w:proofErr w:type="spellStart"/>
      <w:r w:rsidR="00920ED2" w:rsidRPr="00920ED2">
        <w:t>Hon</w:t>
      </w:r>
      <w:r w:rsidR="00920ED2">
        <w:t>ourable</w:t>
      </w:r>
      <w:proofErr w:type="spellEnd"/>
      <w:r w:rsidR="00920ED2" w:rsidRPr="00920ED2">
        <w:t xml:space="preserve"> Soc</w:t>
      </w:r>
      <w:r w:rsidR="00920ED2">
        <w:t>iety</w:t>
      </w:r>
      <w:r w:rsidR="00920ED2" w:rsidRPr="00920ED2">
        <w:t xml:space="preserve"> of the </w:t>
      </w:r>
      <w:proofErr w:type="spellStart"/>
      <w:r w:rsidR="00920ED2" w:rsidRPr="00920ED2">
        <w:t>Cymmrodorion</w:t>
      </w:r>
      <w:proofErr w:type="spellEnd"/>
      <w:r w:rsidR="00920ED2">
        <w:t>, New Series (16): (2010), 7-23</w:t>
      </w:r>
    </w:p>
    <w:p w14:paraId="155C03AF" w14:textId="77777777" w:rsidR="00F06260" w:rsidRDefault="00F06260" w:rsidP="00CE142F"/>
    <w:p w14:paraId="33746F86" w14:textId="540FC6BB" w:rsidR="003B1C6D" w:rsidRDefault="00DF051F" w:rsidP="00CE142F">
      <w:r>
        <w:t xml:space="preserve">Jackson, K., </w:t>
      </w:r>
      <w:r>
        <w:rPr>
          <w:i/>
        </w:rPr>
        <w:t>The International Popular Tale and E</w:t>
      </w:r>
      <w:r w:rsidR="001B0766">
        <w:rPr>
          <w:i/>
        </w:rPr>
        <w:t>arly Welsh T</w:t>
      </w:r>
      <w:r w:rsidRPr="00DF051F">
        <w:rPr>
          <w:i/>
        </w:rPr>
        <w:t>radition</w:t>
      </w:r>
      <w:r>
        <w:t>, (Cardiff: University of Wales Press, 1961)</w:t>
      </w:r>
    </w:p>
    <w:p w14:paraId="14E7301A" w14:textId="77777777" w:rsidR="003B1C6D" w:rsidRDefault="003B1C6D" w:rsidP="00CE142F"/>
    <w:p w14:paraId="67C0760E" w14:textId="77777777" w:rsidR="00CE142F" w:rsidRDefault="00CE142F" w:rsidP="00CE142F">
      <w:proofErr w:type="spellStart"/>
      <w:r>
        <w:t>Luft</w:t>
      </w:r>
      <w:proofErr w:type="spellEnd"/>
      <w:r>
        <w:t xml:space="preserve">, D., ‘The Meaning of </w:t>
      </w:r>
      <w:proofErr w:type="spellStart"/>
      <w:r>
        <w:t>Mabinogi</w:t>
      </w:r>
      <w:proofErr w:type="spellEnd"/>
      <w:r>
        <w:t xml:space="preserve">’, </w:t>
      </w:r>
      <w:r w:rsidRPr="00DE3A64">
        <w:rPr>
          <w:i/>
        </w:rPr>
        <w:t>Cambrian Medieval Celtic Studies</w:t>
      </w:r>
      <w:r>
        <w:t>, (62): (2011), 57–79.</w:t>
      </w:r>
      <w:r>
        <w:rPr>
          <w:rFonts w:hint="eastAsia"/>
        </w:rPr>
        <w:t xml:space="preserve"> </w:t>
      </w:r>
    </w:p>
    <w:p w14:paraId="5D7DD6EB" w14:textId="77777777" w:rsidR="00CE142F" w:rsidRDefault="00CE142F" w:rsidP="00CE142F"/>
    <w:p w14:paraId="3FAADB6C" w14:textId="77777777" w:rsidR="00CE142F" w:rsidRDefault="00CE142F" w:rsidP="00CE142F">
      <w:proofErr w:type="gramStart"/>
      <w:r>
        <w:t xml:space="preserve">Mac Cana, P., ‘The Four Branches’, in his </w:t>
      </w:r>
      <w:r w:rsidRPr="00936EF7">
        <w:rPr>
          <w:i/>
        </w:rPr>
        <w:t xml:space="preserve">The </w:t>
      </w:r>
      <w:proofErr w:type="spellStart"/>
      <w:r w:rsidRPr="00936EF7">
        <w:rPr>
          <w:i/>
        </w:rPr>
        <w:t>Mabinogi</w:t>
      </w:r>
      <w:proofErr w:type="spellEnd"/>
      <w:r>
        <w:t>, (Cardiff: University of Wales Press, 1992), 21-59.</w:t>
      </w:r>
      <w:proofErr w:type="gramEnd"/>
    </w:p>
    <w:p w14:paraId="18B0A736" w14:textId="77777777" w:rsidR="00CE142F" w:rsidRDefault="00CE142F" w:rsidP="00CE142F"/>
    <w:p w14:paraId="5CFB0B25" w14:textId="75E14F6E" w:rsidR="00F06260" w:rsidRDefault="002E7BBA" w:rsidP="00CE142F">
      <w:r w:rsidRPr="002E7BBA">
        <w:t>McKenna,</w:t>
      </w:r>
      <w:r>
        <w:t xml:space="preserve"> C.,</w:t>
      </w:r>
      <w:r w:rsidRPr="002E7BBA">
        <w:t xml:space="preserve"> "Th</w:t>
      </w:r>
      <w:r>
        <w:t xml:space="preserve">e Theme of Sovereignty in </w:t>
      </w:r>
      <w:proofErr w:type="spellStart"/>
      <w:r>
        <w:t>Pwyll</w:t>
      </w:r>
      <w:proofErr w:type="spellEnd"/>
      <w:r w:rsidRPr="002E7BBA">
        <w:t>"</w:t>
      </w:r>
      <w:r>
        <w:t>,</w:t>
      </w:r>
      <w:r w:rsidRPr="002E7BBA">
        <w:t xml:space="preserve"> </w:t>
      </w:r>
      <w:r w:rsidRPr="002E7BBA">
        <w:rPr>
          <w:i/>
        </w:rPr>
        <w:t>Bulletin of the Board of Celtic Studies</w:t>
      </w:r>
      <w:r w:rsidRPr="002E7BBA">
        <w:t xml:space="preserve"> </w:t>
      </w:r>
      <w:r>
        <w:t>(</w:t>
      </w:r>
      <w:r w:rsidRPr="002E7BBA">
        <w:t>29</w:t>
      </w:r>
      <w:r>
        <w:t>): (1980), 317-</w:t>
      </w:r>
      <w:r w:rsidRPr="002E7BBA">
        <w:t>25</w:t>
      </w:r>
    </w:p>
    <w:p w14:paraId="2E1A1AB4" w14:textId="77777777" w:rsidR="00C3199F" w:rsidRDefault="00C3199F" w:rsidP="00CE142F"/>
    <w:p w14:paraId="4C0B8873" w14:textId="77777777" w:rsidR="00CE142F" w:rsidRDefault="00CE142F" w:rsidP="00CE142F">
      <w:r>
        <w:t>Miles, B., ‘</w:t>
      </w:r>
      <w:proofErr w:type="spellStart"/>
      <w:r>
        <w:t>Branwen</w:t>
      </w:r>
      <w:proofErr w:type="spellEnd"/>
      <w:r>
        <w:t>: A Reconsideration of the German and Norse Analogues’,</w:t>
      </w:r>
    </w:p>
    <w:p w14:paraId="717E88B4" w14:textId="77777777" w:rsidR="00CE142F" w:rsidRDefault="00CE142F" w:rsidP="00CE142F">
      <w:r w:rsidRPr="00DE3A64">
        <w:rPr>
          <w:i/>
        </w:rPr>
        <w:t>Cambrian Medieval Celtic Studies</w:t>
      </w:r>
      <w:r>
        <w:t>, (52): (Winter, 2006), 13–48</w:t>
      </w:r>
    </w:p>
    <w:p w14:paraId="1E4F54EF" w14:textId="77777777" w:rsidR="00CE142F" w:rsidRDefault="00CE142F" w:rsidP="00CE142F"/>
    <w:p w14:paraId="647A0BE5" w14:textId="77777777" w:rsidR="00CE142F" w:rsidRDefault="00CE142F" w:rsidP="00CE142F">
      <w:r>
        <w:t xml:space="preserve">Nagy, J.F., ‘Folklore Studies and the </w:t>
      </w:r>
      <w:proofErr w:type="spellStart"/>
      <w:r>
        <w:t>Mabinogion</w:t>
      </w:r>
      <w:proofErr w:type="spellEnd"/>
      <w:r>
        <w:t xml:space="preserve">’, in Maier, B. et al editors, </w:t>
      </w:r>
      <w:proofErr w:type="spellStart"/>
      <w:r w:rsidRPr="00936EF7">
        <w:rPr>
          <w:i/>
        </w:rPr>
        <w:t>Jahre</w:t>
      </w:r>
      <w:proofErr w:type="spellEnd"/>
      <w:r w:rsidRPr="00936EF7">
        <w:rPr>
          <w:i/>
        </w:rPr>
        <w:t xml:space="preserve"> </w:t>
      </w:r>
      <w:proofErr w:type="spellStart"/>
      <w:r w:rsidRPr="00936EF7">
        <w:rPr>
          <w:i/>
        </w:rPr>
        <w:t>Mabinogion</w:t>
      </w:r>
      <w:proofErr w:type="spellEnd"/>
      <w:r w:rsidRPr="00936EF7">
        <w:rPr>
          <w:i/>
        </w:rPr>
        <w:t xml:space="preserve"> Deutsch </w:t>
      </w:r>
      <w:proofErr w:type="spellStart"/>
      <w:r w:rsidRPr="00936EF7">
        <w:rPr>
          <w:i/>
        </w:rPr>
        <w:t>Walisische</w:t>
      </w:r>
      <w:proofErr w:type="spellEnd"/>
      <w:r w:rsidRPr="00936EF7">
        <w:rPr>
          <w:i/>
        </w:rPr>
        <w:t xml:space="preserve"> </w:t>
      </w:r>
      <w:proofErr w:type="spellStart"/>
      <w:r w:rsidRPr="00936EF7">
        <w:rPr>
          <w:i/>
        </w:rPr>
        <w:t>Kultturbeziehungen</w:t>
      </w:r>
      <w:proofErr w:type="spellEnd"/>
      <w:r>
        <w:t>, (Tubingen: Max Niemeyer, 2001), 91-100</w:t>
      </w:r>
    </w:p>
    <w:p w14:paraId="112AADB1" w14:textId="77777777" w:rsidR="00F06260" w:rsidRDefault="00F06260" w:rsidP="00CE142F"/>
    <w:p w14:paraId="316CC515" w14:textId="77777777" w:rsidR="00CE142F" w:rsidRDefault="00CE142F" w:rsidP="00CE142F">
      <w:proofErr w:type="gramStart"/>
      <w:r>
        <w:t>Welsh, A.</w:t>
      </w:r>
      <w:r w:rsidRPr="005E68CC">
        <w:t xml:space="preserve">, 'The Traditional Narrative Motifs of the Four Branches of the </w:t>
      </w:r>
      <w:proofErr w:type="spellStart"/>
      <w:r w:rsidRPr="005E68CC">
        <w:t>Mabinogi</w:t>
      </w:r>
      <w:proofErr w:type="spellEnd"/>
      <w:r w:rsidRPr="005E68CC">
        <w:t xml:space="preserve">', </w:t>
      </w:r>
      <w:r w:rsidRPr="00DE3A64">
        <w:rPr>
          <w:i/>
        </w:rPr>
        <w:t>Cambridge Medieval Celtic Studies</w:t>
      </w:r>
      <w:r w:rsidRPr="005E68CC">
        <w:t>, (15): (1988), 51-62.</w:t>
      </w:r>
      <w:proofErr w:type="gramEnd"/>
    </w:p>
    <w:p w14:paraId="14E7580F" w14:textId="77777777" w:rsidR="00CE142F" w:rsidRDefault="00CE142F"/>
    <w:sectPr w:rsidR="00CE142F" w:rsidSect="00BB34F2">
      <w:pgSz w:w="11900" w:h="16840"/>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0A11B8A" w14:textId="77777777" w:rsidR="006C6210" w:rsidRDefault="006C6210" w:rsidP="002B4EB7">
      <w:r>
        <w:separator/>
      </w:r>
    </w:p>
  </w:endnote>
  <w:endnote w:type="continuationSeparator" w:id="0">
    <w:p w14:paraId="155F6CBC" w14:textId="77777777" w:rsidR="006C6210" w:rsidRDefault="006C6210" w:rsidP="002B4E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宋体">
    <w:panose1 w:val="02010600030101010101"/>
    <w:charset w:val="50"/>
    <w:family w:val="auto"/>
    <w:pitch w:val="variable"/>
    <w:sig w:usb0="00000003" w:usb1="288F0000" w:usb2="00000016" w:usb3="00000000" w:csb0="00040001" w:csb1="00000000"/>
  </w:font>
  <w:font w:name="Times New Roman">
    <w:panose1 w:val="02020603050405020304"/>
    <w:charset w:val="00"/>
    <w:family w:val="auto"/>
    <w:pitch w:val="variable"/>
    <w:sig w:usb0="E0002AFF" w:usb1="C0007841" w:usb2="00000009" w:usb3="00000000" w:csb0="000001FF" w:csb1="00000000"/>
  </w:font>
  <w:font w:name="Tahoma">
    <w:panose1 w:val="020B0604030504040204"/>
    <w:charset w:val="00"/>
    <w:family w:val="auto"/>
    <w:pitch w:val="variable"/>
    <w:sig w:usb0="E1002AFF" w:usb1="C000605B" w:usb2="00000029" w:usb3="00000000" w:csb0="000101FF" w:csb1="00000000"/>
  </w:font>
  <w:font w:name="SimSun">
    <w:altName w:val="宋体"/>
    <w:charset w:val="86"/>
    <w:family w:val="auto"/>
    <w:pitch w:val="variable"/>
    <w:sig w:usb0="00000003" w:usb1="288F0000" w:usb2="00000016" w:usb3="00000000" w:csb0="00040001" w:csb1="00000000"/>
  </w:font>
  <w:font w:name="Georgia">
    <w:panose1 w:val="02040502050405020303"/>
    <w:charset w:val="00"/>
    <w:family w:val="auto"/>
    <w:pitch w:val="variable"/>
    <w:sig w:usb0="00000287" w:usb1="00000000" w:usb2="00000000" w:usb3="00000000" w:csb0="0000009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Trebuchet MS">
    <w:panose1 w:val="020B0603020202020204"/>
    <w:charset w:val="00"/>
    <w:family w:val="auto"/>
    <w:pitch w:val="variable"/>
    <w:sig w:usb0="00000287" w:usb1="00000000" w:usb2="00000000" w:usb3="00000000" w:csb0="0000009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Helvetica Neue">
    <w:panose1 w:val="02000503000000020004"/>
    <w:charset w:val="00"/>
    <w:family w:val="auto"/>
    <w:pitch w:val="variable"/>
    <w:sig w:usb0="E50002FF" w:usb1="500079DB" w:usb2="00000010" w:usb3="00000000" w:csb0="00000001"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6915687" w14:textId="77777777" w:rsidR="006C6210" w:rsidRDefault="006C6210" w:rsidP="002B4EB7">
      <w:r>
        <w:separator/>
      </w:r>
    </w:p>
  </w:footnote>
  <w:footnote w:type="continuationSeparator" w:id="0">
    <w:p w14:paraId="7E4020FA" w14:textId="77777777" w:rsidR="006C6210" w:rsidRDefault="006C6210" w:rsidP="002B4EB7">
      <w:r>
        <w:continuationSeparator/>
      </w:r>
    </w:p>
  </w:footnote>
  <w:footnote w:id="1">
    <w:p w14:paraId="61A59448" w14:textId="43EE1D2E" w:rsidR="006C6210" w:rsidRDefault="006C6210">
      <w:pPr>
        <w:pStyle w:val="a6"/>
      </w:pPr>
      <w:r>
        <w:rPr>
          <w:rStyle w:val="a8"/>
        </w:rPr>
        <w:footnoteRef/>
      </w:r>
      <w:r>
        <w:t xml:space="preserve"> John. K. Bollard ‘</w:t>
      </w:r>
      <w:r w:rsidRPr="003532CC">
        <w:t xml:space="preserve">The Role of Myth and Tradition in the Four Branches of the </w:t>
      </w:r>
      <w:proofErr w:type="spellStart"/>
      <w:r w:rsidRPr="003532CC">
        <w:t>Mabinogi</w:t>
      </w:r>
      <w:proofErr w:type="spellEnd"/>
      <w:r>
        <w:t>’,</w:t>
      </w:r>
      <w:r w:rsidRPr="003532CC">
        <w:t xml:space="preserve"> </w:t>
      </w:r>
      <w:r w:rsidRPr="003532CC">
        <w:rPr>
          <w:i/>
        </w:rPr>
        <w:t>Cambridge Medieval Celtic Studies</w:t>
      </w:r>
      <w:r>
        <w:rPr>
          <w:i/>
        </w:rPr>
        <w:t>,</w:t>
      </w:r>
      <w:r w:rsidRPr="003532CC">
        <w:rPr>
          <w:i/>
        </w:rPr>
        <w:t xml:space="preserve"> </w:t>
      </w:r>
      <w:r>
        <w:t xml:space="preserve">(6): (Winter, 1983), </w:t>
      </w:r>
      <w:r w:rsidRPr="00A16D5F">
        <w:t>67–86</w:t>
      </w:r>
    </w:p>
  </w:footnote>
  <w:footnote w:id="2">
    <w:p w14:paraId="4198CF26" w14:textId="43B5B2FF" w:rsidR="006C6210" w:rsidRDefault="006C6210">
      <w:pPr>
        <w:pStyle w:val="a6"/>
      </w:pPr>
      <w:r>
        <w:rPr>
          <w:rStyle w:val="a8"/>
        </w:rPr>
        <w:footnoteRef/>
      </w:r>
      <w:r>
        <w:t xml:space="preserve"> </w:t>
      </w:r>
      <w:proofErr w:type="spellStart"/>
      <w:r>
        <w:t>Jospeh</w:t>
      </w:r>
      <w:proofErr w:type="spellEnd"/>
      <w:r>
        <w:t>. F. Nagy</w:t>
      </w:r>
      <w:r w:rsidRPr="00724226">
        <w:t xml:space="preserve">, ‘Folklore Studies and the </w:t>
      </w:r>
      <w:proofErr w:type="spellStart"/>
      <w:r w:rsidRPr="00724226">
        <w:t>Mabinogion</w:t>
      </w:r>
      <w:proofErr w:type="spellEnd"/>
      <w:r w:rsidRPr="00724226">
        <w:t xml:space="preserve">’, in </w:t>
      </w:r>
      <w:r>
        <w:t>B. Maier et al (ed</w:t>
      </w:r>
      <w:r w:rsidRPr="00724226">
        <w:t>s</w:t>
      </w:r>
      <w:r>
        <w:t>.)</w:t>
      </w:r>
      <w:r w:rsidRPr="00724226">
        <w:t xml:space="preserve">, </w:t>
      </w:r>
      <w:proofErr w:type="spellStart"/>
      <w:r w:rsidRPr="00724226">
        <w:t>Jahre</w:t>
      </w:r>
      <w:proofErr w:type="spellEnd"/>
      <w:r w:rsidRPr="00724226">
        <w:t xml:space="preserve"> </w:t>
      </w:r>
      <w:proofErr w:type="spellStart"/>
      <w:r w:rsidRPr="00724226">
        <w:t>Mabinogion</w:t>
      </w:r>
      <w:proofErr w:type="spellEnd"/>
      <w:r w:rsidRPr="00724226">
        <w:t xml:space="preserve"> Deutsch </w:t>
      </w:r>
      <w:proofErr w:type="spellStart"/>
      <w:r w:rsidRPr="00724226">
        <w:t>Walisische</w:t>
      </w:r>
      <w:proofErr w:type="spellEnd"/>
      <w:r w:rsidRPr="00724226">
        <w:t xml:space="preserve"> </w:t>
      </w:r>
      <w:proofErr w:type="spellStart"/>
      <w:r w:rsidRPr="00724226">
        <w:t>Kultturbeziehungen</w:t>
      </w:r>
      <w:proofErr w:type="spellEnd"/>
      <w:r w:rsidRPr="00724226">
        <w:t>, (Tubingen: Max Niemeyer, 2001), 91-100</w:t>
      </w:r>
    </w:p>
  </w:footnote>
  <w:footnote w:id="3">
    <w:p w14:paraId="7922D99C" w14:textId="430F3AB3" w:rsidR="006C6210" w:rsidRDefault="006C6210">
      <w:pPr>
        <w:pStyle w:val="a6"/>
      </w:pPr>
      <w:r>
        <w:rPr>
          <w:rStyle w:val="a8"/>
        </w:rPr>
        <w:footnoteRef/>
      </w:r>
      <w:r>
        <w:t xml:space="preserve"> Nagy, p. 94 </w:t>
      </w:r>
    </w:p>
  </w:footnote>
  <w:footnote w:id="4">
    <w:p w14:paraId="1BC6754B" w14:textId="71873102" w:rsidR="006C6210" w:rsidRDefault="006C6210">
      <w:pPr>
        <w:pStyle w:val="a6"/>
      </w:pPr>
      <w:r>
        <w:rPr>
          <w:rStyle w:val="a8"/>
        </w:rPr>
        <w:footnoteRef/>
      </w:r>
      <w:r>
        <w:t xml:space="preserve"> </w:t>
      </w:r>
      <w:proofErr w:type="gramStart"/>
      <w:r>
        <w:t>see</w:t>
      </w:r>
      <w:proofErr w:type="gramEnd"/>
      <w:r>
        <w:t xml:space="preserve"> W.J. </w:t>
      </w:r>
      <w:proofErr w:type="spellStart"/>
      <w:r>
        <w:t>Gruffydd</w:t>
      </w:r>
      <w:proofErr w:type="spellEnd"/>
      <w:r>
        <w:t xml:space="preserve">, </w:t>
      </w:r>
      <w:r>
        <w:rPr>
          <w:i/>
        </w:rPr>
        <w:t xml:space="preserve">Math fab </w:t>
      </w:r>
      <w:proofErr w:type="spellStart"/>
      <w:r>
        <w:rPr>
          <w:i/>
        </w:rPr>
        <w:t>Mathonwy</w:t>
      </w:r>
      <w:proofErr w:type="spellEnd"/>
      <w:r>
        <w:rPr>
          <w:i/>
        </w:rPr>
        <w:t>: An Inquiry Into the Origins and Development of the Fourth Branch of the Mabinogi with the Text and a T</w:t>
      </w:r>
      <w:r w:rsidRPr="00651CDE">
        <w:rPr>
          <w:i/>
        </w:rPr>
        <w:t>ranslation</w:t>
      </w:r>
      <w:r>
        <w:t xml:space="preserve">, (Cardiff: University of Wales Press, 1928) for a complete account of </w:t>
      </w:r>
      <w:proofErr w:type="spellStart"/>
      <w:r>
        <w:t>Gruffydd’s</w:t>
      </w:r>
      <w:proofErr w:type="spellEnd"/>
      <w:r>
        <w:t xml:space="preserve"> ideas</w:t>
      </w:r>
    </w:p>
  </w:footnote>
  <w:footnote w:id="5">
    <w:p w14:paraId="05DDC67A" w14:textId="046244C2" w:rsidR="006C6210" w:rsidRDefault="006C6210">
      <w:pPr>
        <w:pStyle w:val="a6"/>
      </w:pPr>
      <w:r>
        <w:rPr>
          <w:rStyle w:val="a8"/>
        </w:rPr>
        <w:footnoteRef/>
      </w:r>
      <w:r>
        <w:t xml:space="preserve"> Nagy, p. 96</w:t>
      </w:r>
    </w:p>
  </w:footnote>
  <w:footnote w:id="6">
    <w:p w14:paraId="4E14F4A1" w14:textId="4AAFBB3E" w:rsidR="006C6210" w:rsidRDefault="006C6210">
      <w:pPr>
        <w:pStyle w:val="a6"/>
      </w:pPr>
      <w:r>
        <w:rPr>
          <w:rStyle w:val="a8"/>
        </w:rPr>
        <w:footnoteRef/>
      </w:r>
      <w:r>
        <w:t xml:space="preserve"> Kenneth Jackson,</w:t>
      </w:r>
      <w:r w:rsidRPr="00CF54CE">
        <w:t xml:space="preserve"> </w:t>
      </w:r>
      <w:r w:rsidRPr="00CF54CE">
        <w:rPr>
          <w:i/>
        </w:rPr>
        <w:t>The Internationa</w:t>
      </w:r>
      <w:r>
        <w:rPr>
          <w:i/>
        </w:rPr>
        <w:t>l Popular Tale and Early Welsh T</w:t>
      </w:r>
      <w:r w:rsidRPr="00CF54CE">
        <w:rPr>
          <w:i/>
        </w:rPr>
        <w:t>radition</w:t>
      </w:r>
      <w:r w:rsidRPr="00CF54CE">
        <w:t>, (Cardiff: University of Wales Press, 1961)</w:t>
      </w:r>
      <w:r w:rsidR="008C663F">
        <w:t xml:space="preserve"> p.33</w:t>
      </w:r>
    </w:p>
  </w:footnote>
  <w:footnote w:id="7">
    <w:p w14:paraId="4F576A01" w14:textId="52AF27AB" w:rsidR="006C6210" w:rsidRDefault="006C6210">
      <w:pPr>
        <w:pStyle w:val="a6"/>
      </w:pPr>
      <w:r>
        <w:rPr>
          <w:rStyle w:val="a8"/>
        </w:rPr>
        <w:footnoteRef/>
      </w:r>
      <w:r>
        <w:t xml:space="preserve"> Ibid, p.</w:t>
      </w:r>
      <w:r w:rsidR="008C663F">
        <w:t xml:space="preserve"> 87</w:t>
      </w:r>
    </w:p>
  </w:footnote>
  <w:footnote w:id="8">
    <w:p w14:paraId="5714CB8B" w14:textId="48F473E2" w:rsidR="006C6210" w:rsidRDefault="006C6210">
      <w:pPr>
        <w:pStyle w:val="a6"/>
      </w:pPr>
      <w:r>
        <w:rPr>
          <w:rStyle w:val="a8"/>
        </w:rPr>
        <w:footnoteRef/>
      </w:r>
      <w:r>
        <w:t xml:space="preserve"> Nagy, p. 97</w:t>
      </w:r>
    </w:p>
  </w:footnote>
  <w:footnote w:id="9">
    <w:p w14:paraId="0D4BB9DB" w14:textId="415529EA" w:rsidR="006C6210" w:rsidRDefault="006C6210">
      <w:pPr>
        <w:pStyle w:val="a6"/>
      </w:pPr>
      <w:r>
        <w:rPr>
          <w:rStyle w:val="a8"/>
        </w:rPr>
        <w:footnoteRef/>
      </w:r>
      <w:r>
        <w:t xml:space="preserve"> In addition to Nagy’s work, see also </w:t>
      </w:r>
      <w:r w:rsidRPr="003A0D5B">
        <w:t>Andrew</w:t>
      </w:r>
      <w:r>
        <w:t xml:space="preserve"> Welsh</w:t>
      </w:r>
      <w:r w:rsidRPr="003A0D5B">
        <w:t xml:space="preserve">, 'The Traditional Narrative Motifs of the Four Branches of the </w:t>
      </w:r>
      <w:proofErr w:type="spellStart"/>
      <w:r w:rsidRPr="003A0D5B">
        <w:t>Mabinogi</w:t>
      </w:r>
      <w:proofErr w:type="spellEnd"/>
      <w:r w:rsidRPr="003A0D5B">
        <w:t xml:space="preserve">', </w:t>
      </w:r>
      <w:r w:rsidRPr="00DE3A64">
        <w:rPr>
          <w:i/>
        </w:rPr>
        <w:t>Cambridge Medieval Celtic Studies</w:t>
      </w:r>
      <w:r>
        <w:t xml:space="preserve">, (15): (1988), </w:t>
      </w:r>
      <w:r w:rsidR="00DF08C3">
        <w:t xml:space="preserve">pp. </w:t>
      </w:r>
      <w:r>
        <w:t>51-62</w:t>
      </w:r>
    </w:p>
  </w:footnote>
  <w:footnote w:id="10">
    <w:p w14:paraId="5E6D5B71" w14:textId="650E81C9" w:rsidR="006C6210" w:rsidRDefault="006C6210">
      <w:pPr>
        <w:pStyle w:val="a6"/>
      </w:pPr>
      <w:r>
        <w:rPr>
          <w:rStyle w:val="a8"/>
        </w:rPr>
        <w:footnoteRef/>
      </w:r>
      <w:r>
        <w:t xml:space="preserve"> Nagy, p. 99</w:t>
      </w:r>
    </w:p>
  </w:footnote>
  <w:footnote w:id="11">
    <w:p w14:paraId="7F1497A8" w14:textId="5A09F08D" w:rsidR="006C6210" w:rsidRDefault="006C6210">
      <w:pPr>
        <w:pStyle w:val="a6"/>
      </w:pPr>
      <w:r>
        <w:rPr>
          <w:rStyle w:val="a8"/>
        </w:rPr>
        <w:footnoteRef/>
      </w:r>
      <w:r>
        <w:t xml:space="preserve"> Bollard, p. 75</w:t>
      </w:r>
    </w:p>
  </w:footnote>
  <w:footnote w:id="12">
    <w:p w14:paraId="77C288D3" w14:textId="4A5E30FB" w:rsidR="006C6210" w:rsidRDefault="006C6210">
      <w:pPr>
        <w:pStyle w:val="a6"/>
      </w:pPr>
      <w:r>
        <w:rPr>
          <w:rStyle w:val="a8"/>
        </w:rPr>
        <w:footnoteRef/>
      </w:r>
      <w:r>
        <w:t xml:space="preserve"> Bollard, p. 70</w:t>
      </w:r>
    </w:p>
  </w:footnote>
  <w:footnote w:id="13">
    <w:p w14:paraId="01E349EA" w14:textId="3839D9CD" w:rsidR="006C6210" w:rsidRDefault="006C6210">
      <w:pPr>
        <w:pStyle w:val="a6"/>
      </w:pPr>
      <w:r>
        <w:rPr>
          <w:rStyle w:val="a8"/>
        </w:rPr>
        <w:footnoteRef/>
      </w:r>
      <w:r>
        <w:t xml:space="preserve"> Bollard, p. 71</w:t>
      </w:r>
    </w:p>
  </w:footnote>
  <w:footnote w:id="14">
    <w:p w14:paraId="2D3B8797" w14:textId="1E6552EF" w:rsidR="006C6210" w:rsidRDefault="006C6210">
      <w:pPr>
        <w:pStyle w:val="a6"/>
      </w:pPr>
      <w:r>
        <w:rPr>
          <w:rStyle w:val="a8"/>
        </w:rPr>
        <w:footnoteRef/>
      </w:r>
      <w:r>
        <w:t xml:space="preserve"> Bollard, p. 77</w:t>
      </w:r>
    </w:p>
  </w:footnote>
  <w:footnote w:id="15">
    <w:p w14:paraId="4F97038B" w14:textId="4CEF3A9D" w:rsidR="006C6210" w:rsidRDefault="006C6210">
      <w:pPr>
        <w:pStyle w:val="a6"/>
      </w:pPr>
      <w:r>
        <w:rPr>
          <w:rStyle w:val="a8"/>
        </w:rPr>
        <w:footnoteRef/>
      </w:r>
      <w:r>
        <w:t xml:space="preserve"> </w:t>
      </w:r>
      <w:proofErr w:type="spellStart"/>
      <w:r w:rsidRPr="009F0CC2">
        <w:t>Sioned</w:t>
      </w:r>
      <w:proofErr w:type="spellEnd"/>
      <w:r w:rsidRPr="009F0CC2">
        <w:t xml:space="preserve"> Davies, </w:t>
      </w:r>
      <w:r w:rsidRPr="00DE3A64">
        <w:rPr>
          <w:i/>
        </w:rPr>
        <w:t xml:space="preserve">The </w:t>
      </w:r>
      <w:proofErr w:type="spellStart"/>
      <w:r w:rsidRPr="00DE3A64">
        <w:rPr>
          <w:i/>
        </w:rPr>
        <w:t>Mabinogion</w:t>
      </w:r>
      <w:proofErr w:type="spellEnd"/>
      <w:r w:rsidRPr="009F0CC2">
        <w:t xml:space="preserve"> (Oxford: Oxford</w:t>
      </w:r>
      <w:r>
        <w:t xml:space="preserve"> University Press, 2007)</w:t>
      </w:r>
    </w:p>
  </w:footnote>
  <w:footnote w:id="16">
    <w:p w14:paraId="2DDDD855" w14:textId="29C4879E" w:rsidR="006C6210" w:rsidRDefault="006C6210">
      <w:pPr>
        <w:pStyle w:val="a6"/>
      </w:pPr>
      <w:r>
        <w:rPr>
          <w:rStyle w:val="a8"/>
        </w:rPr>
        <w:footnoteRef/>
      </w:r>
      <w:r>
        <w:t xml:space="preserve"> Bollard, p.80</w:t>
      </w:r>
    </w:p>
  </w:footnote>
  <w:footnote w:id="17">
    <w:p w14:paraId="6EC051BA" w14:textId="302B5CEA" w:rsidR="006C6210" w:rsidRDefault="006C6210">
      <w:pPr>
        <w:pStyle w:val="a6"/>
      </w:pPr>
      <w:r>
        <w:rPr>
          <w:rStyle w:val="a8"/>
        </w:rPr>
        <w:footnoteRef/>
      </w:r>
      <w:r>
        <w:t xml:space="preserve"> Bollard, p. 71</w:t>
      </w:r>
    </w:p>
  </w:footnote>
  <w:footnote w:id="18">
    <w:p w14:paraId="5084F74B" w14:textId="44CA02A5" w:rsidR="006C6210" w:rsidRDefault="006C6210">
      <w:pPr>
        <w:pStyle w:val="a6"/>
      </w:pPr>
      <w:r>
        <w:rPr>
          <w:rStyle w:val="a8"/>
        </w:rPr>
        <w:footnoteRef/>
      </w:r>
      <w:r>
        <w:t xml:space="preserve"> Bollard, p. 76</w:t>
      </w:r>
    </w:p>
  </w:footnote>
  <w:footnote w:id="19">
    <w:p w14:paraId="2CE34F39" w14:textId="2E2EF50C" w:rsidR="006C6210" w:rsidRDefault="006C6210">
      <w:pPr>
        <w:pStyle w:val="a6"/>
      </w:pPr>
      <w:r>
        <w:rPr>
          <w:rStyle w:val="a8"/>
        </w:rPr>
        <w:footnoteRef/>
      </w:r>
      <w:r>
        <w:t xml:space="preserve"> Bollard, p. 78 </w:t>
      </w:r>
    </w:p>
  </w:footnote>
  <w:footnote w:id="20">
    <w:p w14:paraId="1B24ECDE" w14:textId="62DB19A2" w:rsidR="006C6210" w:rsidRDefault="006C6210">
      <w:pPr>
        <w:pStyle w:val="a6"/>
      </w:pPr>
      <w:r>
        <w:rPr>
          <w:rStyle w:val="a8"/>
        </w:rPr>
        <w:footnoteRef/>
      </w:r>
      <w:r>
        <w:t xml:space="preserve"> </w:t>
      </w:r>
      <w:proofErr w:type="spellStart"/>
      <w:r>
        <w:t>Proinsias</w:t>
      </w:r>
      <w:proofErr w:type="spellEnd"/>
      <w:r>
        <w:t xml:space="preserve"> Mac Cana, ‘</w:t>
      </w:r>
      <w:r w:rsidRPr="0072118F">
        <w:t xml:space="preserve">The Four Branches’, in his </w:t>
      </w:r>
      <w:r w:rsidRPr="0072118F">
        <w:rPr>
          <w:i/>
        </w:rPr>
        <w:t xml:space="preserve">The </w:t>
      </w:r>
      <w:proofErr w:type="spellStart"/>
      <w:r w:rsidRPr="0072118F">
        <w:rPr>
          <w:i/>
        </w:rPr>
        <w:t>Mabinogi</w:t>
      </w:r>
      <w:proofErr w:type="spellEnd"/>
      <w:r w:rsidRPr="0072118F">
        <w:rPr>
          <w:i/>
        </w:rPr>
        <w:t>,</w:t>
      </w:r>
      <w:r w:rsidRPr="0072118F">
        <w:t xml:space="preserve"> (Cardiff: Univers</w:t>
      </w:r>
      <w:r>
        <w:t xml:space="preserve">ity of Wales Press, 1992), p. 35 </w:t>
      </w:r>
    </w:p>
  </w:footnote>
  <w:footnote w:id="21">
    <w:p w14:paraId="08528CBC" w14:textId="25307CD8" w:rsidR="006C6210" w:rsidRDefault="006C6210">
      <w:pPr>
        <w:pStyle w:val="a6"/>
      </w:pPr>
      <w:r>
        <w:rPr>
          <w:rStyle w:val="a8"/>
        </w:rPr>
        <w:footnoteRef/>
      </w:r>
      <w:r>
        <w:t xml:space="preserve"> Ibid, p. 36</w:t>
      </w:r>
    </w:p>
  </w:footnote>
  <w:footnote w:id="22">
    <w:p w14:paraId="01FBC120" w14:textId="31276AB4" w:rsidR="006C6210" w:rsidRDefault="006C6210">
      <w:pPr>
        <w:pStyle w:val="a6"/>
      </w:pPr>
      <w:r>
        <w:rPr>
          <w:rStyle w:val="a8"/>
        </w:rPr>
        <w:footnoteRef/>
      </w:r>
      <w:r>
        <w:t xml:space="preserve"> Ibid, p. 35</w:t>
      </w:r>
    </w:p>
  </w:footnote>
  <w:footnote w:id="23">
    <w:p w14:paraId="3374C04C" w14:textId="6B49F8A0" w:rsidR="006C6210" w:rsidRDefault="006C6210">
      <w:pPr>
        <w:pStyle w:val="a6"/>
      </w:pPr>
      <w:r>
        <w:rPr>
          <w:rStyle w:val="a8"/>
        </w:rPr>
        <w:footnoteRef/>
      </w:r>
      <w:r>
        <w:t xml:space="preserve"> Ibid, p. 46</w:t>
      </w:r>
    </w:p>
  </w:footnote>
  <w:footnote w:id="24">
    <w:p w14:paraId="10C27E79" w14:textId="1063CDC9" w:rsidR="006C6210" w:rsidRDefault="006C6210">
      <w:pPr>
        <w:pStyle w:val="a6"/>
      </w:pPr>
      <w:r>
        <w:rPr>
          <w:rStyle w:val="a8"/>
        </w:rPr>
        <w:footnoteRef/>
      </w:r>
      <w:r>
        <w:t xml:space="preserve"> Ibid, p. 37</w:t>
      </w:r>
    </w:p>
  </w:footnote>
  <w:footnote w:id="25">
    <w:p w14:paraId="1F99AC1F" w14:textId="579E11F4" w:rsidR="006C6210" w:rsidRDefault="006C6210">
      <w:pPr>
        <w:pStyle w:val="a6"/>
      </w:pPr>
      <w:r>
        <w:rPr>
          <w:rStyle w:val="a8"/>
        </w:rPr>
        <w:footnoteRef/>
      </w:r>
      <w:r>
        <w:t xml:space="preserve"> Ibid, p. 50</w:t>
      </w:r>
    </w:p>
  </w:footnote>
  <w:footnote w:id="26">
    <w:p w14:paraId="3E6F6B2D" w14:textId="54E7492F" w:rsidR="006C6210" w:rsidRDefault="006C6210">
      <w:pPr>
        <w:pStyle w:val="a6"/>
      </w:pPr>
      <w:r>
        <w:rPr>
          <w:rStyle w:val="a8"/>
        </w:rPr>
        <w:footnoteRef/>
      </w:r>
      <w:r>
        <w:t xml:space="preserve"> </w:t>
      </w:r>
      <w:proofErr w:type="spellStart"/>
      <w:r w:rsidRPr="00A52716">
        <w:t>Sioned</w:t>
      </w:r>
      <w:proofErr w:type="spellEnd"/>
      <w:r w:rsidRPr="00A52716">
        <w:t xml:space="preserve"> Davies, ‘Storytelling in Medieval Wales’, </w:t>
      </w:r>
      <w:r w:rsidRPr="00A52716">
        <w:rPr>
          <w:i/>
        </w:rPr>
        <w:t>Oral Tradition</w:t>
      </w:r>
      <w:r w:rsidRPr="00A52716">
        <w:t>, (7)(2): (1992), p</w:t>
      </w:r>
      <w:r>
        <w:t xml:space="preserve">. 234 </w:t>
      </w:r>
    </w:p>
  </w:footnote>
  <w:footnote w:id="27">
    <w:p w14:paraId="441822B6" w14:textId="467B15F4" w:rsidR="006C6210" w:rsidRDefault="006C6210">
      <w:pPr>
        <w:pStyle w:val="a6"/>
      </w:pPr>
      <w:r>
        <w:rPr>
          <w:rStyle w:val="a8"/>
        </w:rPr>
        <w:footnoteRef/>
      </w:r>
      <w:r>
        <w:t xml:space="preserve"> </w:t>
      </w:r>
      <w:r w:rsidRPr="002541D4">
        <w:t xml:space="preserve">Fulton, H., </w:t>
      </w:r>
      <w:r w:rsidRPr="002541D4">
        <w:rPr>
          <w:i/>
        </w:rPr>
        <w:t>Medieval Celtic Literature and Society</w:t>
      </w:r>
      <w:r w:rsidRPr="002541D4">
        <w:t xml:space="preserve">, (Dublin: </w:t>
      </w:r>
      <w:r>
        <w:t>Four Courts Press, 2005), p. 232</w:t>
      </w:r>
    </w:p>
  </w:footnote>
  <w:footnote w:id="28">
    <w:p w14:paraId="584A9FD8" w14:textId="4698A78D" w:rsidR="006C6210" w:rsidRDefault="006C6210">
      <w:pPr>
        <w:pStyle w:val="a6"/>
      </w:pPr>
      <w:r>
        <w:rPr>
          <w:rStyle w:val="a8"/>
        </w:rPr>
        <w:footnoteRef/>
      </w:r>
      <w:r>
        <w:t xml:space="preserve"> Ibid, p. 233</w:t>
      </w:r>
    </w:p>
  </w:footnote>
  <w:footnote w:id="29">
    <w:p w14:paraId="64F1EC5A" w14:textId="28A96C61" w:rsidR="006C6210" w:rsidRDefault="006C6210">
      <w:pPr>
        <w:pStyle w:val="a6"/>
      </w:pPr>
      <w:r>
        <w:rPr>
          <w:rStyle w:val="a8"/>
        </w:rPr>
        <w:footnoteRef/>
      </w:r>
      <w:r>
        <w:t xml:space="preserve"> Ibid, p. 237</w:t>
      </w:r>
    </w:p>
  </w:footnote>
  <w:footnote w:id="30">
    <w:p w14:paraId="62FA2B1F" w14:textId="06AF7CFD" w:rsidR="006C6210" w:rsidRDefault="006C6210">
      <w:pPr>
        <w:pStyle w:val="a6"/>
      </w:pPr>
      <w:r>
        <w:rPr>
          <w:rStyle w:val="a8"/>
        </w:rPr>
        <w:footnoteRef/>
      </w:r>
      <w:r>
        <w:t xml:space="preserve"> Ibid, p. 238</w:t>
      </w:r>
    </w:p>
  </w:footnote>
  <w:footnote w:id="31">
    <w:p w14:paraId="4BEFAF56" w14:textId="155AAEC9" w:rsidR="006C6210" w:rsidRDefault="006C6210">
      <w:pPr>
        <w:pStyle w:val="a6"/>
      </w:pPr>
      <w:r>
        <w:rPr>
          <w:rStyle w:val="a8"/>
        </w:rPr>
        <w:footnoteRef/>
      </w:r>
      <w:r>
        <w:t xml:space="preserve"> Ibid, p. 237</w:t>
      </w:r>
    </w:p>
  </w:footnote>
  <w:footnote w:id="32">
    <w:p w14:paraId="5F4D1E67" w14:textId="6955F717" w:rsidR="006C6210" w:rsidRDefault="006C6210">
      <w:pPr>
        <w:pStyle w:val="a6"/>
      </w:pPr>
      <w:r>
        <w:rPr>
          <w:rStyle w:val="a8"/>
        </w:rPr>
        <w:footnoteRef/>
      </w:r>
      <w:r>
        <w:t xml:space="preserve"> Ibid, p.</w:t>
      </w:r>
      <w:r w:rsidR="00F65BAA">
        <w:t xml:space="preserve"> </w:t>
      </w:r>
      <w:r>
        <w:t>237</w:t>
      </w:r>
    </w:p>
  </w:footnote>
  <w:footnote w:id="33">
    <w:p w14:paraId="57875270" w14:textId="5CBC6ABB" w:rsidR="006C6210" w:rsidRDefault="006C6210">
      <w:pPr>
        <w:pStyle w:val="a6"/>
      </w:pPr>
      <w:r>
        <w:rPr>
          <w:rStyle w:val="a8"/>
        </w:rPr>
        <w:footnoteRef/>
      </w:r>
      <w:r>
        <w:t xml:space="preserve"> Ibid, p. 240</w:t>
      </w:r>
    </w:p>
  </w:footnote>
  <w:footnote w:id="34">
    <w:p w14:paraId="3F986B5A" w14:textId="15867522" w:rsidR="006C6210" w:rsidRDefault="006C6210">
      <w:pPr>
        <w:pStyle w:val="a6"/>
      </w:pPr>
      <w:r>
        <w:rPr>
          <w:rStyle w:val="a8"/>
        </w:rPr>
        <w:footnoteRef/>
      </w:r>
      <w:r>
        <w:t xml:space="preserve"> Ibid, p. 243</w:t>
      </w:r>
    </w:p>
  </w:footnote>
  <w:footnote w:id="35">
    <w:p w14:paraId="5E979CA8" w14:textId="6248543E" w:rsidR="006C6210" w:rsidRDefault="006C6210">
      <w:pPr>
        <w:pStyle w:val="a6"/>
      </w:pPr>
      <w:r>
        <w:rPr>
          <w:rStyle w:val="a8"/>
        </w:rPr>
        <w:footnoteRef/>
      </w:r>
      <w:r>
        <w:t xml:space="preserve"> Ibid, p. 245</w:t>
      </w:r>
    </w:p>
  </w:footnote>
  <w:footnote w:id="36">
    <w:p w14:paraId="582CF3C5" w14:textId="0BD4C5E3" w:rsidR="006C6210" w:rsidRDefault="006C6210">
      <w:pPr>
        <w:pStyle w:val="a6"/>
      </w:pPr>
      <w:r>
        <w:rPr>
          <w:rStyle w:val="a8"/>
        </w:rPr>
        <w:footnoteRef/>
      </w:r>
      <w:r>
        <w:t xml:space="preserve"> Ibid, p. 246</w:t>
      </w:r>
    </w:p>
  </w:footnote>
  <w:footnote w:id="37">
    <w:p w14:paraId="0C2756A4" w14:textId="71357C93" w:rsidR="006C6210" w:rsidRDefault="006C6210">
      <w:pPr>
        <w:pStyle w:val="a6"/>
      </w:pPr>
      <w:r>
        <w:rPr>
          <w:rStyle w:val="a8"/>
        </w:rPr>
        <w:footnoteRef/>
      </w:r>
      <w:r>
        <w:t xml:space="preserve"> </w:t>
      </w:r>
      <w:proofErr w:type="spellStart"/>
      <w:r w:rsidRPr="00D6086D">
        <w:t>Huws</w:t>
      </w:r>
      <w:proofErr w:type="spellEnd"/>
      <w:r w:rsidRPr="00D6086D">
        <w:t>, B. ‘</w:t>
      </w:r>
      <w:proofErr w:type="spellStart"/>
      <w:r w:rsidRPr="00D6086D">
        <w:t>Manawydan</w:t>
      </w:r>
      <w:proofErr w:type="spellEnd"/>
      <w:r w:rsidRPr="00D6086D">
        <w:t xml:space="preserve"> </w:t>
      </w:r>
      <w:proofErr w:type="spellStart"/>
      <w:r w:rsidRPr="00D6086D">
        <w:t>uab</w:t>
      </w:r>
      <w:proofErr w:type="spellEnd"/>
      <w:r w:rsidRPr="00D6086D">
        <w:t xml:space="preserve"> </w:t>
      </w:r>
      <w:proofErr w:type="spellStart"/>
      <w:r w:rsidRPr="00D6086D">
        <w:t>Llŷr</w:t>
      </w:r>
      <w:proofErr w:type="spellEnd"/>
      <w:r w:rsidRPr="00D6086D">
        <w:t xml:space="preserve">: A Tale of the Norman Occupation of </w:t>
      </w:r>
      <w:proofErr w:type="spellStart"/>
      <w:r w:rsidRPr="00D6086D">
        <w:t>Deheubarth</w:t>
      </w:r>
      <w:proofErr w:type="spellEnd"/>
      <w:r w:rsidRPr="00D6086D">
        <w:t xml:space="preserve">’, </w:t>
      </w:r>
      <w:r w:rsidRPr="00D6086D">
        <w:rPr>
          <w:i/>
        </w:rPr>
        <w:t xml:space="preserve">Transactions of the </w:t>
      </w:r>
      <w:proofErr w:type="spellStart"/>
      <w:r w:rsidRPr="00D6086D">
        <w:rPr>
          <w:i/>
        </w:rPr>
        <w:t>Honourable</w:t>
      </w:r>
      <w:proofErr w:type="spellEnd"/>
      <w:r w:rsidRPr="00D6086D">
        <w:rPr>
          <w:i/>
        </w:rPr>
        <w:t xml:space="preserve"> Society of the </w:t>
      </w:r>
      <w:proofErr w:type="spellStart"/>
      <w:r w:rsidRPr="00D6086D">
        <w:rPr>
          <w:i/>
        </w:rPr>
        <w:t>Cymmrodorion</w:t>
      </w:r>
      <w:proofErr w:type="spellEnd"/>
      <w:r>
        <w:t xml:space="preserve">, New Series (16): (2010), p. </w:t>
      </w:r>
      <w:r w:rsidRPr="00D6086D">
        <w:t>23</w:t>
      </w:r>
    </w:p>
  </w:footnote>
  <w:footnote w:id="38">
    <w:p w14:paraId="628DEF5B" w14:textId="64BF8221" w:rsidR="006C6210" w:rsidRDefault="006C6210">
      <w:pPr>
        <w:pStyle w:val="a6"/>
      </w:pPr>
      <w:r>
        <w:rPr>
          <w:rStyle w:val="a8"/>
        </w:rPr>
        <w:footnoteRef/>
      </w:r>
      <w:r>
        <w:t xml:space="preserve"> </w:t>
      </w:r>
      <w:proofErr w:type="spellStart"/>
      <w:r w:rsidRPr="00A52716">
        <w:t>Sioned</w:t>
      </w:r>
      <w:proofErr w:type="spellEnd"/>
      <w:r w:rsidRPr="00A52716">
        <w:t xml:space="preserve"> Davies, ‘Storytelling in Medieval Wales’, </w:t>
      </w:r>
      <w:r w:rsidRPr="00A52716">
        <w:rPr>
          <w:i/>
        </w:rPr>
        <w:t>Oral Tradition</w:t>
      </w:r>
      <w:r w:rsidRPr="00A52716">
        <w:t>, (7)(2): (1992), p</w:t>
      </w:r>
      <w:r>
        <w:t>. 241</w:t>
      </w:r>
    </w:p>
  </w:footnote>
  <w:footnote w:id="39">
    <w:p w14:paraId="72E58492" w14:textId="2B9C20B2" w:rsidR="006C6210" w:rsidRDefault="006C6210">
      <w:pPr>
        <w:pStyle w:val="a6"/>
      </w:pPr>
      <w:r>
        <w:rPr>
          <w:rStyle w:val="a8"/>
        </w:rPr>
        <w:footnoteRef/>
      </w:r>
      <w:r>
        <w:t xml:space="preserve"> Ibid, p. 236</w:t>
      </w:r>
    </w:p>
  </w:footnote>
  <w:footnote w:id="40">
    <w:p w14:paraId="298042D2" w14:textId="1E051A28" w:rsidR="006C6210" w:rsidRDefault="006C6210">
      <w:pPr>
        <w:pStyle w:val="a6"/>
      </w:pPr>
      <w:r>
        <w:rPr>
          <w:rStyle w:val="a8"/>
        </w:rPr>
        <w:footnoteRef/>
      </w:r>
      <w:r>
        <w:t xml:space="preserve"> Ibid</w:t>
      </w:r>
    </w:p>
  </w:footnote>
  <w:footnote w:id="41">
    <w:p w14:paraId="66894A8E" w14:textId="438C4EFB" w:rsidR="006C6210" w:rsidRDefault="006C6210">
      <w:pPr>
        <w:pStyle w:val="a6"/>
      </w:pPr>
      <w:r>
        <w:rPr>
          <w:rStyle w:val="a8"/>
        </w:rPr>
        <w:footnoteRef/>
      </w:r>
      <w:r>
        <w:t xml:space="preserve"> Davies, </w:t>
      </w:r>
      <w:r w:rsidRPr="006C6210">
        <w:rPr>
          <w:i/>
        </w:rPr>
        <w:t xml:space="preserve">The </w:t>
      </w:r>
      <w:proofErr w:type="spellStart"/>
      <w:r w:rsidRPr="006C6210">
        <w:rPr>
          <w:i/>
        </w:rPr>
        <w:t>Mabingion</w:t>
      </w:r>
      <w:proofErr w:type="spellEnd"/>
      <w:r>
        <w:t>, p. xxvi</w:t>
      </w:r>
    </w:p>
  </w:footnote>
  <w:footnote w:id="42">
    <w:p w14:paraId="1A74AA35" w14:textId="4D4D5879" w:rsidR="006C6210" w:rsidRDefault="006C6210">
      <w:pPr>
        <w:pStyle w:val="a6"/>
      </w:pPr>
      <w:r>
        <w:rPr>
          <w:rStyle w:val="a8"/>
        </w:rPr>
        <w:footnoteRef/>
      </w:r>
      <w:r>
        <w:t xml:space="preserve"> Davies, </w:t>
      </w:r>
      <w:r w:rsidR="00BD4C44">
        <w:t>‘</w:t>
      </w:r>
      <w:r w:rsidRPr="00BD4C44">
        <w:t>Storytelling in Medieval Wales</w:t>
      </w:r>
      <w:r w:rsidR="00BD4C44">
        <w:t>’</w:t>
      </w:r>
      <w:r>
        <w:t>, p. 245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52"/>
  <w:bordersDoNotSurroundHeader/>
  <w:bordersDoNotSurroundFooter/>
  <w:proofState w:spelling="clean" w:grammar="clean"/>
  <w:defaultTabStop w:val="420"/>
  <w:drawingGridVerticalSpacing w:val="200"/>
  <w:displayHorizontalDrawingGridEvery w:val="0"/>
  <w:displayVerticalDrawingGridEvery w:val="2"/>
  <w:characterSpacingControl w:val="compressPunctuation"/>
  <w:savePreviewPicture/>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D4D3B"/>
    <w:rsid w:val="000036DB"/>
    <w:rsid w:val="00005DA8"/>
    <w:rsid w:val="0001135D"/>
    <w:rsid w:val="0001318C"/>
    <w:rsid w:val="0001423A"/>
    <w:rsid w:val="000311B7"/>
    <w:rsid w:val="00041E2C"/>
    <w:rsid w:val="000539E5"/>
    <w:rsid w:val="00056788"/>
    <w:rsid w:val="000731E7"/>
    <w:rsid w:val="0009377A"/>
    <w:rsid w:val="00093EE0"/>
    <w:rsid w:val="000B7A59"/>
    <w:rsid w:val="000D1FE7"/>
    <w:rsid w:val="000D5314"/>
    <w:rsid w:val="000E286C"/>
    <w:rsid w:val="000E63B2"/>
    <w:rsid w:val="000F6412"/>
    <w:rsid w:val="00161437"/>
    <w:rsid w:val="001833F3"/>
    <w:rsid w:val="00195BFF"/>
    <w:rsid w:val="00197EB6"/>
    <w:rsid w:val="001A14AD"/>
    <w:rsid w:val="001A3C9F"/>
    <w:rsid w:val="001B0766"/>
    <w:rsid w:val="001C0238"/>
    <w:rsid w:val="001C4CE4"/>
    <w:rsid w:val="001E1605"/>
    <w:rsid w:val="001F1D5C"/>
    <w:rsid w:val="00234A7E"/>
    <w:rsid w:val="00251FC2"/>
    <w:rsid w:val="002541D4"/>
    <w:rsid w:val="00260EA3"/>
    <w:rsid w:val="0027034C"/>
    <w:rsid w:val="00282676"/>
    <w:rsid w:val="00291AB4"/>
    <w:rsid w:val="002A3C87"/>
    <w:rsid w:val="002B4EB7"/>
    <w:rsid w:val="002C3B98"/>
    <w:rsid w:val="002C799F"/>
    <w:rsid w:val="002E22EE"/>
    <w:rsid w:val="002E7BBA"/>
    <w:rsid w:val="002F0348"/>
    <w:rsid w:val="002F3049"/>
    <w:rsid w:val="00307470"/>
    <w:rsid w:val="00344E67"/>
    <w:rsid w:val="00361731"/>
    <w:rsid w:val="0038402B"/>
    <w:rsid w:val="003B1C6D"/>
    <w:rsid w:val="003D51EA"/>
    <w:rsid w:val="003E1426"/>
    <w:rsid w:val="003E1B13"/>
    <w:rsid w:val="003F4BCD"/>
    <w:rsid w:val="00407DD9"/>
    <w:rsid w:val="00414FB7"/>
    <w:rsid w:val="004419CF"/>
    <w:rsid w:val="004433CD"/>
    <w:rsid w:val="00474A60"/>
    <w:rsid w:val="00483658"/>
    <w:rsid w:val="00486401"/>
    <w:rsid w:val="004D2F55"/>
    <w:rsid w:val="004D3C76"/>
    <w:rsid w:val="004E0834"/>
    <w:rsid w:val="004F1868"/>
    <w:rsid w:val="004F3431"/>
    <w:rsid w:val="00506D02"/>
    <w:rsid w:val="00525A8F"/>
    <w:rsid w:val="005563BA"/>
    <w:rsid w:val="00573C7F"/>
    <w:rsid w:val="00581276"/>
    <w:rsid w:val="00594B04"/>
    <w:rsid w:val="005A1856"/>
    <w:rsid w:val="005B1F4D"/>
    <w:rsid w:val="005C3D19"/>
    <w:rsid w:val="005D68D7"/>
    <w:rsid w:val="005E101D"/>
    <w:rsid w:val="005E3E35"/>
    <w:rsid w:val="005F6A82"/>
    <w:rsid w:val="005F7DDE"/>
    <w:rsid w:val="00604D9A"/>
    <w:rsid w:val="00622743"/>
    <w:rsid w:val="00631F03"/>
    <w:rsid w:val="00642AE3"/>
    <w:rsid w:val="00651CDE"/>
    <w:rsid w:val="0065409F"/>
    <w:rsid w:val="006751FE"/>
    <w:rsid w:val="006B2957"/>
    <w:rsid w:val="006B5664"/>
    <w:rsid w:val="006C6210"/>
    <w:rsid w:val="006D0DB4"/>
    <w:rsid w:val="006D2320"/>
    <w:rsid w:val="006E1B8C"/>
    <w:rsid w:val="006E7DB3"/>
    <w:rsid w:val="006F74B6"/>
    <w:rsid w:val="0070231B"/>
    <w:rsid w:val="00733718"/>
    <w:rsid w:val="007349A3"/>
    <w:rsid w:val="007452B6"/>
    <w:rsid w:val="00750CA5"/>
    <w:rsid w:val="00750D20"/>
    <w:rsid w:val="007537E5"/>
    <w:rsid w:val="00753FE7"/>
    <w:rsid w:val="00792D49"/>
    <w:rsid w:val="00795268"/>
    <w:rsid w:val="007B2D00"/>
    <w:rsid w:val="007B35F5"/>
    <w:rsid w:val="007E3C30"/>
    <w:rsid w:val="007E5943"/>
    <w:rsid w:val="00804FD9"/>
    <w:rsid w:val="00816766"/>
    <w:rsid w:val="00846C2D"/>
    <w:rsid w:val="0085792B"/>
    <w:rsid w:val="00874B9C"/>
    <w:rsid w:val="00891815"/>
    <w:rsid w:val="008B5667"/>
    <w:rsid w:val="008B58DB"/>
    <w:rsid w:val="008C663F"/>
    <w:rsid w:val="008C736A"/>
    <w:rsid w:val="008F3857"/>
    <w:rsid w:val="00920ED2"/>
    <w:rsid w:val="009507FB"/>
    <w:rsid w:val="00951D44"/>
    <w:rsid w:val="009860BE"/>
    <w:rsid w:val="00987018"/>
    <w:rsid w:val="009947A4"/>
    <w:rsid w:val="009A041F"/>
    <w:rsid w:val="009B02C2"/>
    <w:rsid w:val="009B6B48"/>
    <w:rsid w:val="009D60E6"/>
    <w:rsid w:val="00A02944"/>
    <w:rsid w:val="00A16D5F"/>
    <w:rsid w:val="00A519D6"/>
    <w:rsid w:val="00A52716"/>
    <w:rsid w:val="00A622D9"/>
    <w:rsid w:val="00A92A5D"/>
    <w:rsid w:val="00A953F2"/>
    <w:rsid w:val="00AB6FF4"/>
    <w:rsid w:val="00AC32A4"/>
    <w:rsid w:val="00AE1405"/>
    <w:rsid w:val="00AF2774"/>
    <w:rsid w:val="00B00F94"/>
    <w:rsid w:val="00B26873"/>
    <w:rsid w:val="00B433C8"/>
    <w:rsid w:val="00B4744D"/>
    <w:rsid w:val="00B8545C"/>
    <w:rsid w:val="00B9261A"/>
    <w:rsid w:val="00BA2DCE"/>
    <w:rsid w:val="00BB11FA"/>
    <w:rsid w:val="00BB34F2"/>
    <w:rsid w:val="00BB6D92"/>
    <w:rsid w:val="00BC2D37"/>
    <w:rsid w:val="00BD34A9"/>
    <w:rsid w:val="00BD4C44"/>
    <w:rsid w:val="00BE481D"/>
    <w:rsid w:val="00C152C9"/>
    <w:rsid w:val="00C277F8"/>
    <w:rsid w:val="00C308BD"/>
    <w:rsid w:val="00C3199F"/>
    <w:rsid w:val="00C712E6"/>
    <w:rsid w:val="00C838DB"/>
    <w:rsid w:val="00C9438C"/>
    <w:rsid w:val="00CE142F"/>
    <w:rsid w:val="00CE57F3"/>
    <w:rsid w:val="00CF54CE"/>
    <w:rsid w:val="00D11E54"/>
    <w:rsid w:val="00D1473A"/>
    <w:rsid w:val="00D352D2"/>
    <w:rsid w:val="00D43BEB"/>
    <w:rsid w:val="00D46D55"/>
    <w:rsid w:val="00D5584A"/>
    <w:rsid w:val="00D606DF"/>
    <w:rsid w:val="00D6086D"/>
    <w:rsid w:val="00D740DF"/>
    <w:rsid w:val="00D93E27"/>
    <w:rsid w:val="00DB4866"/>
    <w:rsid w:val="00DC00E7"/>
    <w:rsid w:val="00DC1890"/>
    <w:rsid w:val="00DD16A9"/>
    <w:rsid w:val="00DD2459"/>
    <w:rsid w:val="00DF051F"/>
    <w:rsid w:val="00DF08C3"/>
    <w:rsid w:val="00DF5B86"/>
    <w:rsid w:val="00DF763C"/>
    <w:rsid w:val="00E258B1"/>
    <w:rsid w:val="00E4013D"/>
    <w:rsid w:val="00E47319"/>
    <w:rsid w:val="00E61602"/>
    <w:rsid w:val="00E744C7"/>
    <w:rsid w:val="00EA0CF5"/>
    <w:rsid w:val="00EC22BB"/>
    <w:rsid w:val="00EC7FE4"/>
    <w:rsid w:val="00ED07EC"/>
    <w:rsid w:val="00EE556E"/>
    <w:rsid w:val="00EF08A9"/>
    <w:rsid w:val="00F033F7"/>
    <w:rsid w:val="00F0382A"/>
    <w:rsid w:val="00F06260"/>
    <w:rsid w:val="00F100D0"/>
    <w:rsid w:val="00F15480"/>
    <w:rsid w:val="00F244C3"/>
    <w:rsid w:val="00F26617"/>
    <w:rsid w:val="00F32B9E"/>
    <w:rsid w:val="00F330F6"/>
    <w:rsid w:val="00F62303"/>
    <w:rsid w:val="00F65BAA"/>
    <w:rsid w:val="00F67E5C"/>
    <w:rsid w:val="00F84A10"/>
    <w:rsid w:val="00F95AB4"/>
    <w:rsid w:val="00FB791D"/>
    <w:rsid w:val="00FC5371"/>
    <w:rsid w:val="00FD4D3B"/>
    <w:rsid w:val="00FD7EAC"/>
    <w:rsid w:val="00FE1A58"/>
    <w:rsid w:val="00FE5FF6"/>
    <w:rsid w:val="00FF2EC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71BCF46A"/>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paragraph" w:styleId="3">
    <w:name w:val="heading 3"/>
    <w:basedOn w:val="a"/>
    <w:link w:val="30"/>
    <w:qFormat/>
    <w:rsid w:val="00F244C3"/>
    <w:pPr>
      <w:keepNext/>
      <w:widowControl/>
      <w:ind w:left="720"/>
      <w:outlineLvl w:val="2"/>
    </w:pPr>
    <w:rPr>
      <w:rFonts w:ascii="Tahoma" w:eastAsia="SimSun" w:hAnsi="Tahoma" w:cs="Tahoma"/>
      <w:b/>
      <w:bCs/>
      <w:kern w:val="0"/>
      <w:sz w:val="20"/>
      <w:szCs w:val="20"/>
      <w:lang w:val="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30">
    <w:name w:val="标题 3字符"/>
    <w:basedOn w:val="a0"/>
    <w:link w:val="3"/>
    <w:rsid w:val="00F244C3"/>
    <w:rPr>
      <w:rFonts w:ascii="Tahoma" w:eastAsia="SimSun" w:hAnsi="Tahoma" w:cs="Tahoma"/>
      <w:b/>
      <w:bCs/>
      <w:kern w:val="0"/>
      <w:sz w:val="20"/>
      <w:szCs w:val="20"/>
      <w:lang w:val="en-GB"/>
    </w:rPr>
  </w:style>
  <w:style w:type="paragraph" w:styleId="a3">
    <w:name w:val="Normal (Web)"/>
    <w:basedOn w:val="a"/>
    <w:rsid w:val="00F244C3"/>
    <w:pPr>
      <w:widowControl/>
      <w:spacing w:before="100" w:beforeAutospacing="1" w:after="100" w:afterAutospacing="1"/>
      <w:jc w:val="left"/>
    </w:pPr>
    <w:rPr>
      <w:rFonts w:ascii="Georgia" w:eastAsia="SimSun" w:hAnsi="Georgia" w:cs="Times New Roman"/>
      <w:color w:val="000000"/>
      <w:kern w:val="0"/>
      <w:sz w:val="21"/>
      <w:szCs w:val="21"/>
      <w:lang w:val="en-GB"/>
    </w:rPr>
  </w:style>
  <w:style w:type="paragraph" w:styleId="a4">
    <w:name w:val="Balloon Text"/>
    <w:basedOn w:val="a"/>
    <w:link w:val="a5"/>
    <w:uiPriority w:val="99"/>
    <w:semiHidden/>
    <w:unhideWhenUsed/>
    <w:rsid w:val="00F244C3"/>
    <w:rPr>
      <w:rFonts w:ascii="Lucida Grande" w:hAnsi="Lucida Grande" w:cs="Lucida Grande"/>
      <w:sz w:val="18"/>
      <w:szCs w:val="18"/>
    </w:rPr>
  </w:style>
  <w:style w:type="character" w:customStyle="1" w:styleId="a5">
    <w:name w:val="批注框文本字符"/>
    <w:basedOn w:val="a0"/>
    <w:link w:val="a4"/>
    <w:uiPriority w:val="99"/>
    <w:semiHidden/>
    <w:rsid w:val="00F244C3"/>
    <w:rPr>
      <w:rFonts w:ascii="Lucida Grande" w:hAnsi="Lucida Grande" w:cs="Lucida Grande"/>
      <w:sz w:val="18"/>
      <w:szCs w:val="18"/>
    </w:rPr>
  </w:style>
  <w:style w:type="paragraph" w:styleId="a6">
    <w:name w:val="footnote text"/>
    <w:basedOn w:val="a"/>
    <w:link w:val="a7"/>
    <w:uiPriority w:val="99"/>
    <w:unhideWhenUsed/>
    <w:rsid w:val="002B4EB7"/>
    <w:pPr>
      <w:snapToGrid w:val="0"/>
      <w:jc w:val="left"/>
    </w:pPr>
    <w:rPr>
      <w:sz w:val="18"/>
      <w:szCs w:val="18"/>
    </w:rPr>
  </w:style>
  <w:style w:type="character" w:customStyle="1" w:styleId="a7">
    <w:name w:val="脚注文本字符"/>
    <w:basedOn w:val="a0"/>
    <w:link w:val="a6"/>
    <w:uiPriority w:val="99"/>
    <w:rsid w:val="002B4EB7"/>
    <w:rPr>
      <w:sz w:val="18"/>
      <w:szCs w:val="18"/>
    </w:rPr>
  </w:style>
  <w:style w:type="character" w:styleId="a8">
    <w:name w:val="footnote reference"/>
    <w:basedOn w:val="a0"/>
    <w:uiPriority w:val="99"/>
    <w:unhideWhenUsed/>
    <w:rsid w:val="002B4EB7"/>
    <w:rPr>
      <w:vertAlign w:val="superscript"/>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paragraph" w:styleId="3">
    <w:name w:val="heading 3"/>
    <w:basedOn w:val="a"/>
    <w:link w:val="30"/>
    <w:qFormat/>
    <w:rsid w:val="00F244C3"/>
    <w:pPr>
      <w:keepNext/>
      <w:widowControl/>
      <w:ind w:left="720"/>
      <w:outlineLvl w:val="2"/>
    </w:pPr>
    <w:rPr>
      <w:rFonts w:ascii="Tahoma" w:eastAsia="SimSun" w:hAnsi="Tahoma" w:cs="Tahoma"/>
      <w:b/>
      <w:bCs/>
      <w:kern w:val="0"/>
      <w:sz w:val="20"/>
      <w:szCs w:val="20"/>
      <w:lang w:val="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30">
    <w:name w:val="标题 3字符"/>
    <w:basedOn w:val="a0"/>
    <w:link w:val="3"/>
    <w:rsid w:val="00F244C3"/>
    <w:rPr>
      <w:rFonts w:ascii="Tahoma" w:eastAsia="SimSun" w:hAnsi="Tahoma" w:cs="Tahoma"/>
      <w:b/>
      <w:bCs/>
      <w:kern w:val="0"/>
      <w:sz w:val="20"/>
      <w:szCs w:val="20"/>
      <w:lang w:val="en-GB"/>
    </w:rPr>
  </w:style>
  <w:style w:type="paragraph" w:styleId="a3">
    <w:name w:val="Normal (Web)"/>
    <w:basedOn w:val="a"/>
    <w:rsid w:val="00F244C3"/>
    <w:pPr>
      <w:widowControl/>
      <w:spacing w:before="100" w:beforeAutospacing="1" w:after="100" w:afterAutospacing="1"/>
      <w:jc w:val="left"/>
    </w:pPr>
    <w:rPr>
      <w:rFonts w:ascii="Georgia" w:eastAsia="SimSun" w:hAnsi="Georgia" w:cs="Times New Roman"/>
      <w:color w:val="000000"/>
      <w:kern w:val="0"/>
      <w:sz w:val="21"/>
      <w:szCs w:val="21"/>
      <w:lang w:val="en-GB"/>
    </w:rPr>
  </w:style>
  <w:style w:type="paragraph" w:styleId="a4">
    <w:name w:val="Balloon Text"/>
    <w:basedOn w:val="a"/>
    <w:link w:val="a5"/>
    <w:uiPriority w:val="99"/>
    <w:semiHidden/>
    <w:unhideWhenUsed/>
    <w:rsid w:val="00F244C3"/>
    <w:rPr>
      <w:rFonts w:ascii="Lucida Grande" w:hAnsi="Lucida Grande" w:cs="Lucida Grande"/>
      <w:sz w:val="18"/>
      <w:szCs w:val="18"/>
    </w:rPr>
  </w:style>
  <w:style w:type="character" w:customStyle="1" w:styleId="a5">
    <w:name w:val="批注框文本字符"/>
    <w:basedOn w:val="a0"/>
    <w:link w:val="a4"/>
    <w:uiPriority w:val="99"/>
    <w:semiHidden/>
    <w:rsid w:val="00F244C3"/>
    <w:rPr>
      <w:rFonts w:ascii="Lucida Grande" w:hAnsi="Lucida Grande" w:cs="Lucida Grande"/>
      <w:sz w:val="18"/>
      <w:szCs w:val="18"/>
    </w:rPr>
  </w:style>
  <w:style w:type="paragraph" w:styleId="a6">
    <w:name w:val="footnote text"/>
    <w:basedOn w:val="a"/>
    <w:link w:val="a7"/>
    <w:uiPriority w:val="99"/>
    <w:unhideWhenUsed/>
    <w:rsid w:val="002B4EB7"/>
    <w:pPr>
      <w:snapToGrid w:val="0"/>
      <w:jc w:val="left"/>
    </w:pPr>
    <w:rPr>
      <w:sz w:val="18"/>
      <w:szCs w:val="18"/>
    </w:rPr>
  </w:style>
  <w:style w:type="character" w:customStyle="1" w:styleId="a7">
    <w:name w:val="脚注文本字符"/>
    <w:basedOn w:val="a0"/>
    <w:link w:val="a6"/>
    <w:uiPriority w:val="99"/>
    <w:rsid w:val="002B4EB7"/>
    <w:rPr>
      <w:sz w:val="18"/>
      <w:szCs w:val="18"/>
    </w:rPr>
  </w:style>
  <w:style w:type="character" w:styleId="a8">
    <w:name w:val="footnote reference"/>
    <w:basedOn w:val="a0"/>
    <w:uiPriority w:val="99"/>
    <w:unhideWhenUsed/>
    <w:rsid w:val="002B4EB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32041312">
      <w:bodyDiv w:val="1"/>
      <w:marLeft w:val="0"/>
      <w:marRight w:val="0"/>
      <w:marTop w:val="0"/>
      <w:marBottom w:val="0"/>
      <w:divBdr>
        <w:top w:val="none" w:sz="0" w:space="0" w:color="auto"/>
        <w:left w:val="none" w:sz="0" w:space="0" w:color="auto"/>
        <w:bottom w:val="none" w:sz="0" w:space="0" w:color="auto"/>
        <w:right w:val="none" w:sz="0" w:space="0" w:color="auto"/>
      </w:divBdr>
    </w:div>
    <w:div w:id="963193136">
      <w:bodyDiv w:val="1"/>
      <w:marLeft w:val="0"/>
      <w:marRight w:val="0"/>
      <w:marTop w:val="0"/>
      <w:marBottom w:val="0"/>
      <w:divBdr>
        <w:top w:val="none" w:sz="0" w:space="0" w:color="auto"/>
        <w:left w:val="none" w:sz="0" w:space="0" w:color="auto"/>
        <w:bottom w:val="none" w:sz="0" w:space="0" w:color="auto"/>
        <w:right w:val="none" w:sz="0" w:space="0" w:color="auto"/>
      </w:divBdr>
    </w:div>
    <w:div w:id="1069890534">
      <w:bodyDiv w:val="1"/>
      <w:marLeft w:val="0"/>
      <w:marRight w:val="0"/>
      <w:marTop w:val="0"/>
      <w:marBottom w:val="0"/>
      <w:divBdr>
        <w:top w:val="none" w:sz="0" w:space="0" w:color="auto"/>
        <w:left w:val="none" w:sz="0" w:space="0" w:color="auto"/>
        <w:bottom w:val="none" w:sz="0" w:space="0" w:color="auto"/>
        <w:right w:val="none" w:sz="0" w:space="0" w:color="auto"/>
      </w:divBdr>
    </w:div>
    <w:div w:id="1143814830">
      <w:bodyDiv w:val="1"/>
      <w:marLeft w:val="0"/>
      <w:marRight w:val="0"/>
      <w:marTop w:val="0"/>
      <w:marBottom w:val="0"/>
      <w:divBdr>
        <w:top w:val="none" w:sz="0" w:space="0" w:color="auto"/>
        <w:left w:val="none" w:sz="0" w:space="0" w:color="auto"/>
        <w:bottom w:val="none" w:sz="0" w:space="0" w:color="auto"/>
        <w:right w:val="none" w:sz="0" w:space="0" w:color="auto"/>
      </w:divBdr>
    </w:div>
    <w:div w:id="1533766020">
      <w:bodyDiv w:val="1"/>
      <w:marLeft w:val="0"/>
      <w:marRight w:val="0"/>
      <w:marTop w:val="0"/>
      <w:marBottom w:val="0"/>
      <w:divBdr>
        <w:top w:val="none" w:sz="0" w:space="0" w:color="auto"/>
        <w:left w:val="none" w:sz="0" w:space="0" w:color="auto"/>
        <w:bottom w:val="none" w:sz="0" w:space="0" w:color="auto"/>
        <w:right w:val="none" w:sz="0" w:space="0" w:color="auto"/>
      </w:divBdr>
    </w:div>
    <w:div w:id="1591237598">
      <w:bodyDiv w:val="1"/>
      <w:marLeft w:val="0"/>
      <w:marRight w:val="0"/>
      <w:marTop w:val="0"/>
      <w:marBottom w:val="0"/>
      <w:divBdr>
        <w:top w:val="none" w:sz="0" w:space="0" w:color="auto"/>
        <w:left w:val="none" w:sz="0" w:space="0" w:color="auto"/>
        <w:bottom w:val="none" w:sz="0" w:space="0" w:color="auto"/>
        <w:right w:val="none" w:sz="0" w:space="0" w:color="auto"/>
      </w:divBdr>
    </w:div>
    <w:div w:id="192125720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主题">
  <a:themeElements>
    <a:clrScheme name="办公室">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办公室">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办公室">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979</TotalTime>
  <Pages>13</Pages>
  <Words>4274</Words>
  <Characters>24368</Characters>
  <Application>Microsoft Macintosh Word</Application>
  <DocSecurity>0</DocSecurity>
  <Lines>203</Lines>
  <Paragraphs>57</Paragraphs>
  <ScaleCrop>false</ScaleCrop>
  <Company/>
  <LinksUpToDate>false</LinksUpToDate>
  <CharactersWithSpaces>28585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Gina</dc:creator>
  <cp:keywords/>
  <dc:description/>
  <cp:lastModifiedBy>Gina</cp:lastModifiedBy>
  <cp:revision>156</cp:revision>
  <dcterms:created xsi:type="dcterms:W3CDTF">2019-11-13T09:25:00Z</dcterms:created>
  <dcterms:modified xsi:type="dcterms:W3CDTF">2020-01-06T10:10:00Z</dcterms:modified>
</cp:coreProperties>
</file>