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BAFE6D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86176">
              <w:rPr>
                <w:rFonts w:ascii="Times New Roman" w:hAnsi="Times New Roman" w:cs="Times New Roman"/>
                <w:b/>
                <w:color w:val="auto"/>
                <w:sz w:val="48"/>
              </w:rPr>
              <w:t>Alaw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3582C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86176">
              <w:rPr>
                <w:rFonts w:ascii="Times New Roman" w:hAnsi="Times New Roman" w:cs="Times New Roman"/>
                <w:b/>
                <w:color w:val="auto"/>
                <w:sz w:val="48"/>
              </w:rPr>
              <w:t xml:space="preserve"> </w:t>
            </w:r>
            <w:r w:rsidR="00986176" w:rsidRPr="00830E17">
              <w:rPr>
                <w:rFonts w:ascii="Times New Roman" w:hAnsi="Times New Roman" w:cs="Times New Roman"/>
                <w:b/>
                <w:sz w:val="48"/>
              </w:rPr>
              <w:t>2521070@student.uwtsd.ac.uk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6B83378" w:rsidR="0085230E" w:rsidRDefault="0098617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2521070</w:t>
            </w:r>
          </w:p>
          <w:p w14:paraId="4D663B58" w14:textId="77777777" w:rsidR="00986176" w:rsidRPr="005D3F07" w:rsidRDefault="00986176"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8FC916E" w14:textId="77777777" w:rsidR="00986176"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691BE6F9" w14:textId="77777777" w:rsidR="00986176" w:rsidRDefault="00986176" w:rsidP="00FF7EBB">
            <w:pPr>
              <w:jc w:val="both"/>
              <w:rPr>
                <w:sz w:val="24"/>
                <w:szCs w:val="24"/>
              </w:rPr>
            </w:pPr>
          </w:p>
          <w:p w14:paraId="6E78BF1D" w14:textId="77777777" w:rsidR="00986176" w:rsidRDefault="00986176" w:rsidP="0098617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3C64263E"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7B9F6439" w14:textId="71D4771D" w:rsidR="00986176" w:rsidRPr="00986176" w:rsidRDefault="00986176" w:rsidP="00986176">
            <w:pPr>
              <w:rPr>
                <w:rFonts w:ascii="Aptos" w:hAnsi="Aptos"/>
                <w:i/>
                <w:iCs/>
                <w:color w:val="000000" w:themeColor="text1"/>
                <w:sz w:val="24"/>
                <w:szCs w:val="24"/>
              </w:rPr>
            </w:pPr>
            <w:r w:rsidRPr="00986176">
              <w:rPr>
                <w:rFonts w:ascii="Aptos" w:hAnsi="Aptos"/>
                <w:sz w:val="24"/>
                <w:szCs w:val="24"/>
              </w:rPr>
              <w:t xml:space="preserve">The primary legislation that governs the policies and procedures for protecting children at risk of harm in Wales is the </w:t>
            </w:r>
            <w:r w:rsidRPr="00986176">
              <w:rPr>
                <w:rFonts w:ascii="Aptos" w:hAnsi="Aptos"/>
                <w:i/>
                <w:iCs/>
                <w:sz w:val="24"/>
                <w:szCs w:val="24"/>
              </w:rPr>
              <w:t>Social Services and Wellbeing (Wales) Act 2014</w:t>
            </w:r>
            <w:r w:rsidRPr="00986176">
              <w:rPr>
                <w:rFonts w:ascii="Aptos" w:hAnsi="Aptos"/>
                <w:sz w:val="24"/>
                <w:szCs w:val="24"/>
              </w:rPr>
              <w:t>. The legal duty to report a child at risk is detailed in Section 130 of the act. This highlights the responsibility of relevant partners to notify the local authority if a child is at risk. It defines a ‘child at risk’ as a child “who is experiencing or is at risk of abuse, neglect or other kinds of harm, and has needs for care and support (whether or not those needs are being met)” (</w:t>
            </w:r>
            <w:r w:rsidRPr="00986176">
              <w:rPr>
                <w:rFonts w:ascii="Aptos" w:hAnsi="Aptos"/>
                <w:i/>
                <w:iCs/>
                <w:sz w:val="24"/>
                <w:szCs w:val="24"/>
              </w:rPr>
              <w:t>Social Services and Wellbeing (Wales) Act 2014</w:t>
            </w:r>
            <w:r w:rsidR="008A7DA2">
              <w:rPr>
                <w:rFonts w:ascii="Aptos" w:hAnsi="Aptos"/>
                <w:i/>
                <w:iCs/>
                <w:sz w:val="24"/>
                <w:szCs w:val="24"/>
              </w:rPr>
              <w:t xml:space="preserve">, </w:t>
            </w:r>
            <w:r w:rsidR="008A7DA2">
              <w:rPr>
                <w:rFonts w:ascii="Aptos" w:hAnsi="Aptos"/>
                <w:sz w:val="24"/>
                <w:szCs w:val="24"/>
              </w:rPr>
              <w:t>S.130</w:t>
            </w:r>
            <w:r w:rsidRPr="00986176">
              <w:rPr>
                <w:rFonts w:ascii="Aptos" w:hAnsi="Aptos"/>
                <w:sz w:val="24"/>
                <w:szCs w:val="24"/>
              </w:rPr>
              <w:t xml:space="preserve">). Social Care </w:t>
            </w:r>
            <w:r w:rsidRPr="00986176">
              <w:rPr>
                <w:rFonts w:ascii="Aptos" w:hAnsi="Aptos"/>
                <w:color w:val="000000" w:themeColor="text1"/>
                <w:sz w:val="24"/>
                <w:szCs w:val="24"/>
              </w:rPr>
              <w:t xml:space="preserve">Wales (2026b) explains that ‘at risk’ may not necessarily mean that a child is currently suffering from abuse or neglect, but also the need for intervention to prevent a child at risk of harm. The </w:t>
            </w:r>
            <w:r w:rsidRPr="00986176">
              <w:rPr>
                <w:rFonts w:ascii="Aptos" w:hAnsi="Aptos"/>
                <w:i/>
                <w:iCs/>
                <w:color w:val="000000" w:themeColor="text1"/>
                <w:sz w:val="24"/>
                <w:szCs w:val="24"/>
              </w:rPr>
              <w:t>Social Services and Wellbeing (Wales) Act 2014</w:t>
            </w:r>
            <w:r w:rsidRPr="00986176">
              <w:rPr>
                <w:rFonts w:ascii="Aptos" w:hAnsi="Aptos"/>
                <w:color w:val="000000" w:themeColor="text1"/>
                <w:sz w:val="24"/>
                <w:szCs w:val="24"/>
              </w:rPr>
              <w:t xml:space="preserve"> works alongside the </w:t>
            </w:r>
            <w:r w:rsidRPr="00986176">
              <w:rPr>
                <w:rFonts w:ascii="Aptos" w:hAnsi="Aptos"/>
                <w:i/>
                <w:iCs/>
                <w:color w:val="000000" w:themeColor="text1"/>
                <w:sz w:val="24"/>
                <w:szCs w:val="24"/>
              </w:rPr>
              <w:t>Children Act 1989</w:t>
            </w:r>
            <w:r w:rsidRPr="00986176">
              <w:rPr>
                <w:rFonts w:ascii="Aptos" w:hAnsi="Aptos"/>
                <w:color w:val="000000" w:themeColor="text1"/>
                <w:sz w:val="24"/>
                <w:szCs w:val="24"/>
              </w:rPr>
              <w:t xml:space="preserve"> which is a key legislation within the UK safeguarding children at risk of abuse and neglect. Section 47 of the </w:t>
            </w:r>
            <w:r w:rsidRPr="00986176">
              <w:rPr>
                <w:rFonts w:ascii="Aptos" w:hAnsi="Aptos"/>
                <w:i/>
                <w:iCs/>
                <w:color w:val="000000" w:themeColor="text1"/>
                <w:sz w:val="24"/>
                <w:szCs w:val="24"/>
              </w:rPr>
              <w:t>Children Act 1989</w:t>
            </w:r>
            <w:r w:rsidRPr="00986176">
              <w:rPr>
                <w:rFonts w:ascii="Aptos" w:hAnsi="Aptos"/>
                <w:color w:val="000000" w:themeColor="text1"/>
                <w:sz w:val="24"/>
                <w:szCs w:val="24"/>
              </w:rPr>
              <w:t xml:space="preserve"> states that the local authority has a duty to make enquiries if they suspect a child is at risk of abuse and neglect. The key categories of harm include physical, emotional/psychological, sexual, financial, and neglect (Welsh Government, 2019a). There may be indicators that a child is experiencing abuse and neglect. SCIE (2019) provides guidance on the indicators of physical abuse, highlighting the typical accidental injuries in comparison to typical physical abuse injuries. They state that accidental injuries tend to involve the bones that are close to the surface, whereas abusive injuries tend to involve softer tissue (SCIE, 2019). When it comes to emotional/psychological abuse some of the key indicators include low self-esteem and withdrawal, concerning interactions between child and parent/carer, self-harm or eating disorders, sudden speech disorders, signs of distress among other things (SCIE, 2019). Social Care Wales (2026b) also provides further guidance on identifying possible signs and indicators of child abuse and neglect for safeguarding children. More regionally, the North Wales Safeguarding Board ensure that national policies and procedures around the safeguarding of children are monitored. Within this, they undertake </w:t>
            </w:r>
            <w:r w:rsidRPr="00986176">
              <w:rPr>
                <w:rFonts w:ascii="Aptos" w:hAnsi="Aptos"/>
                <w:color w:val="000000" w:themeColor="text1"/>
                <w:sz w:val="24"/>
                <w:szCs w:val="24"/>
              </w:rPr>
              <w:lastRenderedPageBreak/>
              <w:t xml:space="preserve">audits, reviews, and investigations to provide further recommendations in the prevention and protection for children at risk of abuse and neglect. They are key in ensuring that the safeguarding of children under </w:t>
            </w:r>
            <w:r w:rsidRPr="00986176">
              <w:rPr>
                <w:rFonts w:ascii="Aptos" w:hAnsi="Aptos"/>
                <w:i/>
                <w:iCs/>
                <w:color w:val="000000" w:themeColor="text1"/>
                <w:sz w:val="24"/>
                <w:szCs w:val="24"/>
              </w:rPr>
              <w:t>the Social Services and Wellbeing (Wales) Act</w:t>
            </w:r>
            <w:r w:rsidRPr="00986176">
              <w:rPr>
                <w:rFonts w:ascii="Aptos" w:hAnsi="Aptos"/>
                <w:color w:val="000000" w:themeColor="text1"/>
                <w:sz w:val="24"/>
                <w:szCs w:val="24"/>
              </w:rPr>
              <w:t xml:space="preserve"> </w:t>
            </w:r>
            <w:r w:rsidRPr="00986176">
              <w:rPr>
                <w:rFonts w:ascii="Aptos" w:hAnsi="Aptos"/>
                <w:i/>
                <w:iCs/>
                <w:color w:val="000000" w:themeColor="text1"/>
                <w:sz w:val="24"/>
                <w:szCs w:val="24"/>
              </w:rPr>
              <w:t>2014</w:t>
            </w:r>
            <w:r w:rsidRPr="00986176">
              <w:rPr>
                <w:rFonts w:ascii="Aptos" w:hAnsi="Aptos"/>
                <w:color w:val="000000" w:themeColor="text1"/>
                <w:sz w:val="24"/>
                <w:szCs w:val="24"/>
              </w:rPr>
              <w:t xml:space="preserve"> is being followed regionally. XXX local authority’s organisational policies and procedures around safeguarding children at risk of abuse and neglect state the statutory duty to safeguard and promote the welfare of children, in line with the </w:t>
            </w:r>
            <w:r w:rsidRPr="00986176">
              <w:rPr>
                <w:rFonts w:ascii="Aptos" w:hAnsi="Aptos"/>
                <w:i/>
                <w:iCs/>
                <w:color w:val="000000" w:themeColor="text1"/>
                <w:sz w:val="24"/>
                <w:szCs w:val="24"/>
              </w:rPr>
              <w:t>Children Act 2004</w:t>
            </w:r>
            <w:r w:rsidRPr="00986176">
              <w:rPr>
                <w:rFonts w:ascii="Aptos" w:hAnsi="Aptos"/>
                <w:color w:val="000000" w:themeColor="text1"/>
                <w:sz w:val="24"/>
                <w:szCs w:val="24"/>
              </w:rPr>
              <w:t xml:space="preserve"> and the </w:t>
            </w:r>
            <w:r w:rsidRPr="00986176">
              <w:rPr>
                <w:rFonts w:ascii="Aptos" w:hAnsi="Aptos"/>
                <w:i/>
                <w:iCs/>
                <w:color w:val="000000" w:themeColor="text1"/>
                <w:sz w:val="24"/>
                <w:szCs w:val="24"/>
              </w:rPr>
              <w:t xml:space="preserve">Social Services and Wellbeing </w:t>
            </w:r>
            <w:r w:rsidR="00EC0581">
              <w:rPr>
                <w:rFonts w:ascii="Aptos" w:hAnsi="Aptos"/>
                <w:i/>
                <w:iCs/>
                <w:color w:val="000000" w:themeColor="text1"/>
                <w:sz w:val="24"/>
                <w:szCs w:val="24"/>
              </w:rPr>
              <w:t xml:space="preserve">(Wales) </w:t>
            </w:r>
            <w:r w:rsidRPr="00986176">
              <w:rPr>
                <w:rFonts w:ascii="Aptos" w:hAnsi="Aptos"/>
                <w:i/>
                <w:iCs/>
                <w:color w:val="000000" w:themeColor="text1"/>
                <w:sz w:val="24"/>
                <w:szCs w:val="24"/>
              </w:rPr>
              <w:t>Act 2014</w:t>
            </w:r>
            <w:r w:rsidRPr="00986176">
              <w:rPr>
                <w:rFonts w:ascii="Aptos" w:hAnsi="Aptos"/>
                <w:color w:val="000000" w:themeColor="text1"/>
                <w:sz w:val="24"/>
                <w:szCs w:val="24"/>
              </w:rPr>
              <w:t xml:space="preserve">. They highlight that “everyone has a responsibility to safeguard the welfare of children, young people and adults whatever the role of the individual” (XXX Local Authority, 2022, p.2). XXX local authority’s Local Safeguarding Children’s Board (LSCB) is responsible for coordinating agencies to protect children at risk of abuse and neglect as well as ensuring the effectiveness of this work. </w:t>
            </w:r>
          </w:p>
          <w:p w14:paraId="0318E819" w14:textId="77777777" w:rsidR="00FC0334" w:rsidRPr="00986176" w:rsidRDefault="00FC0334" w:rsidP="00FF7EBB">
            <w:pPr>
              <w:jc w:val="both"/>
              <w:rPr>
                <w:rFonts w:ascii="Aptos" w:hAnsi="Aptos"/>
                <w:sz w:val="24"/>
                <w:szCs w:val="24"/>
              </w:rPr>
            </w:pPr>
          </w:p>
          <w:p w14:paraId="4A95F4DB" w14:textId="026B3E62" w:rsidR="00FC0334" w:rsidRPr="00986176" w:rsidRDefault="00986176" w:rsidP="00FF7EBB">
            <w:pPr>
              <w:jc w:val="both"/>
              <w:rPr>
                <w:rFonts w:ascii="Aptos" w:hAnsi="Aptos"/>
                <w:sz w:val="24"/>
                <w:szCs w:val="24"/>
              </w:rPr>
            </w:pPr>
            <w:r w:rsidRPr="00986176">
              <w:rPr>
                <w:rFonts w:ascii="Aptos" w:hAnsi="Aptos"/>
                <w:sz w:val="24"/>
                <w:szCs w:val="24"/>
              </w:rPr>
              <w:t>5</w:t>
            </w:r>
            <w:r w:rsidR="008A7DA2">
              <w:rPr>
                <w:rFonts w:ascii="Aptos" w:hAnsi="Aptos"/>
                <w:sz w:val="24"/>
                <w:szCs w:val="24"/>
              </w:rPr>
              <w:t>10</w:t>
            </w:r>
            <w:r w:rsidRPr="00986176">
              <w:rPr>
                <w:rFonts w:ascii="Aptos" w:hAnsi="Aptos"/>
                <w:sz w:val="24"/>
                <w:szCs w:val="24"/>
              </w:rPr>
              <w:t xml:space="preserve"> Words</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03BD6D93" w14:textId="56AD433A" w:rsidR="007A628F" w:rsidRPr="008B28E7" w:rsidRDefault="007A628F" w:rsidP="00986176">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6A6C28E" w14:textId="77777777" w:rsidR="00986176" w:rsidRDefault="00986176" w:rsidP="00FC0334">
            <w:pPr>
              <w:jc w:val="both"/>
              <w:rPr>
                <w:sz w:val="24"/>
                <w:szCs w:val="24"/>
              </w:rPr>
            </w:pPr>
          </w:p>
          <w:p w14:paraId="7B06FAA8" w14:textId="77777777" w:rsidR="00986176" w:rsidRDefault="00986176" w:rsidP="0098617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29CF6A" w14:textId="77777777" w:rsidR="00986176" w:rsidRDefault="00986176" w:rsidP="00FC0334">
            <w:pPr>
              <w:jc w:val="both"/>
              <w:rPr>
                <w:sz w:val="24"/>
                <w:szCs w:val="24"/>
              </w:rPr>
            </w:pPr>
          </w:p>
          <w:p w14:paraId="4CABE426" w14:textId="77777777" w:rsidR="00FC0334" w:rsidRDefault="00FC0334" w:rsidP="00FC0334">
            <w:pPr>
              <w:jc w:val="both"/>
              <w:rPr>
                <w:sz w:val="24"/>
                <w:szCs w:val="24"/>
              </w:rPr>
            </w:pPr>
          </w:p>
          <w:p w14:paraId="2FE004FA" w14:textId="6CE653D7" w:rsidR="00986176" w:rsidRDefault="00986176" w:rsidP="00986176">
            <w:pPr>
              <w:rPr>
                <w:rFonts w:ascii="Aptos" w:hAnsi="Aptos"/>
                <w:sz w:val="24"/>
                <w:szCs w:val="24"/>
              </w:rPr>
            </w:pPr>
            <w:r w:rsidRPr="00986176">
              <w:rPr>
                <w:rFonts w:ascii="Aptos" w:hAnsi="Aptos"/>
                <w:sz w:val="24"/>
                <w:szCs w:val="24"/>
              </w:rPr>
              <w:t xml:space="preserve">Practitioners within both children and adults safeguarding have aligning core aims which </w:t>
            </w:r>
            <w:r>
              <w:rPr>
                <w:rFonts w:ascii="Aptos" w:hAnsi="Aptos"/>
                <w:sz w:val="24"/>
                <w:szCs w:val="24"/>
              </w:rPr>
              <w:t xml:space="preserve">are </w:t>
            </w:r>
            <w:r w:rsidRPr="00986176">
              <w:rPr>
                <w:rFonts w:ascii="Aptos" w:hAnsi="Aptos"/>
                <w:sz w:val="24"/>
                <w:szCs w:val="24"/>
              </w:rPr>
              <w:t>to protect adults and children’s “experiencing or at risk of abuse and neglect” (</w:t>
            </w:r>
            <w:r w:rsidRPr="00986176">
              <w:rPr>
                <w:rFonts w:ascii="Aptos" w:hAnsi="Aptos"/>
                <w:i/>
                <w:iCs/>
                <w:sz w:val="24"/>
                <w:szCs w:val="24"/>
              </w:rPr>
              <w:t>Social Services and Wellbeing (Wales) Act 2014</w:t>
            </w:r>
            <w:r w:rsidRPr="00986176">
              <w:rPr>
                <w:rFonts w:ascii="Aptos" w:hAnsi="Aptos"/>
                <w:sz w:val="24"/>
                <w:szCs w:val="24"/>
              </w:rPr>
              <w:t xml:space="preserve">, S.126). However, within the </w:t>
            </w:r>
            <w:r w:rsidRPr="00986176">
              <w:rPr>
                <w:rFonts w:ascii="Aptos" w:hAnsi="Aptos"/>
                <w:i/>
                <w:iCs/>
                <w:sz w:val="24"/>
                <w:szCs w:val="24"/>
              </w:rPr>
              <w:t>Children Act 1989</w:t>
            </w:r>
            <w:r w:rsidRPr="00986176">
              <w:rPr>
                <w:rFonts w:ascii="Aptos" w:hAnsi="Aptos"/>
                <w:sz w:val="24"/>
                <w:szCs w:val="24"/>
              </w:rPr>
              <w:t xml:space="preserve"> it highlights the importance that the welfare of the child is always paramount. In conjunction to this, adults have the right to self-determine and have the right to make unwise decisions if they have the mental capacity to do so (</w:t>
            </w:r>
            <w:r w:rsidRPr="00986176">
              <w:rPr>
                <w:rFonts w:ascii="Aptos" w:hAnsi="Aptos"/>
                <w:i/>
                <w:iCs/>
                <w:sz w:val="24"/>
                <w:szCs w:val="24"/>
              </w:rPr>
              <w:t>Mental Capacity Act 2005</w:t>
            </w:r>
            <w:r w:rsidRPr="00986176">
              <w:rPr>
                <w:rFonts w:ascii="Aptos" w:hAnsi="Aptos"/>
                <w:sz w:val="24"/>
                <w:szCs w:val="24"/>
              </w:rPr>
              <w:t xml:space="preserve">). It is important for practitioners to gather the wishes and feelings of both children and adults within safeguarding through a child centred and person-centred approach (Department of Education, 2026; Welsh Government, 2019b). </w:t>
            </w:r>
          </w:p>
          <w:p w14:paraId="7C8B8938" w14:textId="77777777" w:rsidR="00986176" w:rsidRPr="00986176" w:rsidRDefault="00986176" w:rsidP="00986176">
            <w:pPr>
              <w:rPr>
                <w:rFonts w:ascii="Aptos" w:hAnsi="Aptos"/>
                <w:sz w:val="24"/>
                <w:szCs w:val="24"/>
              </w:rPr>
            </w:pPr>
          </w:p>
          <w:p w14:paraId="402BB79F" w14:textId="77777777" w:rsidR="00986176" w:rsidRDefault="00986176" w:rsidP="00986176">
            <w:pPr>
              <w:rPr>
                <w:rFonts w:ascii="Aptos" w:hAnsi="Aptos"/>
                <w:sz w:val="24"/>
                <w:szCs w:val="24"/>
              </w:rPr>
            </w:pPr>
            <w:r w:rsidRPr="00986176">
              <w:rPr>
                <w:rFonts w:ascii="Aptos" w:hAnsi="Aptos"/>
                <w:sz w:val="24"/>
                <w:szCs w:val="24"/>
              </w:rPr>
              <w:t xml:space="preserve">One of the key differences within adults’ and children’s safeguarding is balancing wishes of children and adults along with keeping them safe. When safeguarding children, practitioners use Gillick competency to assess whether the child is mature enough to understand a decision and the implications of those decisions (NSPCC Learning, 2022). However, a child may still need to be safeguarded despite having Gillick competence. This varies to adult safeguarding, as they key legislation used to assess whether an adult has capacity to make decisions is the </w:t>
            </w:r>
            <w:r w:rsidRPr="00986176">
              <w:rPr>
                <w:rFonts w:ascii="Aptos" w:hAnsi="Aptos"/>
                <w:i/>
                <w:iCs/>
                <w:sz w:val="24"/>
                <w:szCs w:val="24"/>
              </w:rPr>
              <w:t>Mental Capacity Act 2005</w:t>
            </w:r>
            <w:r w:rsidRPr="00986176">
              <w:rPr>
                <w:rFonts w:ascii="Aptos" w:hAnsi="Aptos"/>
                <w:sz w:val="24"/>
                <w:szCs w:val="24"/>
              </w:rPr>
              <w:t>. When safeguarding adults, practitioners should empower the individual to make their own choices. (Welsh Government, 2019b). It is important to underpin that adults have the right to make unwise decisions within safeguarding (</w:t>
            </w:r>
            <w:r w:rsidRPr="00986176">
              <w:rPr>
                <w:rFonts w:ascii="Aptos" w:hAnsi="Aptos"/>
                <w:i/>
                <w:iCs/>
                <w:sz w:val="24"/>
                <w:szCs w:val="24"/>
              </w:rPr>
              <w:t>Mental Capacity Act 2005</w:t>
            </w:r>
            <w:r w:rsidRPr="00986176">
              <w:rPr>
                <w:rFonts w:ascii="Aptos" w:hAnsi="Aptos"/>
                <w:sz w:val="24"/>
                <w:szCs w:val="24"/>
              </w:rPr>
              <w:t xml:space="preserve">). This helps practitioners balance the autonomy and rights of adults with the protection of </w:t>
            </w:r>
            <w:r w:rsidRPr="00986176">
              <w:rPr>
                <w:rFonts w:ascii="Aptos" w:hAnsi="Aptos"/>
                <w:sz w:val="24"/>
                <w:szCs w:val="24"/>
              </w:rPr>
              <w:lastRenderedPageBreak/>
              <w:t xml:space="preserve">adults from harm. Under the </w:t>
            </w:r>
            <w:r w:rsidRPr="00986176">
              <w:rPr>
                <w:rFonts w:ascii="Aptos" w:hAnsi="Aptos"/>
                <w:i/>
                <w:iCs/>
                <w:sz w:val="24"/>
                <w:szCs w:val="24"/>
              </w:rPr>
              <w:t>Children Act 1989</w:t>
            </w:r>
            <w:r w:rsidRPr="00986176">
              <w:rPr>
                <w:rFonts w:ascii="Aptos" w:hAnsi="Aptos"/>
                <w:sz w:val="24"/>
                <w:szCs w:val="24"/>
              </w:rPr>
              <w:t xml:space="preserve"> a council may apply for a court order to take a child into care if they feel that the child is suffering from significant abuse and neglect. Conversely, there is no such powers within adult safeguarding as the ownership is on the adult to make their own decisions. If the adult lacks the mental capacity to make decisions, the professionals must act in the person’s best interests using a least restrictive approach (</w:t>
            </w:r>
            <w:r w:rsidRPr="00986176">
              <w:rPr>
                <w:rFonts w:ascii="Aptos" w:hAnsi="Aptos"/>
                <w:i/>
                <w:iCs/>
                <w:sz w:val="24"/>
                <w:szCs w:val="24"/>
              </w:rPr>
              <w:t>Mental Capacity Act 2005</w:t>
            </w:r>
            <w:r w:rsidRPr="00986176">
              <w:rPr>
                <w:rFonts w:ascii="Aptos" w:hAnsi="Aptos"/>
                <w:sz w:val="24"/>
                <w:szCs w:val="24"/>
              </w:rPr>
              <w:t xml:space="preserve">). Children’s safeguarding emphasises the welfare and protection of children as paramount regardless of consent whereas adult safeguarding emphasises the importance of the right to self-determine and autonomy. </w:t>
            </w:r>
          </w:p>
          <w:p w14:paraId="5A1AD0F1" w14:textId="77777777" w:rsidR="00986176" w:rsidRPr="00986176" w:rsidRDefault="00986176" w:rsidP="00986176">
            <w:pPr>
              <w:rPr>
                <w:rFonts w:ascii="Aptos" w:hAnsi="Aptos"/>
                <w:sz w:val="24"/>
                <w:szCs w:val="24"/>
              </w:rPr>
            </w:pPr>
          </w:p>
          <w:p w14:paraId="68302F91" w14:textId="77777777" w:rsidR="00986176" w:rsidRPr="00986176" w:rsidRDefault="00986176" w:rsidP="00986176">
            <w:pPr>
              <w:rPr>
                <w:rFonts w:ascii="Aptos" w:hAnsi="Aptos"/>
                <w:sz w:val="24"/>
                <w:szCs w:val="24"/>
              </w:rPr>
            </w:pPr>
            <w:r w:rsidRPr="00986176">
              <w:rPr>
                <w:rFonts w:ascii="Aptos" w:hAnsi="Aptos"/>
                <w:sz w:val="24"/>
                <w:szCs w:val="24"/>
              </w:rPr>
              <w:t xml:space="preserve">Within both children and adult safeguarding, practitioners work within the same overarching codes of professional practice. Social Care Wales (2026a) highlights the importance of practitioners to follow the relevant safeguarding policies and procedures and share information if someone may be at risk of harm. </w:t>
            </w:r>
          </w:p>
          <w:p w14:paraId="795C6051" w14:textId="77777777" w:rsidR="00FC0334" w:rsidRDefault="00FC0334" w:rsidP="00FC0334">
            <w:pPr>
              <w:jc w:val="both"/>
              <w:rPr>
                <w:sz w:val="24"/>
                <w:szCs w:val="24"/>
              </w:rPr>
            </w:pPr>
          </w:p>
          <w:p w14:paraId="4847C39E" w14:textId="4DC4D686" w:rsidR="00FC0334" w:rsidRPr="00986176" w:rsidRDefault="00986176" w:rsidP="00FC0334">
            <w:pPr>
              <w:jc w:val="both"/>
              <w:rPr>
                <w:rFonts w:ascii="Aptos" w:hAnsi="Aptos"/>
                <w:sz w:val="24"/>
                <w:szCs w:val="24"/>
              </w:rPr>
            </w:pPr>
            <w:r w:rsidRPr="00986176">
              <w:rPr>
                <w:rFonts w:ascii="Aptos" w:hAnsi="Aptos"/>
                <w:sz w:val="24"/>
                <w:szCs w:val="24"/>
              </w:rPr>
              <w:t>410 Words</w:t>
            </w:r>
          </w:p>
          <w:p w14:paraId="04285720" w14:textId="77777777" w:rsidR="00FC0334" w:rsidRDefault="00FC0334" w:rsidP="00FC0334">
            <w:pPr>
              <w:jc w:val="both"/>
              <w:rPr>
                <w:sz w:val="24"/>
                <w:szCs w:val="24"/>
              </w:rPr>
            </w:pPr>
          </w:p>
          <w:p w14:paraId="08760B3D" w14:textId="77777777" w:rsidR="00FC0334" w:rsidRPr="006108C9" w:rsidRDefault="00FC0334" w:rsidP="00986176">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B01E9" w14:textId="77777777" w:rsidR="002F1C23" w:rsidRDefault="002F1C23">
      <w:r>
        <w:separator/>
      </w:r>
    </w:p>
  </w:endnote>
  <w:endnote w:type="continuationSeparator" w:id="0">
    <w:p w14:paraId="6C73E968" w14:textId="77777777" w:rsidR="002F1C23" w:rsidRDefault="002F1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5CD32" w14:textId="77777777" w:rsidR="002F1C23" w:rsidRDefault="002F1C23">
      <w:r>
        <w:separator/>
      </w:r>
    </w:p>
  </w:footnote>
  <w:footnote w:type="continuationSeparator" w:id="0">
    <w:p w14:paraId="1FB5F386" w14:textId="77777777" w:rsidR="002F1C23" w:rsidRDefault="002F1C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BD9"/>
    <w:rsid w:val="002E6D17"/>
    <w:rsid w:val="002E7017"/>
    <w:rsid w:val="002E7F2C"/>
    <w:rsid w:val="002F1C23"/>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4C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7DA2"/>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14C5"/>
    <w:rsid w:val="0098262C"/>
    <w:rsid w:val="0098427C"/>
    <w:rsid w:val="00986176"/>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52"/>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12C"/>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5C63"/>
    <w:rsid w:val="00E3288D"/>
    <w:rsid w:val="00E35112"/>
    <w:rsid w:val="00E35BEC"/>
    <w:rsid w:val="00E41A6A"/>
    <w:rsid w:val="00E50821"/>
    <w:rsid w:val="00E51F91"/>
    <w:rsid w:val="00E5498A"/>
    <w:rsid w:val="00E559CE"/>
    <w:rsid w:val="00E60F42"/>
    <w:rsid w:val="00E6746C"/>
    <w:rsid w:val="00E706CB"/>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581"/>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1132</Words>
  <Characters>6160</Characters>
  <Application>Microsoft Office Word</Application>
  <DocSecurity>0</DocSecurity>
  <Lines>131</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Alaw Hughes</cp:lastModifiedBy>
  <cp:revision>5</cp:revision>
  <cp:lastPrinted>2020-02-11T19:20:00Z</cp:lastPrinted>
  <dcterms:created xsi:type="dcterms:W3CDTF">2026-09-28T11:50:00Z</dcterms:created>
  <dcterms:modified xsi:type="dcterms:W3CDTF">2026-10-06T16:00:00Z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