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3E83" w14:textId="77777777" w:rsidR="002E3DD7" w:rsidRPr="002E3DD7" w:rsidRDefault="002E3DD7" w:rsidP="002E3DD7">
      <w:pPr>
        <w:spacing w:after="240" w:line="360" w:lineRule="auto"/>
        <w:jc w:val="left"/>
        <w:rPr>
          <w:rFonts w:eastAsia="Times New Roman" w:cs="Times New Roman"/>
          <w:szCs w:val="24"/>
        </w:rPr>
      </w:pP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p>
    <w:p w14:paraId="17A2D97F" w14:textId="04B871BE" w:rsidR="002E3DD7" w:rsidRPr="002E3DD7" w:rsidRDefault="002E3DD7" w:rsidP="002E3DD7">
      <w:pPr>
        <w:pStyle w:val="Title"/>
        <w:spacing w:line="360" w:lineRule="auto"/>
        <w:rPr>
          <w:rFonts w:eastAsia="Times New Roman"/>
        </w:rPr>
      </w:pPr>
      <w:r w:rsidRPr="002E3DD7">
        <w:rPr>
          <w:rFonts w:eastAsia="Times New Roman"/>
        </w:rPr>
        <w:t>Reflective Supporting Paper</w:t>
      </w:r>
    </w:p>
    <w:p w14:paraId="69DB53D3" w14:textId="1741D7DE" w:rsidR="002E3DD7" w:rsidRDefault="003A6A00" w:rsidP="002E3DD7">
      <w:pPr>
        <w:spacing w:after="0" w:line="360" w:lineRule="auto"/>
        <w:jc w:val="center"/>
        <w:rPr>
          <w:rFonts w:eastAsia="Times New Roman" w:cs="Times New Roman"/>
          <w:b/>
          <w:bCs/>
          <w:i/>
          <w:iCs/>
          <w:color w:val="000000"/>
          <w:szCs w:val="24"/>
        </w:rPr>
      </w:pPr>
      <w:r>
        <w:rPr>
          <w:rFonts w:eastAsia="Times New Roman" w:cs="Times New Roman"/>
          <w:b/>
          <w:bCs/>
          <w:i/>
          <w:iCs/>
          <w:color w:val="000000"/>
          <w:szCs w:val="24"/>
        </w:rPr>
        <w:t xml:space="preserve">Cristiana </w:t>
      </w:r>
      <w:proofErr w:type="spellStart"/>
      <w:r>
        <w:rPr>
          <w:rFonts w:eastAsia="Times New Roman" w:cs="Times New Roman"/>
          <w:b/>
          <w:bCs/>
          <w:i/>
          <w:iCs/>
          <w:color w:val="000000"/>
          <w:szCs w:val="24"/>
        </w:rPr>
        <w:t>Iuliana</w:t>
      </w:r>
      <w:proofErr w:type="spellEnd"/>
      <w:r>
        <w:rPr>
          <w:rFonts w:eastAsia="Times New Roman" w:cs="Times New Roman"/>
          <w:b/>
          <w:bCs/>
          <w:i/>
          <w:iCs/>
          <w:color w:val="000000"/>
          <w:szCs w:val="24"/>
        </w:rPr>
        <w:t xml:space="preserve"> Roman </w:t>
      </w:r>
    </w:p>
    <w:p w14:paraId="76E71BF1" w14:textId="14FEA46E" w:rsidR="003837E1" w:rsidRDefault="003837E1" w:rsidP="002E3DD7">
      <w:pPr>
        <w:spacing w:after="0" w:line="360" w:lineRule="auto"/>
        <w:jc w:val="center"/>
        <w:rPr>
          <w:rFonts w:eastAsia="Times New Roman" w:cs="Times New Roman"/>
          <w:b/>
          <w:bCs/>
          <w:i/>
          <w:iCs/>
          <w:color w:val="000000"/>
          <w:szCs w:val="24"/>
        </w:rPr>
      </w:pPr>
      <w:r w:rsidRPr="003837E1">
        <w:rPr>
          <w:rFonts w:eastAsia="Times New Roman" w:cs="Times New Roman"/>
          <w:b/>
          <w:bCs/>
          <w:i/>
          <w:iCs/>
          <w:color w:val="000000"/>
          <w:szCs w:val="24"/>
        </w:rPr>
        <w:t xml:space="preserve"> (</w:t>
      </w:r>
      <w:proofErr w:type="spellStart"/>
      <w:r w:rsidRPr="003837E1">
        <w:rPr>
          <w:rFonts w:eastAsia="Times New Roman" w:cs="Times New Roman"/>
          <w:b/>
          <w:bCs/>
          <w:i/>
          <w:iCs/>
          <w:color w:val="000000"/>
          <w:szCs w:val="24"/>
        </w:rPr>
        <w:t>Assignment2</w:t>
      </w:r>
      <w:proofErr w:type="spellEnd"/>
      <w:r>
        <w:rPr>
          <w:rFonts w:eastAsia="Times New Roman" w:cs="Times New Roman"/>
          <w:b/>
          <w:bCs/>
          <w:i/>
          <w:iCs/>
          <w:color w:val="000000"/>
          <w:szCs w:val="24"/>
        </w:rPr>
        <w:t xml:space="preserve"> -</w:t>
      </w:r>
      <w:r w:rsidRPr="003837E1">
        <w:rPr>
          <w:rFonts w:eastAsia="Times New Roman" w:cs="Times New Roman"/>
          <w:b/>
          <w:bCs/>
          <w:i/>
          <w:iCs/>
          <w:color w:val="000000"/>
          <w:szCs w:val="24"/>
        </w:rPr>
        <w:t xml:space="preserve"> </w:t>
      </w:r>
      <w:proofErr w:type="spellStart"/>
      <w:r w:rsidRPr="003837E1">
        <w:rPr>
          <w:rFonts w:eastAsia="Times New Roman" w:cs="Times New Roman"/>
          <w:b/>
          <w:bCs/>
          <w:i/>
          <w:iCs/>
          <w:color w:val="000000"/>
          <w:szCs w:val="24"/>
        </w:rPr>
        <w:t>BMHP4014</w:t>
      </w:r>
      <w:proofErr w:type="spellEnd"/>
      <w:r w:rsidRPr="003837E1">
        <w:rPr>
          <w:rFonts w:eastAsia="Times New Roman" w:cs="Times New Roman"/>
          <w:b/>
          <w:bCs/>
          <w:i/>
          <w:iCs/>
          <w:color w:val="000000"/>
          <w:szCs w:val="24"/>
        </w:rPr>
        <w:t>)</w:t>
      </w:r>
    </w:p>
    <w:p w14:paraId="31CC12DC" w14:textId="77777777" w:rsidR="002E3DD7" w:rsidRDefault="002E3DD7">
      <w:pPr>
        <w:spacing w:line="259" w:lineRule="auto"/>
        <w:jc w:val="left"/>
        <w:rPr>
          <w:rFonts w:eastAsia="Times New Roman" w:cs="Times New Roman"/>
          <w:b/>
          <w:bCs/>
          <w:i/>
          <w:iCs/>
          <w:color w:val="000000"/>
          <w:szCs w:val="24"/>
        </w:rPr>
      </w:pPr>
      <w:r>
        <w:rPr>
          <w:rFonts w:eastAsia="Times New Roman" w:cs="Times New Roman"/>
          <w:b/>
          <w:bCs/>
          <w:i/>
          <w:iCs/>
          <w:color w:val="000000"/>
          <w:szCs w:val="24"/>
        </w:rPr>
        <w:br w:type="page"/>
      </w:r>
    </w:p>
    <w:sdt>
      <w:sdtPr>
        <w:rPr>
          <w:rFonts w:ascii="Times New Roman" w:eastAsiaTheme="minorEastAsia" w:hAnsi="Times New Roman" w:cstheme="minorBidi"/>
          <w:color w:val="auto"/>
          <w:sz w:val="24"/>
          <w:szCs w:val="22"/>
          <w:lang w:val="en-GB" w:eastAsia="en-IN"/>
        </w:rPr>
        <w:id w:val="1023515517"/>
        <w:docPartObj>
          <w:docPartGallery w:val="Table of Contents"/>
          <w:docPartUnique/>
        </w:docPartObj>
      </w:sdtPr>
      <w:sdtEndPr>
        <w:rPr>
          <w:b/>
          <w:bCs/>
          <w:noProof/>
        </w:rPr>
      </w:sdtEndPr>
      <w:sdtContent>
        <w:p w14:paraId="43137A54" w14:textId="11428D99" w:rsidR="002E3DD7" w:rsidRDefault="002E3DD7" w:rsidP="002E3DD7">
          <w:pPr>
            <w:pStyle w:val="TOCHeading"/>
            <w:jc w:val="center"/>
            <w:rPr>
              <w:rFonts w:ascii="Times New Roman" w:hAnsi="Times New Roman" w:cs="Times New Roman"/>
              <w:b/>
              <w:color w:val="auto"/>
              <w:sz w:val="24"/>
            </w:rPr>
          </w:pPr>
          <w:r w:rsidRPr="00AD0A4B">
            <w:rPr>
              <w:rFonts w:ascii="Times New Roman" w:hAnsi="Times New Roman" w:cs="Times New Roman"/>
              <w:b/>
              <w:color w:val="auto"/>
              <w:sz w:val="24"/>
            </w:rPr>
            <w:t>Table of Contents</w:t>
          </w:r>
          <w:r w:rsidR="003A6A00">
            <w:rPr>
              <w:rFonts w:ascii="Times New Roman" w:hAnsi="Times New Roman" w:cs="Times New Roman"/>
              <w:b/>
              <w:color w:val="auto"/>
              <w:sz w:val="24"/>
            </w:rPr>
            <w:t>:</w:t>
          </w:r>
        </w:p>
        <w:p w14:paraId="0F9690D8" w14:textId="77777777" w:rsidR="003A6A00" w:rsidRPr="003A6A00" w:rsidRDefault="003A6A00" w:rsidP="003A6A00">
          <w:pPr>
            <w:rPr>
              <w:lang w:val="en-US" w:eastAsia="en-US"/>
            </w:rPr>
          </w:pPr>
        </w:p>
        <w:p w14:paraId="28F262D1" w14:textId="0415BF66" w:rsidR="002E3DD7" w:rsidRPr="003A6A00" w:rsidRDefault="002E3DD7" w:rsidP="00AD0A4B">
          <w:pPr>
            <w:pStyle w:val="TOC1"/>
            <w:tabs>
              <w:tab w:val="right" w:leader="dot" w:pos="9016"/>
            </w:tabs>
            <w:spacing w:line="360" w:lineRule="auto"/>
            <w:rPr>
              <w:b/>
              <w:bCs/>
              <w:noProof/>
            </w:rPr>
          </w:pPr>
          <w:r w:rsidRPr="003A6A00">
            <w:rPr>
              <w:b/>
              <w:bCs/>
            </w:rPr>
            <w:fldChar w:fldCharType="begin"/>
          </w:r>
          <w:r w:rsidRPr="003A6A00">
            <w:rPr>
              <w:b/>
              <w:bCs/>
            </w:rPr>
            <w:instrText xml:space="preserve"> TOC \o "1-3" \h \z \u </w:instrText>
          </w:r>
          <w:r w:rsidRPr="003A6A00">
            <w:rPr>
              <w:b/>
              <w:bCs/>
            </w:rPr>
            <w:fldChar w:fldCharType="separate"/>
          </w:r>
          <w:hyperlink w:anchor="_Toc106897269" w:history="1">
            <w:r w:rsidRPr="003A6A00">
              <w:rPr>
                <w:rStyle w:val="Hyperlink"/>
                <w:rFonts w:eastAsia="Times New Roman"/>
                <w:b/>
                <w:bCs/>
                <w:noProof/>
                <w:color w:val="auto"/>
              </w:rPr>
              <w:t>Introduction</w:t>
            </w:r>
            <w:r w:rsidRPr="003A6A00">
              <w:rPr>
                <w:b/>
                <w:bCs/>
                <w:noProof/>
                <w:webHidden/>
              </w:rPr>
              <w:tab/>
            </w:r>
            <w:r w:rsidRPr="003A6A00">
              <w:rPr>
                <w:b/>
                <w:bCs/>
                <w:noProof/>
                <w:webHidden/>
              </w:rPr>
              <w:fldChar w:fldCharType="begin"/>
            </w:r>
            <w:r w:rsidRPr="003A6A00">
              <w:rPr>
                <w:b/>
                <w:bCs/>
                <w:noProof/>
                <w:webHidden/>
              </w:rPr>
              <w:instrText xml:space="preserve"> PAGEREF _Toc106897269 \h </w:instrText>
            </w:r>
            <w:r w:rsidRPr="003A6A00">
              <w:rPr>
                <w:b/>
                <w:bCs/>
                <w:noProof/>
                <w:webHidden/>
              </w:rPr>
            </w:r>
            <w:r w:rsidRPr="003A6A00">
              <w:rPr>
                <w:b/>
                <w:bCs/>
                <w:noProof/>
                <w:webHidden/>
              </w:rPr>
              <w:fldChar w:fldCharType="separate"/>
            </w:r>
            <w:r w:rsidRPr="003A6A00">
              <w:rPr>
                <w:b/>
                <w:bCs/>
                <w:noProof/>
                <w:webHidden/>
              </w:rPr>
              <w:t>3</w:t>
            </w:r>
            <w:r w:rsidRPr="003A6A00">
              <w:rPr>
                <w:b/>
                <w:bCs/>
                <w:noProof/>
                <w:webHidden/>
              </w:rPr>
              <w:fldChar w:fldCharType="end"/>
            </w:r>
          </w:hyperlink>
        </w:p>
        <w:p w14:paraId="75C5B9B3" w14:textId="2DCD3D51" w:rsidR="002E3DD7" w:rsidRPr="003A6A00" w:rsidRDefault="00341607" w:rsidP="00AD0A4B">
          <w:pPr>
            <w:pStyle w:val="TOC1"/>
            <w:tabs>
              <w:tab w:val="right" w:leader="dot" w:pos="9016"/>
            </w:tabs>
            <w:spacing w:line="360" w:lineRule="auto"/>
            <w:rPr>
              <w:b/>
              <w:bCs/>
              <w:noProof/>
            </w:rPr>
          </w:pPr>
          <w:hyperlink w:anchor="_Toc106897270" w:history="1">
            <w:r w:rsidR="002E3DD7" w:rsidRPr="003A6A00">
              <w:rPr>
                <w:rStyle w:val="Hyperlink"/>
                <w:rFonts w:eastAsia="Times New Roman"/>
                <w:b/>
                <w:bCs/>
                <w:noProof/>
                <w:color w:val="auto"/>
              </w:rPr>
              <w:t>Reflective Analysis using Johns Model of Reflection</w:t>
            </w:r>
            <w:r w:rsidR="002E3DD7" w:rsidRPr="003A6A00">
              <w:rPr>
                <w:b/>
                <w:bCs/>
                <w:noProof/>
                <w:webHidden/>
              </w:rPr>
              <w:tab/>
            </w:r>
            <w:r w:rsidR="002E3DD7" w:rsidRPr="003A6A00">
              <w:rPr>
                <w:b/>
                <w:bCs/>
                <w:noProof/>
                <w:webHidden/>
              </w:rPr>
              <w:fldChar w:fldCharType="begin"/>
            </w:r>
            <w:r w:rsidR="002E3DD7" w:rsidRPr="003A6A00">
              <w:rPr>
                <w:b/>
                <w:bCs/>
                <w:noProof/>
                <w:webHidden/>
              </w:rPr>
              <w:instrText xml:space="preserve"> PAGEREF _Toc106897270 \h </w:instrText>
            </w:r>
            <w:r w:rsidR="002E3DD7" w:rsidRPr="003A6A00">
              <w:rPr>
                <w:b/>
                <w:bCs/>
                <w:noProof/>
                <w:webHidden/>
              </w:rPr>
            </w:r>
            <w:r w:rsidR="002E3DD7" w:rsidRPr="003A6A00">
              <w:rPr>
                <w:b/>
                <w:bCs/>
                <w:noProof/>
                <w:webHidden/>
              </w:rPr>
              <w:fldChar w:fldCharType="separate"/>
            </w:r>
            <w:r w:rsidR="002E3DD7" w:rsidRPr="003A6A00">
              <w:rPr>
                <w:b/>
                <w:bCs/>
                <w:noProof/>
                <w:webHidden/>
              </w:rPr>
              <w:t>3</w:t>
            </w:r>
            <w:r w:rsidR="002E3DD7" w:rsidRPr="003A6A00">
              <w:rPr>
                <w:b/>
                <w:bCs/>
                <w:noProof/>
                <w:webHidden/>
              </w:rPr>
              <w:fldChar w:fldCharType="end"/>
            </w:r>
          </w:hyperlink>
        </w:p>
        <w:p w14:paraId="3D71F6B2" w14:textId="00AD397B" w:rsidR="002E3DD7" w:rsidRPr="003A6A00" w:rsidRDefault="00341607" w:rsidP="00AD0A4B">
          <w:pPr>
            <w:pStyle w:val="TOC1"/>
            <w:tabs>
              <w:tab w:val="right" w:leader="dot" w:pos="9016"/>
            </w:tabs>
            <w:spacing w:line="360" w:lineRule="auto"/>
            <w:rPr>
              <w:b/>
              <w:bCs/>
              <w:noProof/>
            </w:rPr>
          </w:pPr>
          <w:hyperlink w:anchor="_Toc106897271" w:history="1">
            <w:r w:rsidR="002E3DD7" w:rsidRPr="003A6A00">
              <w:rPr>
                <w:rStyle w:val="Hyperlink"/>
                <w:rFonts w:eastAsia="Times New Roman"/>
                <w:b/>
                <w:bCs/>
                <w:noProof/>
                <w:color w:val="auto"/>
              </w:rPr>
              <w:t>Conclusion</w:t>
            </w:r>
            <w:r w:rsidR="002E3DD7" w:rsidRPr="003A6A00">
              <w:rPr>
                <w:b/>
                <w:bCs/>
                <w:noProof/>
                <w:webHidden/>
              </w:rPr>
              <w:tab/>
            </w:r>
            <w:r w:rsidR="002E3DD7" w:rsidRPr="003A6A00">
              <w:rPr>
                <w:b/>
                <w:bCs/>
                <w:noProof/>
                <w:webHidden/>
              </w:rPr>
              <w:fldChar w:fldCharType="begin"/>
            </w:r>
            <w:r w:rsidR="002E3DD7" w:rsidRPr="003A6A00">
              <w:rPr>
                <w:b/>
                <w:bCs/>
                <w:noProof/>
                <w:webHidden/>
              </w:rPr>
              <w:instrText xml:space="preserve"> PAGEREF _Toc106897271 \h </w:instrText>
            </w:r>
            <w:r w:rsidR="002E3DD7" w:rsidRPr="003A6A00">
              <w:rPr>
                <w:b/>
                <w:bCs/>
                <w:noProof/>
                <w:webHidden/>
              </w:rPr>
            </w:r>
            <w:r w:rsidR="002E3DD7" w:rsidRPr="003A6A00">
              <w:rPr>
                <w:b/>
                <w:bCs/>
                <w:noProof/>
                <w:webHidden/>
              </w:rPr>
              <w:fldChar w:fldCharType="separate"/>
            </w:r>
            <w:r w:rsidR="002E3DD7" w:rsidRPr="003A6A00">
              <w:rPr>
                <w:b/>
                <w:bCs/>
                <w:noProof/>
                <w:webHidden/>
              </w:rPr>
              <w:t>6</w:t>
            </w:r>
            <w:r w:rsidR="002E3DD7" w:rsidRPr="003A6A00">
              <w:rPr>
                <w:b/>
                <w:bCs/>
                <w:noProof/>
                <w:webHidden/>
              </w:rPr>
              <w:fldChar w:fldCharType="end"/>
            </w:r>
          </w:hyperlink>
        </w:p>
        <w:p w14:paraId="5811EF71" w14:textId="5AD5CFFE" w:rsidR="002E3DD7" w:rsidRPr="003A6A00" w:rsidRDefault="00341607" w:rsidP="00AD0A4B">
          <w:pPr>
            <w:pStyle w:val="TOC1"/>
            <w:tabs>
              <w:tab w:val="right" w:leader="dot" w:pos="9016"/>
            </w:tabs>
            <w:spacing w:line="360" w:lineRule="auto"/>
            <w:rPr>
              <w:b/>
              <w:bCs/>
              <w:noProof/>
            </w:rPr>
          </w:pPr>
          <w:hyperlink w:anchor="_Toc106897272" w:history="1">
            <w:r w:rsidR="002E3DD7" w:rsidRPr="003A6A00">
              <w:rPr>
                <w:rStyle w:val="Hyperlink"/>
                <w:rFonts w:eastAsia="Times New Roman"/>
                <w:b/>
                <w:bCs/>
                <w:noProof/>
                <w:color w:val="auto"/>
              </w:rPr>
              <w:t>References</w:t>
            </w:r>
            <w:r w:rsidR="002E3DD7" w:rsidRPr="003A6A00">
              <w:rPr>
                <w:b/>
                <w:bCs/>
                <w:noProof/>
                <w:webHidden/>
              </w:rPr>
              <w:tab/>
            </w:r>
            <w:r w:rsidR="002E3DD7" w:rsidRPr="003A6A00">
              <w:rPr>
                <w:b/>
                <w:bCs/>
                <w:noProof/>
                <w:webHidden/>
              </w:rPr>
              <w:fldChar w:fldCharType="begin"/>
            </w:r>
            <w:r w:rsidR="002E3DD7" w:rsidRPr="003A6A00">
              <w:rPr>
                <w:b/>
                <w:bCs/>
                <w:noProof/>
                <w:webHidden/>
              </w:rPr>
              <w:instrText xml:space="preserve"> PAGEREF _Toc106897272 \h </w:instrText>
            </w:r>
            <w:r w:rsidR="002E3DD7" w:rsidRPr="003A6A00">
              <w:rPr>
                <w:b/>
                <w:bCs/>
                <w:noProof/>
                <w:webHidden/>
              </w:rPr>
            </w:r>
            <w:r w:rsidR="002E3DD7" w:rsidRPr="003A6A00">
              <w:rPr>
                <w:b/>
                <w:bCs/>
                <w:noProof/>
                <w:webHidden/>
              </w:rPr>
              <w:fldChar w:fldCharType="separate"/>
            </w:r>
            <w:r w:rsidR="002E3DD7" w:rsidRPr="003A6A00">
              <w:rPr>
                <w:b/>
                <w:bCs/>
                <w:noProof/>
                <w:webHidden/>
              </w:rPr>
              <w:t>8</w:t>
            </w:r>
            <w:r w:rsidR="002E3DD7" w:rsidRPr="003A6A00">
              <w:rPr>
                <w:b/>
                <w:bCs/>
                <w:noProof/>
                <w:webHidden/>
              </w:rPr>
              <w:fldChar w:fldCharType="end"/>
            </w:r>
          </w:hyperlink>
        </w:p>
        <w:p w14:paraId="5D48BC6F" w14:textId="57991BD6" w:rsidR="002E3DD7" w:rsidRPr="003A6A00" w:rsidRDefault="002E3DD7" w:rsidP="00AD0A4B">
          <w:pPr>
            <w:spacing w:line="360" w:lineRule="auto"/>
            <w:rPr>
              <w:b/>
              <w:bCs/>
            </w:rPr>
          </w:pPr>
          <w:r w:rsidRPr="003A6A00">
            <w:rPr>
              <w:b/>
              <w:bCs/>
              <w:noProof/>
            </w:rPr>
            <w:fldChar w:fldCharType="end"/>
          </w:r>
        </w:p>
      </w:sdtContent>
    </w:sdt>
    <w:p w14:paraId="228BD7B6" w14:textId="77777777" w:rsidR="002E3DD7" w:rsidRPr="002E3DD7" w:rsidRDefault="002E3DD7" w:rsidP="002E3DD7">
      <w:pPr>
        <w:spacing w:after="0" w:line="360" w:lineRule="auto"/>
        <w:jc w:val="center"/>
        <w:rPr>
          <w:rFonts w:eastAsia="Times New Roman" w:cs="Times New Roman"/>
          <w:szCs w:val="24"/>
        </w:rPr>
      </w:pPr>
    </w:p>
    <w:p w14:paraId="28A25D9D" w14:textId="77777777" w:rsidR="002E3DD7" w:rsidRPr="002E3DD7" w:rsidRDefault="002E3DD7" w:rsidP="002E3DD7">
      <w:pPr>
        <w:spacing w:line="360" w:lineRule="auto"/>
        <w:jc w:val="left"/>
        <w:rPr>
          <w:rFonts w:eastAsia="Times New Roman" w:cstheme="majorBidi"/>
          <w:b/>
          <w:szCs w:val="32"/>
        </w:rPr>
      </w:pPr>
      <w:r w:rsidRPr="002E3DD7">
        <w:rPr>
          <w:rFonts w:eastAsia="Times New Roman"/>
        </w:rPr>
        <w:br w:type="page"/>
      </w:r>
    </w:p>
    <w:p w14:paraId="1E2BC2B6" w14:textId="286793EB" w:rsidR="002E3DD7" w:rsidRPr="002E3DD7" w:rsidRDefault="002E3DD7" w:rsidP="002E3DD7">
      <w:pPr>
        <w:pStyle w:val="Heading1"/>
        <w:spacing w:line="360" w:lineRule="auto"/>
        <w:rPr>
          <w:rFonts w:eastAsia="Times New Roman"/>
        </w:rPr>
      </w:pPr>
      <w:bookmarkStart w:id="0" w:name="_Toc106897269"/>
      <w:r w:rsidRPr="002E3DD7">
        <w:rPr>
          <w:rFonts w:eastAsia="Times New Roman"/>
        </w:rPr>
        <w:t>Introduction</w:t>
      </w:r>
      <w:bookmarkEnd w:id="0"/>
    </w:p>
    <w:p w14:paraId="0FD979AA" w14:textId="77777777" w:rsidR="002E3DD7" w:rsidRPr="002E3DD7" w:rsidRDefault="002E3DD7" w:rsidP="002E3DD7">
      <w:pPr>
        <w:spacing w:line="360" w:lineRule="auto"/>
        <w:rPr>
          <w:rFonts w:eastAsia="Times New Roman"/>
        </w:rPr>
      </w:pPr>
      <w:r w:rsidRPr="002E3DD7">
        <w:rPr>
          <w:rFonts w:eastAsia="Times New Roman"/>
        </w:rPr>
        <w:t xml:space="preserve">This </w:t>
      </w:r>
      <w:proofErr w:type="gramStart"/>
      <w:r w:rsidRPr="002E3DD7">
        <w:rPr>
          <w:rFonts w:eastAsia="Times New Roman"/>
        </w:rPr>
        <w:t>is a reflection of</w:t>
      </w:r>
      <w:proofErr w:type="gramEnd"/>
      <w:r w:rsidRPr="002E3DD7">
        <w:rPr>
          <w:rFonts w:eastAsia="Times New Roman"/>
        </w:rPr>
        <w:t xml:space="preserve"> the presentation developed on the issue of discharge care faced by patients in the United Kingdom. As postulated by </w:t>
      </w:r>
      <w:proofErr w:type="spellStart"/>
      <w:r w:rsidRPr="002E3DD7">
        <w:rPr>
          <w:rFonts w:eastAsia="Times New Roman"/>
        </w:rPr>
        <w:t>Ardelt</w:t>
      </w:r>
      <w:proofErr w:type="spellEnd"/>
      <w:r w:rsidRPr="002E3DD7">
        <w:rPr>
          <w:rFonts w:eastAsia="Times New Roman"/>
        </w:rPr>
        <w:t xml:space="preserve"> and Grunwald, (2018, p. 197), reflective analysis of one's own work allows individuals to understand the skills they have utilised and developed during the process. Moreover, reflection on the performed task also enables people to interpret the information with greater clarity. This reflective paper includes my experience of the task that describes the key activities performed to create the presentation on the issues; a reflection on the topic and relevant factors, and the identification of learning that I have gained through the work.</w:t>
      </w:r>
    </w:p>
    <w:p w14:paraId="251D356B" w14:textId="77777777" w:rsidR="002E3DD7" w:rsidRPr="002E3DD7" w:rsidRDefault="002E3DD7" w:rsidP="002E3DD7">
      <w:pPr>
        <w:pStyle w:val="Heading1"/>
        <w:spacing w:line="360" w:lineRule="auto"/>
        <w:rPr>
          <w:rFonts w:eastAsia="Times New Roman"/>
        </w:rPr>
      </w:pPr>
      <w:bookmarkStart w:id="1" w:name="_Toc106897270"/>
      <w:r w:rsidRPr="002E3DD7">
        <w:rPr>
          <w:rFonts w:eastAsia="Times New Roman"/>
        </w:rPr>
        <w:t>Reflective Analysis using Johns Model of Reflection</w:t>
      </w:r>
      <w:bookmarkEnd w:id="1"/>
    </w:p>
    <w:p w14:paraId="6C97085C"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b/>
          <w:bCs/>
          <w:noProof/>
          <w:color w:val="000000"/>
          <w:szCs w:val="24"/>
          <w:bdr w:val="none" w:sz="0" w:space="0" w:color="auto" w:frame="1"/>
          <w:lang w:val="en-IN"/>
        </w:rPr>
        <w:drawing>
          <wp:inline distT="0" distB="0" distL="0" distR="0" wp14:anchorId="606B708F" wp14:editId="14CA1A1C">
            <wp:extent cx="397002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70020" cy="2971800"/>
                    </a:xfrm>
                    <a:prstGeom prst="rect">
                      <a:avLst/>
                    </a:prstGeom>
                    <a:noFill/>
                    <a:ln>
                      <a:noFill/>
                    </a:ln>
                  </pic:spPr>
                </pic:pic>
              </a:graphicData>
            </a:graphic>
          </wp:inline>
        </w:drawing>
      </w:r>
    </w:p>
    <w:p w14:paraId="79289DFD"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b/>
          <w:bCs/>
          <w:color w:val="000000"/>
          <w:szCs w:val="24"/>
        </w:rPr>
        <w:t>Figure 1: Johns Model of Reflection</w:t>
      </w:r>
    </w:p>
    <w:p w14:paraId="2641FAC2"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color w:val="000000"/>
          <w:szCs w:val="24"/>
        </w:rPr>
        <w:t>Source: (</w:t>
      </w:r>
      <w:proofErr w:type="spellStart"/>
      <w:r w:rsidRPr="002E3DD7">
        <w:rPr>
          <w:rFonts w:eastAsia="Times New Roman" w:cs="Times New Roman"/>
          <w:color w:val="000000"/>
          <w:szCs w:val="24"/>
        </w:rPr>
        <w:t>www.toolshero.com</w:t>
      </w:r>
      <w:proofErr w:type="spellEnd"/>
      <w:r w:rsidRPr="002E3DD7">
        <w:rPr>
          <w:rFonts w:eastAsia="Times New Roman" w:cs="Times New Roman"/>
          <w:color w:val="000000"/>
          <w:szCs w:val="24"/>
        </w:rPr>
        <w:t>, 2022)</w:t>
      </w:r>
    </w:p>
    <w:p w14:paraId="4C3DA417" w14:textId="5C6F28FE" w:rsidR="002E3DD7" w:rsidRPr="002E3DD7" w:rsidRDefault="002E3DD7" w:rsidP="002E3DD7">
      <w:pPr>
        <w:spacing w:line="360" w:lineRule="auto"/>
        <w:rPr>
          <w:rFonts w:eastAsia="Times New Roman"/>
        </w:rPr>
      </w:pPr>
      <w:r w:rsidRPr="002E3DD7">
        <w:rPr>
          <w:rFonts w:eastAsia="Times New Roman"/>
        </w:rPr>
        <w:t xml:space="preserve">The reflection on the presentation is offered through the application of </w:t>
      </w:r>
      <w:proofErr w:type="spellStart"/>
      <w:r w:rsidRPr="002E3DD7">
        <w:rPr>
          <w:rFonts w:eastAsia="Times New Roman"/>
        </w:rPr>
        <w:t>Johns's</w:t>
      </w:r>
      <w:proofErr w:type="spellEnd"/>
      <w:r w:rsidRPr="002E3DD7">
        <w:rPr>
          <w:rFonts w:eastAsia="Times New Roman"/>
        </w:rPr>
        <w:t xml:space="preserve"> Model of Reflection. This model was developed originally for facilitating nursing practices at the Nursing Development Unit of Burford. However, the reflection model gained popularity in other sectors due to its well-structured reflective process. This model consists of five continuous stages including a description of the </w:t>
      </w:r>
      <w:proofErr w:type="gramStart"/>
      <w:r w:rsidRPr="002E3DD7">
        <w:rPr>
          <w:rFonts w:eastAsia="Times New Roman"/>
        </w:rPr>
        <w:t>particular experience</w:t>
      </w:r>
      <w:proofErr w:type="gramEnd"/>
      <w:r w:rsidRPr="002E3DD7">
        <w:rPr>
          <w:rFonts w:eastAsia="Times New Roman"/>
        </w:rPr>
        <w:t xml:space="preserve">, reflection, factors influencing the situation, identifying areas that can be improved, and learning (Bass </w:t>
      </w:r>
      <w:r w:rsidRPr="002E3DD7">
        <w:rPr>
          <w:rFonts w:eastAsia="Times New Roman"/>
          <w:i/>
          <w:iCs/>
        </w:rPr>
        <w:t>et al</w:t>
      </w:r>
      <w:r w:rsidRPr="002E3DD7">
        <w:rPr>
          <w:rFonts w:eastAsia="Times New Roman"/>
        </w:rPr>
        <w:t>., 2020, p. 387). In this model, multiple questions have been suggested for the reflective practitioner based on which the reflective process should be carried out. These questions are categorised into aesthetic questions, personal questions, ethical questions, contextual questions, and reflective questions.</w:t>
      </w:r>
    </w:p>
    <w:p w14:paraId="73CCE85C"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Description of the experience</w:t>
      </w:r>
    </w:p>
    <w:p w14:paraId="367E944A" w14:textId="26E16C3D" w:rsidR="002E3DD7" w:rsidRPr="00AD0A4B" w:rsidRDefault="002E3DD7" w:rsidP="00AD0A4B">
      <w:pPr>
        <w:spacing w:line="360" w:lineRule="auto"/>
        <w:rPr>
          <w:rFonts w:eastAsia="Times New Roman"/>
        </w:rPr>
      </w:pPr>
      <w:r w:rsidRPr="002E3DD7">
        <w:rPr>
          <w:rFonts w:eastAsia="Times New Roman"/>
        </w:rPr>
        <w:t xml:space="preserve">The presentation task involves an exploration of the issue that patients have been experiencing while getting discharged from the hospital. I have investigated the issue by reviewing different scholarly articles and journals discussing relevant topics. The system of health and social care is vital to an economy as it helps the public stay safe and healthy which also contributes to the overall development of the society. In the UK, the key health and social care infrastructure is governed by the National Health Services. Prior to this module, I have insufficient knowledge regarding the issue in the process of discharging patients. Throughout the task, I have developed learning in relation to the procedures of discharging and the best practices. In my opinion, current healthcare systems have a significant gap in the understanding of the right manners to discharge patients and the coordination between the assessment and discharge. The study has been crucial in the context of modern health and social care problems, as the rising global population has been increasing the pressure on hospitals. Especially the ageing population of the UK has been driving the increased admission to hospitals due to rising health issues across the country (Abdi </w:t>
      </w:r>
      <w:r w:rsidRPr="002E3DD7">
        <w:rPr>
          <w:rFonts w:eastAsia="Times New Roman"/>
          <w:i/>
          <w:iCs/>
        </w:rPr>
        <w:t>et al</w:t>
      </w:r>
      <w:r w:rsidRPr="002E3DD7">
        <w:rPr>
          <w:rFonts w:eastAsia="Times New Roman"/>
        </w:rPr>
        <w:t>., 2019, p. 14). Therefore, hospitals must understand the appropriate processes of admitting, treating, and discharging. I perceive the assessment to be useful for readers to understand the roles and responsibilities involved in the procedures of discharging a patient.</w:t>
      </w:r>
    </w:p>
    <w:p w14:paraId="310BB28D"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Reflection</w:t>
      </w:r>
    </w:p>
    <w:p w14:paraId="28CD92A2" w14:textId="3C894E68" w:rsidR="002E3DD7" w:rsidRPr="002E3DD7" w:rsidRDefault="002E3DD7" w:rsidP="002E3DD7">
      <w:pPr>
        <w:spacing w:line="360" w:lineRule="auto"/>
        <w:rPr>
          <w:rFonts w:eastAsia="Times New Roman"/>
        </w:rPr>
      </w:pPr>
      <w:r w:rsidRPr="002E3DD7">
        <w:rPr>
          <w:rFonts w:eastAsia="Times New Roman"/>
        </w:rPr>
        <w:t xml:space="preserve">Through the assessment of the presentation, I have aimed to highlight the prevalent issues in the UK’s healthcare system, especially in the process of releasing patients from one organisation. I have used data and graphs to provide evidence about the impacts of neglectful discharging of patients. I have identified the wide-ranging implications of delayed discharge. The impacts have been described from the perspectives of both the health and social care setting as well as the users of the care services. It has been found that organisations providing care services face considerable challenges in case of discharge issues. Patients staying for a longer period awaiting discharge use hospital resources increasing the expense of the organisations (Rabin and Savoy, 2021, p. 147). I have identified “bed blocking” as a prominent problem resulting from delays in the release of patients as many of the beds in the hospitals remain unnecessarily occupied. In such </w:t>
      </w:r>
      <w:r w:rsidR="00AD0A4B" w:rsidRPr="002E3DD7">
        <w:rPr>
          <w:rFonts w:eastAsia="Times New Roman"/>
        </w:rPr>
        <w:t>a</w:t>
      </w:r>
      <w:r w:rsidRPr="002E3DD7">
        <w:rPr>
          <w:rFonts w:eastAsia="Times New Roman"/>
        </w:rPr>
        <w:t xml:space="preserve"> situation, the hospitals are unable to provide beds for patients who are on the waiting list for treatments. Hence, postponement in discharge increases costs for the organisation along with reducing efficiency. I have also given the example of the NHS and the financial implications of discharge delay for the healthcare system. The previous Care Act 2014 has also been recognised as a major contributor to the delay in assessment and discharge.</w:t>
      </w:r>
    </w:p>
    <w:p w14:paraId="717F084C" w14:textId="77777777" w:rsidR="002E3DD7" w:rsidRPr="002E3DD7" w:rsidRDefault="002E3DD7" w:rsidP="002E3DD7">
      <w:pPr>
        <w:spacing w:line="360" w:lineRule="auto"/>
        <w:rPr>
          <w:rFonts w:eastAsia="Times New Roman"/>
        </w:rPr>
      </w:pPr>
      <w:r w:rsidRPr="002E3DD7">
        <w:rPr>
          <w:rFonts w:eastAsia="Times New Roman"/>
        </w:rPr>
        <w:t xml:space="preserve">Furthermore, I have also highlighted the effects of issues discharging creates over the service users. It has been postulated by me that there is a serious risk of infection for patients awaiting discharge as the hospitals accommodate patients with diverse illnesses. It has been found that there is a concerning number of patients across the UK who have been found to have died while waiting for discharge. The long delay in the procedure of discharge creates boredom among patients which leads to the development of further psychological illnesses like isolation, anxiety, or depression (Al-Rabi </w:t>
      </w:r>
      <w:r w:rsidRPr="002E3DD7">
        <w:rPr>
          <w:rFonts w:eastAsia="Times New Roman"/>
          <w:i/>
          <w:iCs/>
        </w:rPr>
        <w:t>et al</w:t>
      </w:r>
      <w:r w:rsidRPr="002E3DD7">
        <w:rPr>
          <w:rFonts w:eastAsia="Times New Roman"/>
        </w:rPr>
        <w:t>., 2019, p. 236). Besides delayed discharge, it has also been found that organisations often release patients who have yet to complete their treatment leading to death or repetitive visit to hospitals. Such occurrences reduce people’s trust in the effectiveness of the healthcare infrastructure.</w:t>
      </w:r>
    </w:p>
    <w:p w14:paraId="316E3556"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Influencing factors</w:t>
      </w:r>
    </w:p>
    <w:p w14:paraId="6C00E31B" w14:textId="77777777" w:rsidR="002E3DD7" w:rsidRPr="002E3DD7" w:rsidRDefault="002E3DD7" w:rsidP="002E3DD7">
      <w:pPr>
        <w:spacing w:line="360" w:lineRule="auto"/>
        <w:rPr>
          <w:rFonts w:eastAsia="Times New Roman"/>
        </w:rPr>
      </w:pPr>
      <w:r w:rsidRPr="002E3DD7">
        <w:rPr>
          <w:rFonts w:eastAsia="Times New Roman"/>
        </w:rPr>
        <w:t>Conducing this study has been crucial as I have found the subject to be an important concern for modern health and social care organisations.  The healthcare system in the United Kingdom requires agility and efficiency, especially after the pandemic situation as the infrastructure has been identified to have prominent gaps in terms of flexibility and provision of care services at an enormous scale. Moreover, the significant constraints on beds and resources have also been found in the setting of health and social care (</w:t>
      </w:r>
      <w:proofErr w:type="spellStart"/>
      <w:r w:rsidRPr="002E3DD7">
        <w:rPr>
          <w:rFonts w:eastAsia="Times New Roman"/>
        </w:rPr>
        <w:t>Landeiro</w:t>
      </w:r>
      <w:proofErr w:type="spellEnd"/>
      <w:r w:rsidRPr="002E3DD7">
        <w:rPr>
          <w:rFonts w:eastAsia="Times New Roman"/>
        </w:rPr>
        <w:t xml:space="preserve"> </w:t>
      </w:r>
      <w:r w:rsidRPr="002E3DD7">
        <w:rPr>
          <w:rFonts w:eastAsia="Times New Roman"/>
          <w:i/>
          <w:iCs/>
        </w:rPr>
        <w:t>et al</w:t>
      </w:r>
      <w:r w:rsidRPr="002E3DD7">
        <w:rPr>
          <w:rFonts w:eastAsia="Times New Roman"/>
        </w:rPr>
        <w:t xml:space="preserve">., 2019, p. 87). Hence, the costs and bed blocking are major concerns as they curb the organisational efficiency of hospitals. According to the opinion of Stockwell‐Smith </w:t>
      </w:r>
      <w:r w:rsidRPr="002E3DD7">
        <w:rPr>
          <w:rFonts w:eastAsia="Times New Roman"/>
          <w:i/>
          <w:iCs/>
        </w:rPr>
        <w:t>et al</w:t>
      </w:r>
      <w:r w:rsidRPr="002E3DD7">
        <w:rPr>
          <w:rFonts w:eastAsia="Times New Roman"/>
        </w:rPr>
        <w:t>., (2018, p. 717), poor discharge planning model and practice is a key reason that patients witness problems in terms of discharge. I have found several reasons that contribute to the challenges of discharging patients such as negligence of caregivers, poor assessment practices, a lack of sufficient communication between the patients and the nurses as well as between the departments in the setup. I have also noticed that many organisations fail to provide the discharge notice and interact with the family of patients about the release alongside overlooking the specific needs of the patient. All these factors collectively add to the barriers in the process of discharging that affect patients’ experience.</w:t>
      </w:r>
    </w:p>
    <w:p w14:paraId="79156BDB"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Could the task be dealt with better?</w:t>
      </w:r>
    </w:p>
    <w:p w14:paraId="45D7A3E0" w14:textId="77777777" w:rsidR="002E3DD7" w:rsidRPr="002E3DD7" w:rsidRDefault="002E3DD7" w:rsidP="002E3DD7">
      <w:pPr>
        <w:spacing w:line="360" w:lineRule="auto"/>
        <w:rPr>
          <w:rFonts w:eastAsia="Times New Roman"/>
        </w:rPr>
      </w:pPr>
      <w:r w:rsidRPr="002E3DD7">
        <w:rPr>
          <w:rFonts w:eastAsia="Times New Roman"/>
        </w:rPr>
        <w:t>In my opinion, the care for patients at the time of discharge can be improved by healthcare institutions through effective implementation of the best practice. Foremost, healthcare systems must follow the legislation underpinning the discharge process such as Care Act 2014 and National Health Service Act 2006 that governs the NHS. The Health and Care Bill introduced by the UK government has addressed the inefficiency of the assessment and discharge processes of the Care Act 2014 to increase organisational flexibility (</w:t>
      </w:r>
      <w:proofErr w:type="spellStart"/>
      <w:r w:rsidRPr="002E3DD7">
        <w:rPr>
          <w:rFonts w:eastAsia="Times New Roman"/>
        </w:rPr>
        <w:t>Legislation.gov.uk</w:t>
      </w:r>
      <w:proofErr w:type="spellEnd"/>
      <w:r w:rsidRPr="002E3DD7">
        <w:rPr>
          <w:rFonts w:eastAsia="Times New Roman"/>
        </w:rPr>
        <w:t xml:space="preserve">, 2022). Besides legislation, I believe that the care providers also need to establish an adequate alignment of services and roles to ensure each process is carried out with maximum efficiency. As opined by </w:t>
      </w:r>
      <w:proofErr w:type="spellStart"/>
      <w:r w:rsidRPr="002E3DD7">
        <w:rPr>
          <w:rFonts w:eastAsia="Times New Roman"/>
        </w:rPr>
        <w:t>Destino</w:t>
      </w:r>
      <w:proofErr w:type="spellEnd"/>
      <w:r w:rsidRPr="002E3DD7">
        <w:rPr>
          <w:rFonts w:eastAsia="Times New Roman"/>
        </w:rPr>
        <w:t xml:space="preserve"> </w:t>
      </w:r>
      <w:r w:rsidRPr="002E3DD7">
        <w:rPr>
          <w:rFonts w:eastAsia="Times New Roman"/>
          <w:i/>
          <w:iCs/>
        </w:rPr>
        <w:t>et al</w:t>
      </w:r>
      <w:r w:rsidRPr="002E3DD7">
        <w:rPr>
          <w:rFonts w:eastAsia="Times New Roman"/>
        </w:rPr>
        <w:t>., (2019, p. 25), communication enhances the flow of information throughout the care setting which improves all the procedures including discharge. As per my perception, social and healthcare providers need to create a strategic management plan for discharging patients to formulate a standard yet flexible structure. Additionally, regular review and rectification of discharge plans for every patient should be done from an early stage of care.</w:t>
      </w:r>
    </w:p>
    <w:p w14:paraId="7CB690D4"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Learning</w:t>
      </w:r>
    </w:p>
    <w:p w14:paraId="02DF07A9" w14:textId="796588B9" w:rsidR="002E3DD7" w:rsidRPr="002E3DD7" w:rsidRDefault="002E3DD7" w:rsidP="002E3DD7">
      <w:pPr>
        <w:spacing w:line="360" w:lineRule="auto"/>
        <w:rPr>
          <w:rFonts w:eastAsia="Times New Roman"/>
        </w:rPr>
      </w:pPr>
      <w:r w:rsidRPr="002E3DD7">
        <w:rPr>
          <w:rFonts w:eastAsia="Times New Roman"/>
        </w:rPr>
        <w:t xml:space="preserve">The presentation </w:t>
      </w:r>
      <w:proofErr w:type="spellStart"/>
      <w:r w:rsidRPr="002E3DD7">
        <w:rPr>
          <w:rFonts w:eastAsia="Times New Roman"/>
        </w:rPr>
        <w:t>jas</w:t>
      </w:r>
      <w:proofErr w:type="spellEnd"/>
      <w:r w:rsidRPr="002E3DD7">
        <w:rPr>
          <w:rFonts w:eastAsia="Times New Roman"/>
        </w:rPr>
        <w:t xml:space="preserve"> been a great learning lesson for me as I have acquired information related to care processes and relevant issues in the setting of healthcare. According to my belief, this study can help readers the underlying reasons behind the complications in the discharge process that damages the experience and trust of patients. </w:t>
      </w:r>
      <w:r w:rsidR="00AD0A4B">
        <w:rPr>
          <w:rFonts w:eastAsia="Times New Roman"/>
        </w:rPr>
        <w:t xml:space="preserve">As cited by </w:t>
      </w:r>
      <w:r w:rsidR="00AD0A4B" w:rsidRPr="002E3DD7">
        <w:rPr>
          <w:rFonts w:eastAsia="Times New Roman"/>
        </w:rPr>
        <w:t xml:space="preserve">Bai </w:t>
      </w:r>
      <w:r w:rsidR="00AD0A4B" w:rsidRPr="002E3DD7">
        <w:rPr>
          <w:rFonts w:eastAsia="Times New Roman"/>
          <w:i/>
          <w:iCs/>
        </w:rPr>
        <w:t>et al</w:t>
      </w:r>
      <w:r w:rsidR="00AD0A4B">
        <w:rPr>
          <w:rFonts w:eastAsia="Times New Roman"/>
        </w:rPr>
        <w:t>., (2019, p. 7), t</w:t>
      </w:r>
      <w:r w:rsidRPr="002E3DD7">
        <w:rPr>
          <w:rFonts w:eastAsia="Times New Roman"/>
        </w:rPr>
        <w:t>he implications of the negligence and mistakes in the procedures of patients’ releas</w:t>
      </w:r>
      <w:r w:rsidR="00AD0A4B">
        <w:rPr>
          <w:rFonts w:eastAsia="Times New Roman"/>
        </w:rPr>
        <w:t xml:space="preserve">e can be fatal and long-lasting. </w:t>
      </w:r>
      <w:r w:rsidRPr="002E3DD7">
        <w:rPr>
          <w:rFonts w:eastAsia="Times New Roman"/>
        </w:rPr>
        <w:t>Therefore, organisations must focus on following the regulations provided by the legislative authority of the country. This study has provided me with exclusive knowledge of the ways in which discharging procedures in a healthcare setting can be ameliorated with proper practices and the incorporation of tools. I have understood that healthcare organisations require a good management system with the proper plan of release for patients to avoid any delay or early discharge. Tools like electronic machines and recording can be utilised to increase automation and curtail process errors within the setting.</w:t>
      </w:r>
    </w:p>
    <w:p w14:paraId="41358E93" w14:textId="77777777" w:rsidR="002E3DD7" w:rsidRPr="002E3DD7" w:rsidRDefault="002E3DD7" w:rsidP="002E3DD7">
      <w:pPr>
        <w:pStyle w:val="Heading1"/>
        <w:spacing w:line="360" w:lineRule="auto"/>
        <w:rPr>
          <w:rFonts w:eastAsia="Times New Roman"/>
        </w:rPr>
      </w:pPr>
      <w:bookmarkStart w:id="2" w:name="_Toc106897271"/>
      <w:r w:rsidRPr="002E3DD7">
        <w:rPr>
          <w:rFonts w:eastAsia="Times New Roman"/>
        </w:rPr>
        <w:t>Conclusion</w:t>
      </w:r>
      <w:bookmarkEnd w:id="2"/>
    </w:p>
    <w:p w14:paraId="3EAB6F60" w14:textId="77777777" w:rsidR="002E3DD7" w:rsidRPr="002E3DD7" w:rsidRDefault="002E3DD7" w:rsidP="002E3DD7">
      <w:pPr>
        <w:spacing w:line="360" w:lineRule="auto"/>
        <w:rPr>
          <w:rFonts w:eastAsia="Times New Roman"/>
        </w:rPr>
      </w:pPr>
      <w:r w:rsidRPr="002E3DD7">
        <w:rPr>
          <w:rFonts w:eastAsia="Times New Roman"/>
        </w:rPr>
        <w:t xml:space="preserve">To conclude, this reflective paper depicts my experience and learning from the former assessment tasks involving a presentation. I have used the reflection model proposed by Christopher Johns which is comprised of five crucial steps for reflective learning. I have described the experience I have formed in relation to the </w:t>
      </w:r>
      <w:proofErr w:type="gramStart"/>
      <w:r w:rsidRPr="002E3DD7">
        <w:rPr>
          <w:rFonts w:eastAsia="Times New Roman"/>
        </w:rPr>
        <w:t>particular task</w:t>
      </w:r>
      <w:proofErr w:type="gramEnd"/>
      <w:r w:rsidRPr="002E3DD7">
        <w:rPr>
          <w:rFonts w:eastAsia="Times New Roman"/>
        </w:rPr>
        <w:t>. I have also offered a reflection on the key points of the subject highlighting the implications of the issues of patient discharging in hospitals. Thereafter I have evaluated the measures for improving the practices so that a safer discharging process can be obtained by health and social care systems. Finally, I have elaborated on the learning I have accumulated from the task.</w:t>
      </w:r>
    </w:p>
    <w:p w14:paraId="537F30B1" w14:textId="77777777" w:rsidR="002E3DD7" w:rsidRPr="002E3DD7" w:rsidRDefault="002E3DD7" w:rsidP="002E3DD7">
      <w:pPr>
        <w:spacing w:line="360" w:lineRule="auto"/>
        <w:jc w:val="left"/>
        <w:rPr>
          <w:rFonts w:eastAsia="Times New Roman" w:cstheme="majorBidi"/>
          <w:b/>
          <w:szCs w:val="32"/>
        </w:rPr>
      </w:pPr>
      <w:r w:rsidRPr="002E3DD7">
        <w:rPr>
          <w:rFonts w:eastAsia="Times New Roman"/>
        </w:rPr>
        <w:br w:type="page"/>
      </w:r>
    </w:p>
    <w:p w14:paraId="51DC9BC7" w14:textId="190798D7" w:rsidR="002E3DD7" w:rsidRPr="002E3DD7" w:rsidRDefault="002E3DD7" w:rsidP="002E3DD7">
      <w:pPr>
        <w:pStyle w:val="Heading1"/>
        <w:spacing w:line="360" w:lineRule="auto"/>
        <w:rPr>
          <w:rFonts w:eastAsia="Times New Roman"/>
        </w:rPr>
      </w:pPr>
      <w:bookmarkStart w:id="3" w:name="_Toc106897272"/>
      <w:r w:rsidRPr="002E3DD7">
        <w:rPr>
          <w:rFonts w:eastAsia="Times New Roman"/>
        </w:rPr>
        <w:t>References</w:t>
      </w:r>
      <w:bookmarkEnd w:id="3"/>
    </w:p>
    <w:p w14:paraId="5531ACF9"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Abdi, S., Spann, A., </w:t>
      </w:r>
      <w:proofErr w:type="spellStart"/>
      <w:r w:rsidRPr="002E3DD7">
        <w:rPr>
          <w:rFonts w:eastAsia="Times New Roman" w:cs="Times New Roman"/>
          <w:color w:val="222222"/>
          <w:szCs w:val="24"/>
          <w:shd w:val="clear" w:color="auto" w:fill="FFFFFF"/>
        </w:rPr>
        <w:t>Borilovic</w:t>
      </w:r>
      <w:proofErr w:type="spellEnd"/>
      <w:r w:rsidRPr="002E3DD7">
        <w:rPr>
          <w:rFonts w:eastAsia="Times New Roman" w:cs="Times New Roman"/>
          <w:color w:val="222222"/>
          <w:szCs w:val="24"/>
          <w:shd w:val="clear" w:color="auto" w:fill="FFFFFF"/>
        </w:rPr>
        <w:t xml:space="preserve">, J., de Witte, L. and Hawley, M., 2019. Understanding the care and support needs of older people: a scoping review and categorisation using the WHO international classification of functioning, </w:t>
      </w:r>
      <w:proofErr w:type="gramStart"/>
      <w:r w:rsidRPr="002E3DD7">
        <w:rPr>
          <w:rFonts w:eastAsia="Times New Roman" w:cs="Times New Roman"/>
          <w:color w:val="222222"/>
          <w:szCs w:val="24"/>
          <w:shd w:val="clear" w:color="auto" w:fill="FFFFFF"/>
        </w:rPr>
        <w:t>disability</w:t>
      </w:r>
      <w:proofErr w:type="gramEnd"/>
      <w:r w:rsidRPr="002E3DD7">
        <w:rPr>
          <w:rFonts w:eastAsia="Times New Roman" w:cs="Times New Roman"/>
          <w:color w:val="222222"/>
          <w:szCs w:val="24"/>
          <w:shd w:val="clear" w:color="auto" w:fill="FFFFFF"/>
        </w:rPr>
        <w:t xml:space="preserve"> and health framework (</w:t>
      </w:r>
      <w:proofErr w:type="spellStart"/>
      <w:r w:rsidRPr="002E3DD7">
        <w:rPr>
          <w:rFonts w:eastAsia="Times New Roman" w:cs="Times New Roman"/>
          <w:color w:val="222222"/>
          <w:szCs w:val="24"/>
          <w:shd w:val="clear" w:color="auto" w:fill="FFFFFF"/>
        </w:rPr>
        <w:t>ICF</w:t>
      </w:r>
      <w:proofErr w:type="spellEnd"/>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BMC geriatrics</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pp.1</w:t>
      </w:r>
      <w:proofErr w:type="spellEnd"/>
      <w:r w:rsidRPr="002E3DD7">
        <w:rPr>
          <w:rFonts w:eastAsia="Times New Roman" w:cs="Times New Roman"/>
          <w:color w:val="222222"/>
          <w:szCs w:val="24"/>
          <w:shd w:val="clear" w:color="auto" w:fill="FFFFFF"/>
        </w:rPr>
        <w:t xml:space="preserve">-15. </w:t>
      </w:r>
      <w:hyperlink r:id="rId8" w:history="1">
        <w:r w:rsidRPr="002E3DD7">
          <w:rPr>
            <w:rFonts w:eastAsia="Times New Roman" w:cs="Times New Roman"/>
            <w:color w:val="1155CC"/>
            <w:szCs w:val="24"/>
            <w:u w:val="single"/>
            <w:shd w:val="clear" w:color="auto" w:fill="FFFFFF"/>
          </w:rPr>
          <w:t>https://bmcgeriatr.biomedcentral.com/articles/10.1186/s12877-019-1189-9</w:t>
        </w:r>
      </w:hyperlink>
    </w:p>
    <w:p w14:paraId="6DC5B2A8"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Al-Rabi, K., Tamimi, F., </w:t>
      </w:r>
      <w:proofErr w:type="spellStart"/>
      <w:r w:rsidRPr="002E3DD7">
        <w:rPr>
          <w:rFonts w:eastAsia="Times New Roman" w:cs="Times New Roman"/>
          <w:color w:val="222222"/>
          <w:szCs w:val="24"/>
          <w:shd w:val="clear" w:color="auto" w:fill="FFFFFF"/>
        </w:rPr>
        <w:t>Masri</w:t>
      </w:r>
      <w:proofErr w:type="spellEnd"/>
      <w:r w:rsidRPr="002E3DD7">
        <w:rPr>
          <w:rFonts w:eastAsia="Times New Roman" w:cs="Times New Roman"/>
          <w:color w:val="222222"/>
          <w:szCs w:val="24"/>
          <w:shd w:val="clear" w:color="auto" w:fill="FFFFFF"/>
        </w:rPr>
        <w:t xml:space="preserve">, A., </w:t>
      </w:r>
      <w:proofErr w:type="spellStart"/>
      <w:r w:rsidRPr="002E3DD7">
        <w:rPr>
          <w:rFonts w:eastAsia="Times New Roman" w:cs="Times New Roman"/>
          <w:color w:val="222222"/>
          <w:szCs w:val="24"/>
          <w:shd w:val="clear" w:color="auto" w:fill="FFFFFF"/>
        </w:rPr>
        <w:t>Halaseh</w:t>
      </w:r>
      <w:proofErr w:type="spellEnd"/>
      <w:r w:rsidRPr="002E3DD7">
        <w:rPr>
          <w:rFonts w:eastAsia="Times New Roman" w:cs="Times New Roman"/>
          <w:color w:val="222222"/>
          <w:szCs w:val="24"/>
          <w:shd w:val="clear" w:color="auto" w:fill="FFFFFF"/>
        </w:rPr>
        <w:t xml:space="preserve">, S. and Al Tell, A., 2019. The Safety of Early Discharging Patients with AML after Induction Chemotherapy, a Single Institution Experience in the Middle East. </w:t>
      </w:r>
      <w:r w:rsidRPr="002E3DD7">
        <w:rPr>
          <w:rFonts w:eastAsia="Times New Roman" w:cs="Times New Roman"/>
          <w:i/>
          <w:iCs/>
          <w:color w:val="222222"/>
          <w:szCs w:val="24"/>
          <w:shd w:val="clear" w:color="auto" w:fill="FFFFFF"/>
        </w:rPr>
        <w:t xml:space="preserve">Clinical Lymphoma, Myeloma and </w:t>
      </w:r>
      <w:proofErr w:type="spellStart"/>
      <w:r w:rsidRPr="002E3DD7">
        <w:rPr>
          <w:rFonts w:eastAsia="Times New Roman" w:cs="Times New Roman"/>
          <w:i/>
          <w:iCs/>
          <w:color w:val="222222"/>
          <w:szCs w:val="24"/>
          <w:shd w:val="clear" w:color="auto" w:fill="FFFFFF"/>
        </w:rPr>
        <w:t>Leukemia</w:t>
      </w:r>
      <w:proofErr w:type="spellEnd"/>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 </w:t>
      </w:r>
      <w:proofErr w:type="spellStart"/>
      <w:r w:rsidRPr="002E3DD7">
        <w:rPr>
          <w:rFonts w:eastAsia="Times New Roman" w:cs="Times New Roman"/>
          <w:color w:val="222222"/>
          <w:szCs w:val="24"/>
          <w:shd w:val="clear" w:color="auto" w:fill="FFFFFF"/>
        </w:rPr>
        <w:t>p.S236</w:t>
      </w:r>
      <w:proofErr w:type="spellEnd"/>
      <w:r w:rsidRPr="002E3DD7">
        <w:rPr>
          <w:rFonts w:eastAsia="Times New Roman" w:cs="Times New Roman"/>
          <w:color w:val="222222"/>
          <w:szCs w:val="24"/>
          <w:shd w:val="clear" w:color="auto" w:fill="FFFFFF"/>
        </w:rPr>
        <w:t xml:space="preserve">. </w:t>
      </w:r>
      <w:hyperlink r:id="rId9" w:history="1">
        <w:r w:rsidRPr="002E3DD7">
          <w:rPr>
            <w:rFonts w:eastAsia="Times New Roman" w:cs="Times New Roman"/>
            <w:color w:val="1155CC"/>
            <w:szCs w:val="24"/>
            <w:u w:val="single"/>
            <w:shd w:val="clear" w:color="auto" w:fill="FFFFFF"/>
          </w:rPr>
          <w:t>https://www.clinical-lymphoma-myeloma-leukemia.com/article/S2152-2650(19)30885-7/abstract</w:t>
        </w:r>
      </w:hyperlink>
    </w:p>
    <w:p w14:paraId="5463CDF1"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Ardelt</w:t>
      </w:r>
      <w:proofErr w:type="spellEnd"/>
      <w:r w:rsidRPr="002E3DD7">
        <w:rPr>
          <w:rFonts w:eastAsia="Times New Roman" w:cs="Times New Roman"/>
          <w:color w:val="222222"/>
          <w:szCs w:val="24"/>
          <w:shd w:val="clear" w:color="auto" w:fill="FFFFFF"/>
        </w:rPr>
        <w:t xml:space="preserve">, M. and Grunwald, S., 2018. The importance of self-reflection and awareness for human development in hard times. </w:t>
      </w:r>
      <w:r w:rsidRPr="002E3DD7">
        <w:rPr>
          <w:rFonts w:eastAsia="Times New Roman" w:cs="Times New Roman"/>
          <w:i/>
          <w:iCs/>
          <w:color w:val="222222"/>
          <w:szCs w:val="24"/>
          <w:shd w:val="clear" w:color="auto" w:fill="FFFFFF"/>
        </w:rPr>
        <w:t>Research in Human Development</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15</w:t>
      </w:r>
      <w:r w:rsidRPr="002E3DD7">
        <w:rPr>
          <w:rFonts w:eastAsia="Times New Roman" w:cs="Times New Roman"/>
          <w:color w:val="222222"/>
          <w:szCs w:val="24"/>
          <w:shd w:val="clear" w:color="auto" w:fill="FFFFFF"/>
        </w:rPr>
        <w:t xml:space="preserve">(3-4), </w:t>
      </w:r>
      <w:proofErr w:type="spellStart"/>
      <w:r w:rsidRPr="002E3DD7">
        <w:rPr>
          <w:rFonts w:eastAsia="Times New Roman" w:cs="Times New Roman"/>
          <w:color w:val="222222"/>
          <w:szCs w:val="24"/>
          <w:shd w:val="clear" w:color="auto" w:fill="FFFFFF"/>
        </w:rPr>
        <w:t>pp.187</w:t>
      </w:r>
      <w:proofErr w:type="spellEnd"/>
      <w:r w:rsidRPr="002E3DD7">
        <w:rPr>
          <w:rFonts w:eastAsia="Times New Roman" w:cs="Times New Roman"/>
          <w:color w:val="222222"/>
          <w:szCs w:val="24"/>
          <w:shd w:val="clear" w:color="auto" w:fill="FFFFFF"/>
        </w:rPr>
        <w:t xml:space="preserve">-199. </w:t>
      </w:r>
      <w:hyperlink r:id="rId10" w:history="1">
        <w:r w:rsidRPr="002E3DD7">
          <w:rPr>
            <w:rFonts w:eastAsia="Times New Roman" w:cs="Times New Roman"/>
            <w:color w:val="1155CC"/>
            <w:szCs w:val="24"/>
            <w:u w:val="single"/>
            <w:shd w:val="clear" w:color="auto" w:fill="FFFFFF"/>
          </w:rPr>
          <w:t>https://www.tandfonline.com/doi/abs/10.1080/15427609.2018.1489098</w:t>
        </w:r>
      </w:hyperlink>
    </w:p>
    <w:p w14:paraId="13E07A95"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Bai, A.D., Dai, C., Srivastava, S., Smith, C.A. and Gill, S.S., 2019. Risk factors, </w:t>
      </w:r>
      <w:proofErr w:type="gramStart"/>
      <w:r w:rsidRPr="002E3DD7">
        <w:rPr>
          <w:rFonts w:eastAsia="Times New Roman" w:cs="Times New Roman"/>
          <w:color w:val="222222"/>
          <w:szCs w:val="24"/>
          <w:shd w:val="clear" w:color="auto" w:fill="FFFFFF"/>
        </w:rPr>
        <w:t>costs</w:t>
      </w:r>
      <w:proofErr w:type="gramEnd"/>
      <w:r w:rsidRPr="002E3DD7">
        <w:rPr>
          <w:rFonts w:eastAsia="Times New Roman" w:cs="Times New Roman"/>
          <w:color w:val="222222"/>
          <w:szCs w:val="24"/>
          <w:shd w:val="clear" w:color="auto" w:fill="FFFFFF"/>
        </w:rPr>
        <w:t xml:space="preserve"> and complications of delayed hospital discharge from internal medicine wards at a Canadian academic medical centre: retrospective cohort study. </w:t>
      </w:r>
      <w:r w:rsidRPr="002E3DD7">
        <w:rPr>
          <w:rFonts w:eastAsia="Times New Roman" w:cs="Times New Roman"/>
          <w:i/>
          <w:iCs/>
          <w:color w:val="222222"/>
          <w:szCs w:val="24"/>
          <w:shd w:val="clear" w:color="auto" w:fill="FFFFFF"/>
        </w:rPr>
        <w:t>BMC health services research</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pp.1</w:t>
      </w:r>
      <w:proofErr w:type="spellEnd"/>
      <w:r w:rsidRPr="002E3DD7">
        <w:rPr>
          <w:rFonts w:eastAsia="Times New Roman" w:cs="Times New Roman"/>
          <w:color w:val="222222"/>
          <w:szCs w:val="24"/>
          <w:shd w:val="clear" w:color="auto" w:fill="FFFFFF"/>
        </w:rPr>
        <w:t xml:space="preserve">-9. </w:t>
      </w:r>
      <w:hyperlink r:id="rId11"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link.springer.com</w:t>
        </w:r>
        <w:proofErr w:type="spellEnd"/>
        <w:r w:rsidRPr="002E3DD7">
          <w:rPr>
            <w:rFonts w:eastAsia="Times New Roman" w:cs="Times New Roman"/>
            <w:color w:val="1155CC"/>
            <w:szCs w:val="24"/>
            <w:u w:val="single"/>
            <w:shd w:val="clear" w:color="auto" w:fill="FFFFFF"/>
          </w:rPr>
          <w:t>/article/10.1186/</w:t>
        </w:r>
        <w:proofErr w:type="spellStart"/>
        <w:r w:rsidRPr="002E3DD7">
          <w:rPr>
            <w:rFonts w:eastAsia="Times New Roman" w:cs="Times New Roman"/>
            <w:color w:val="1155CC"/>
            <w:szCs w:val="24"/>
            <w:u w:val="single"/>
            <w:shd w:val="clear" w:color="auto" w:fill="FFFFFF"/>
          </w:rPr>
          <w:t>s12913</w:t>
        </w:r>
        <w:proofErr w:type="spellEnd"/>
        <w:r w:rsidRPr="002E3DD7">
          <w:rPr>
            <w:rFonts w:eastAsia="Times New Roman" w:cs="Times New Roman"/>
            <w:color w:val="1155CC"/>
            <w:szCs w:val="24"/>
            <w:u w:val="single"/>
            <w:shd w:val="clear" w:color="auto" w:fill="FFFFFF"/>
          </w:rPr>
          <w:t>-019-4760-3</w:t>
        </w:r>
      </w:hyperlink>
    </w:p>
    <w:p w14:paraId="25CB6C6A"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Bass, J., </w:t>
      </w:r>
      <w:proofErr w:type="spellStart"/>
      <w:r w:rsidRPr="002E3DD7">
        <w:rPr>
          <w:rFonts w:eastAsia="Times New Roman" w:cs="Times New Roman"/>
          <w:color w:val="222222"/>
          <w:szCs w:val="24"/>
          <w:shd w:val="clear" w:color="auto" w:fill="FFFFFF"/>
        </w:rPr>
        <w:t>Sidebotham</w:t>
      </w:r>
      <w:proofErr w:type="spellEnd"/>
      <w:r w:rsidRPr="002E3DD7">
        <w:rPr>
          <w:rFonts w:eastAsia="Times New Roman" w:cs="Times New Roman"/>
          <w:color w:val="222222"/>
          <w:szCs w:val="24"/>
          <w:shd w:val="clear" w:color="auto" w:fill="FFFFFF"/>
        </w:rPr>
        <w:t xml:space="preserve">, M., Creedy, D. and Sweet, L., 2020. Midwifery students’ experiences and expectations of using a model of holistic reflection. </w:t>
      </w:r>
      <w:r w:rsidRPr="002E3DD7">
        <w:rPr>
          <w:rFonts w:eastAsia="Times New Roman" w:cs="Times New Roman"/>
          <w:i/>
          <w:iCs/>
          <w:color w:val="222222"/>
          <w:szCs w:val="24"/>
          <w:shd w:val="clear" w:color="auto" w:fill="FFFFFF"/>
        </w:rPr>
        <w:t>Women and Birth</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33</w:t>
      </w:r>
      <w:r w:rsidRPr="002E3DD7">
        <w:rPr>
          <w:rFonts w:eastAsia="Times New Roman" w:cs="Times New Roman"/>
          <w:color w:val="222222"/>
          <w:szCs w:val="24"/>
          <w:shd w:val="clear" w:color="auto" w:fill="FFFFFF"/>
        </w:rPr>
        <w:t xml:space="preserve">(4), </w:t>
      </w:r>
      <w:proofErr w:type="spellStart"/>
      <w:r w:rsidRPr="002E3DD7">
        <w:rPr>
          <w:rFonts w:eastAsia="Times New Roman" w:cs="Times New Roman"/>
          <w:color w:val="222222"/>
          <w:szCs w:val="24"/>
          <w:shd w:val="clear" w:color="auto" w:fill="FFFFFF"/>
        </w:rPr>
        <w:t>pp.383</w:t>
      </w:r>
      <w:proofErr w:type="spellEnd"/>
      <w:r w:rsidRPr="002E3DD7">
        <w:rPr>
          <w:rFonts w:eastAsia="Times New Roman" w:cs="Times New Roman"/>
          <w:color w:val="222222"/>
          <w:szCs w:val="24"/>
          <w:shd w:val="clear" w:color="auto" w:fill="FFFFFF"/>
        </w:rPr>
        <w:t xml:space="preserve">-392. </w:t>
      </w:r>
      <w:hyperlink r:id="rId12" w:history="1">
        <w:r w:rsidRPr="002E3DD7">
          <w:rPr>
            <w:rFonts w:eastAsia="Times New Roman" w:cs="Times New Roman"/>
            <w:color w:val="1155CC"/>
            <w:szCs w:val="24"/>
            <w:u w:val="single"/>
            <w:shd w:val="clear" w:color="auto" w:fill="FFFFFF"/>
          </w:rPr>
          <w:t>https://www.sciencedirect.com/science/article/pii/S1871519219303415</w:t>
        </w:r>
      </w:hyperlink>
    </w:p>
    <w:p w14:paraId="080AE086"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Destino</w:t>
      </w:r>
      <w:proofErr w:type="spellEnd"/>
      <w:r w:rsidRPr="002E3DD7">
        <w:rPr>
          <w:rFonts w:eastAsia="Times New Roman" w:cs="Times New Roman"/>
          <w:color w:val="222222"/>
          <w:szCs w:val="24"/>
          <w:shd w:val="clear" w:color="auto" w:fill="FFFFFF"/>
        </w:rPr>
        <w:t xml:space="preserve">, L., Bennett, D., Wood, M., Acuna, C., Goodman, S., Asch, </w:t>
      </w:r>
      <w:proofErr w:type="spellStart"/>
      <w:r w:rsidRPr="002E3DD7">
        <w:rPr>
          <w:rFonts w:eastAsia="Times New Roman" w:cs="Times New Roman"/>
          <w:color w:val="222222"/>
          <w:szCs w:val="24"/>
          <w:shd w:val="clear" w:color="auto" w:fill="FFFFFF"/>
        </w:rPr>
        <w:t>S.M</w:t>
      </w:r>
      <w:proofErr w:type="spellEnd"/>
      <w:r w:rsidRPr="002E3DD7">
        <w:rPr>
          <w:rFonts w:eastAsia="Times New Roman" w:cs="Times New Roman"/>
          <w:color w:val="222222"/>
          <w:szCs w:val="24"/>
          <w:shd w:val="clear" w:color="auto" w:fill="FFFFFF"/>
        </w:rPr>
        <w:t xml:space="preserve">. and </w:t>
      </w:r>
      <w:proofErr w:type="spellStart"/>
      <w:r w:rsidRPr="002E3DD7">
        <w:rPr>
          <w:rFonts w:eastAsia="Times New Roman" w:cs="Times New Roman"/>
          <w:color w:val="222222"/>
          <w:szCs w:val="24"/>
          <w:shd w:val="clear" w:color="auto" w:fill="FFFFFF"/>
        </w:rPr>
        <w:t>Platchek</w:t>
      </w:r>
      <w:proofErr w:type="spellEnd"/>
      <w:r w:rsidRPr="002E3DD7">
        <w:rPr>
          <w:rFonts w:eastAsia="Times New Roman" w:cs="Times New Roman"/>
          <w:color w:val="222222"/>
          <w:szCs w:val="24"/>
          <w:shd w:val="clear" w:color="auto" w:fill="FFFFFF"/>
        </w:rPr>
        <w:t xml:space="preserve">, T., 2019. Improving patient flow: analysis of an initiative to improve early discharge. </w:t>
      </w:r>
      <w:r w:rsidRPr="002E3DD7">
        <w:rPr>
          <w:rFonts w:eastAsia="Times New Roman" w:cs="Times New Roman"/>
          <w:i/>
          <w:iCs/>
          <w:color w:val="222222"/>
          <w:szCs w:val="24"/>
          <w:shd w:val="clear" w:color="auto" w:fill="FFFFFF"/>
        </w:rPr>
        <w:t>Journal of hospital medicine</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14</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pp.22</w:t>
      </w:r>
      <w:proofErr w:type="spellEnd"/>
      <w:r w:rsidRPr="002E3DD7">
        <w:rPr>
          <w:rFonts w:eastAsia="Times New Roman" w:cs="Times New Roman"/>
          <w:color w:val="222222"/>
          <w:szCs w:val="24"/>
          <w:shd w:val="clear" w:color="auto" w:fill="FFFFFF"/>
        </w:rPr>
        <w:t xml:space="preserve">-27. </w:t>
      </w:r>
      <w:hyperlink r:id="rId13" w:history="1">
        <w:r w:rsidRPr="002E3DD7">
          <w:rPr>
            <w:rFonts w:eastAsia="Times New Roman" w:cs="Times New Roman"/>
            <w:color w:val="1155CC"/>
            <w:szCs w:val="24"/>
            <w:u w:val="single"/>
            <w:shd w:val="clear" w:color="auto" w:fill="FFFFFF"/>
          </w:rPr>
          <w:t>https://shmpublications.onlinelibrary.wiley.com/doi/abs/10.12788/jhm.3133</w:t>
        </w:r>
      </w:hyperlink>
    </w:p>
    <w:p w14:paraId="24542922"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Landeiro</w:t>
      </w:r>
      <w:proofErr w:type="spellEnd"/>
      <w:r w:rsidRPr="002E3DD7">
        <w:rPr>
          <w:rFonts w:eastAsia="Times New Roman" w:cs="Times New Roman"/>
          <w:color w:val="222222"/>
          <w:szCs w:val="24"/>
          <w:shd w:val="clear" w:color="auto" w:fill="FFFFFF"/>
        </w:rPr>
        <w:t xml:space="preserve">, F., Roberts, K., Gray, A.M. and Leal, J., 2019. Delayed hospital discharges of older patients: a systematic review on prevalence and costs. </w:t>
      </w:r>
      <w:r w:rsidRPr="002E3DD7">
        <w:rPr>
          <w:rFonts w:eastAsia="Times New Roman" w:cs="Times New Roman"/>
          <w:i/>
          <w:iCs/>
          <w:color w:val="222222"/>
          <w:szCs w:val="24"/>
          <w:shd w:val="clear" w:color="auto" w:fill="FFFFFF"/>
        </w:rPr>
        <w:t>The Gerontologist</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59</w:t>
      </w:r>
      <w:r w:rsidRPr="002E3DD7">
        <w:rPr>
          <w:rFonts w:eastAsia="Times New Roman" w:cs="Times New Roman"/>
          <w:color w:val="222222"/>
          <w:szCs w:val="24"/>
          <w:shd w:val="clear" w:color="auto" w:fill="FFFFFF"/>
        </w:rPr>
        <w:t xml:space="preserve">(2), </w:t>
      </w:r>
      <w:proofErr w:type="spellStart"/>
      <w:proofErr w:type="gramStart"/>
      <w:r w:rsidRPr="002E3DD7">
        <w:rPr>
          <w:rFonts w:eastAsia="Times New Roman" w:cs="Times New Roman"/>
          <w:color w:val="222222"/>
          <w:szCs w:val="24"/>
          <w:shd w:val="clear" w:color="auto" w:fill="FFFFFF"/>
        </w:rPr>
        <w:t>pp.e</w:t>
      </w:r>
      <w:proofErr w:type="gramEnd"/>
      <w:r w:rsidRPr="002E3DD7">
        <w:rPr>
          <w:rFonts w:eastAsia="Times New Roman" w:cs="Times New Roman"/>
          <w:color w:val="222222"/>
          <w:szCs w:val="24"/>
          <w:shd w:val="clear" w:color="auto" w:fill="FFFFFF"/>
        </w:rPr>
        <w:t>86-e97</w:t>
      </w:r>
      <w:proofErr w:type="spellEnd"/>
      <w:r w:rsidRPr="002E3DD7">
        <w:rPr>
          <w:rFonts w:eastAsia="Times New Roman" w:cs="Times New Roman"/>
          <w:color w:val="222222"/>
          <w:szCs w:val="24"/>
          <w:shd w:val="clear" w:color="auto" w:fill="FFFFFF"/>
        </w:rPr>
        <w:t xml:space="preserve">. </w:t>
      </w:r>
      <w:hyperlink r:id="rId14" w:history="1">
        <w:r w:rsidRPr="002E3DD7">
          <w:rPr>
            <w:rFonts w:eastAsia="Times New Roman" w:cs="Times New Roman"/>
            <w:color w:val="1155CC"/>
            <w:szCs w:val="24"/>
            <w:u w:val="single"/>
            <w:shd w:val="clear" w:color="auto" w:fill="FFFFFF"/>
          </w:rPr>
          <w:t>https://academic.oup.com/gerontologist/article-abstract/59/2/e86/3850587</w:t>
        </w:r>
      </w:hyperlink>
    </w:p>
    <w:p w14:paraId="4BBAB685"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Legislation.gov.uk</w:t>
      </w:r>
      <w:proofErr w:type="spellEnd"/>
      <w:r w:rsidRPr="002E3DD7">
        <w:rPr>
          <w:rFonts w:eastAsia="Times New Roman" w:cs="Times New Roman"/>
          <w:color w:val="222222"/>
          <w:szCs w:val="24"/>
          <w:shd w:val="clear" w:color="auto" w:fill="FFFFFF"/>
        </w:rPr>
        <w:t xml:space="preserve">, 2022. Care act 2014. </w:t>
      </w:r>
      <w:proofErr w:type="spellStart"/>
      <w:r w:rsidRPr="002E3DD7">
        <w:rPr>
          <w:rFonts w:eastAsia="Times New Roman" w:cs="Times New Roman"/>
          <w:i/>
          <w:iCs/>
          <w:color w:val="222222"/>
          <w:szCs w:val="24"/>
          <w:shd w:val="clear" w:color="auto" w:fill="FFFFFF"/>
        </w:rPr>
        <w:t>Legislation.gov.uk</w:t>
      </w:r>
      <w:proofErr w:type="spellEnd"/>
      <w:r w:rsidRPr="002E3DD7">
        <w:rPr>
          <w:rFonts w:eastAsia="Times New Roman" w:cs="Times New Roman"/>
          <w:color w:val="222222"/>
          <w:szCs w:val="24"/>
          <w:shd w:val="clear" w:color="auto" w:fill="FFFFFF"/>
        </w:rPr>
        <w:t>. Available at: https://</w:t>
      </w:r>
      <w:proofErr w:type="spellStart"/>
      <w:r w:rsidRPr="002E3DD7">
        <w:rPr>
          <w:rFonts w:eastAsia="Times New Roman" w:cs="Times New Roman"/>
          <w:color w:val="222222"/>
          <w:szCs w:val="24"/>
          <w:shd w:val="clear" w:color="auto" w:fill="FFFFFF"/>
        </w:rPr>
        <w:t>www.legislation.gov.uk</w:t>
      </w:r>
      <w:proofErr w:type="spellEnd"/>
      <w:r w:rsidRPr="002E3DD7">
        <w:rPr>
          <w:rFonts w:eastAsia="Times New Roman" w:cs="Times New Roman"/>
          <w:color w:val="222222"/>
          <w:szCs w:val="24"/>
          <w:shd w:val="clear" w:color="auto" w:fill="FFFFFF"/>
        </w:rPr>
        <w:t>/</w:t>
      </w:r>
      <w:proofErr w:type="spellStart"/>
      <w:r w:rsidRPr="002E3DD7">
        <w:rPr>
          <w:rFonts w:eastAsia="Times New Roman" w:cs="Times New Roman"/>
          <w:color w:val="222222"/>
          <w:szCs w:val="24"/>
          <w:shd w:val="clear" w:color="auto" w:fill="FFFFFF"/>
        </w:rPr>
        <w:t>ukpga</w:t>
      </w:r>
      <w:proofErr w:type="spellEnd"/>
      <w:r w:rsidRPr="002E3DD7">
        <w:rPr>
          <w:rFonts w:eastAsia="Times New Roman" w:cs="Times New Roman"/>
          <w:color w:val="222222"/>
          <w:szCs w:val="24"/>
          <w:shd w:val="clear" w:color="auto" w:fill="FFFFFF"/>
        </w:rPr>
        <w:t>/2014/23/schedule/3/enacted [Accessed June 23, 2022]. </w:t>
      </w:r>
    </w:p>
    <w:p w14:paraId="54F8FCDC"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Rabin, </w:t>
      </w:r>
      <w:proofErr w:type="spellStart"/>
      <w:r w:rsidRPr="002E3DD7">
        <w:rPr>
          <w:rFonts w:eastAsia="Times New Roman" w:cs="Times New Roman"/>
          <w:color w:val="222222"/>
          <w:szCs w:val="24"/>
          <w:shd w:val="clear" w:color="auto" w:fill="FFFFFF"/>
        </w:rPr>
        <w:t>I.Y</w:t>
      </w:r>
      <w:proofErr w:type="spellEnd"/>
      <w:r w:rsidRPr="002E3DD7">
        <w:rPr>
          <w:rFonts w:eastAsia="Times New Roman" w:cs="Times New Roman"/>
          <w:color w:val="222222"/>
          <w:szCs w:val="24"/>
          <w:shd w:val="clear" w:color="auto" w:fill="FFFFFF"/>
        </w:rPr>
        <w:t xml:space="preserve">. and Savoy, </w:t>
      </w:r>
      <w:proofErr w:type="spellStart"/>
      <w:r w:rsidRPr="002E3DD7">
        <w:rPr>
          <w:rFonts w:eastAsia="Times New Roman" w:cs="Times New Roman"/>
          <w:color w:val="222222"/>
          <w:szCs w:val="24"/>
          <w:shd w:val="clear" w:color="auto" w:fill="FFFFFF"/>
        </w:rPr>
        <w:t>K.B</w:t>
      </w:r>
      <w:proofErr w:type="spellEnd"/>
      <w:r w:rsidRPr="002E3DD7">
        <w:rPr>
          <w:rFonts w:eastAsia="Times New Roman" w:cs="Times New Roman"/>
          <w:color w:val="222222"/>
          <w:szCs w:val="24"/>
          <w:shd w:val="clear" w:color="auto" w:fill="FFFFFF"/>
        </w:rPr>
        <w:t xml:space="preserve">., 2021. Hospital discharge challenges of the homeless patient. In </w:t>
      </w:r>
      <w:r w:rsidRPr="002E3DD7">
        <w:rPr>
          <w:rFonts w:eastAsia="Times New Roman" w:cs="Times New Roman"/>
          <w:i/>
          <w:iCs/>
          <w:color w:val="222222"/>
          <w:szCs w:val="24"/>
          <w:shd w:val="clear" w:color="auto" w:fill="FFFFFF"/>
        </w:rPr>
        <w:t>Clinical Management of the Homeless Patient</w:t>
      </w:r>
      <w:r w:rsidRPr="002E3DD7">
        <w:rPr>
          <w:rFonts w:eastAsia="Times New Roman" w:cs="Times New Roman"/>
          <w:color w:val="222222"/>
          <w:szCs w:val="24"/>
          <w:shd w:val="clear" w:color="auto" w:fill="FFFFFF"/>
        </w:rPr>
        <w:t xml:space="preserve"> (pp. 139-148). Springer, Cham. </w:t>
      </w:r>
      <w:hyperlink r:id="rId15"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link.springer.com</w:t>
        </w:r>
        <w:proofErr w:type="spellEnd"/>
        <w:r w:rsidRPr="002E3DD7">
          <w:rPr>
            <w:rFonts w:eastAsia="Times New Roman" w:cs="Times New Roman"/>
            <w:color w:val="1155CC"/>
            <w:szCs w:val="24"/>
            <w:u w:val="single"/>
            <w:shd w:val="clear" w:color="auto" w:fill="FFFFFF"/>
          </w:rPr>
          <w:t>/chapter/10.1007/978-3-030-70135-2_9</w:t>
        </w:r>
      </w:hyperlink>
    </w:p>
    <w:p w14:paraId="6F095704"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Stockwell‐Smith, G., Moyle, W., Marshall, A.P., Argo, A., Brown, L., Howe, S., Layton, K., Naidoo, O., Santoso, Y., Soleil‐</w:t>
      </w:r>
      <w:proofErr w:type="spellStart"/>
      <w:r w:rsidRPr="002E3DD7">
        <w:rPr>
          <w:rFonts w:eastAsia="Times New Roman" w:cs="Times New Roman"/>
          <w:color w:val="222222"/>
          <w:szCs w:val="24"/>
          <w:shd w:val="clear" w:color="auto" w:fill="FFFFFF"/>
        </w:rPr>
        <w:t>Moudiky</w:t>
      </w:r>
      <w:proofErr w:type="spellEnd"/>
      <w:r w:rsidRPr="002E3DD7">
        <w:rPr>
          <w:rFonts w:eastAsia="Times New Roman" w:cs="Times New Roman"/>
          <w:color w:val="222222"/>
          <w:szCs w:val="24"/>
          <w:shd w:val="clear" w:color="auto" w:fill="FFFFFF"/>
        </w:rPr>
        <w:t xml:space="preserve">‐Joh, E. and </w:t>
      </w:r>
      <w:proofErr w:type="spellStart"/>
      <w:r w:rsidRPr="002E3DD7">
        <w:rPr>
          <w:rFonts w:eastAsia="Times New Roman" w:cs="Times New Roman"/>
          <w:color w:val="222222"/>
          <w:szCs w:val="24"/>
          <w:shd w:val="clear" w:color="auto" w:fill="FFFFFF"/>
        </w:rPr>
        <w:t>Grealish</w:t>
      </w:r>
      <w:proofErr w:type="spellEnd"/>
      <w:r w:rsidRPr="002E3DD7">
        <w:rPr>
          <w:rFonts w:eastAsia="Times New Roman" w:cs="Times New Roman"/>
          <w:color w:val="222222"/>
          <w:szCs w:val="24"/>
          <w:shd w:val="clear" w:color="auto" w:fill="FFFFFF"/>
        </w:rPr>
        <w:t xml:space="preserve">, L., 2018. Hospital discharge processes involving older adults living with dementia: An integrated literature review. </w:t>
      </w:r>
      <w:r w:rsidRPr="002E3DD7">
        <w:rPr>
          <w:rFonts w:eastAsia="Times New Roman" w:cs="Times New Roman"/>
          <w:i/>
          <w:iCs/>
          <w:color w:val="222222"/>
          <w:szCs w:val="24"/>
          <w:shd w:val="clear" w:color="auto" w:fill="FFFFFF"/>
        </w:rPr>
        <w:t>Journal of Clinical Nursing</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27</w:t>
      </w:r>
      <w:r w:rsidRPr="002E3DD7">
        <w:rPr>
          <w:rFonts w:eastAsia="Times New Roman" w:cs="Times New Roman"/>
          <w:color w:val="222222"/>
          <w:szCs w:val="24"/>
          <w:shd w:val="clear" w:color="auto" w:fill="FFFFFF"/>
        </w:rPr>
        <w:t xml:space="preserve">(5-6), </w:t>
      </w:r>
      <w:proofErr w:type="spellStart"/>
      <w:proofErr w:type="gramStart"/>
      <w:r w:rsidRPr="002E3DD7">
        <w:rPr>
          <w:rFonts w:eastAsia="Times New Roman" w:cs="Times New Roman"/>
          <w:color w:val="222222"/>
          <w:szCs w:val="24"/>
          <w:shd w:val="clear" w:color="auto" w:fill="FFFFFF"/>
        </w:rPr>
        <w:t>pp.e</w:t>
      </w:r>
      <w:proofErr w:type="gramEnd"/>
      <w:r w:rsidRPr="002E3DD7">
        <w:rPr>
          <w:rFonts w:eastAsia="Times New Roman" w:cs="Times New Roman"/>
          <w:color w:val="222222"/>
          <w:szCs w:val="24"/>
          <w:shd w:val="clear" w:color="auto" w:fill="FFFFFF"/>
        </w:rPr>
        <w:t>712-e725</w:t>
      </w:r>
      <w:proofErr w:type="spellEnd"/>
      <w:r w:rsidRPr="002E3DD7">
        <w:rPr>
          <w:rFonts w:eastAsia="Times New Roman" w:cs="Times New Roman"/>
          <w:color w:val="222222"/>
          <w:szCs w:val="24"/>
          <w:shd w:val="clear" w:color="auto" w:fill="FFFFFF"/>
        </w:rPr>
        <w:t xml:space="preserve">. </w:t>
      </w:r>
      <w:hyperlink r:id="rId16"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onlinelibrary.wiley.com</w:t>
        </w:r>
        <w:proofErr w:type="spellEnd"/>
        <w:r w:rsidRPr="002E3DD7">
          <w:rPr>
            <w:rFonts w:eastAsia="Times New Roman" w:cs="Times New Roman"/>
            <w:color w:val="1155CC"/>
            <w:szCs w:val="24"/>
            <w:u w:val="single"/>
            <w:shd w:val="clear" w:color="auto" w:fill="FFFFFF"/>
          </w:rPr>
          <w:t>/</w:t>
        </w:r>
        <w:proofErr w:type="spellStart"/>
        <w:r w:rsidRPr="002E3DD7">
          <w:rPr>
            <w:rFonts w:eastAsia="Times New Roman" w:cs="Times New Roman"/>
            <w:color w:val="1155CC"/>
            <w:szCs w:val="24"/>
            <w:u w:val="single"/>
            <w:shd w:val="clear" w:color="auto" w:fill="FFFFFF"/>
          </w:rPr>
          <w:t>doi</w:t>
        </w:r>
        <w:proofErr w:type="spellEnd"/>
        <w:r w:rsidRPr="002E3DD7">
          <w:rPr>
            <w:rFonts w:eastAsia="Times New Roman" w:cs="Times New Roman"/>
            <w:color w:val="1155CC"/>
            <w:szCs w:val="24"/>
            <w:u w:val="single"/>
            <w:shd w:val="clear" w:color="auto" w:fill="FFFFFF"/>
          </w:rPr>
          <w:t>/abs/10.1111/</w:t>
        </w:r>
        <w:proofErr w:type="spellStart"/>
        <w:r w:rsidRPr="002E3DD7">
          <w:rPr>
            <w:rFonts w:eastAsia="Times New Roman" w:cs="Times New Roman"/>
            <w:color w:val="1155CC"/>
            <w:szCs w:val="24"/>
            <w:u w:val="single"/>
            <w:shd w:val="clear" w:color="auto" w:fill="FFFFFF"/>
          </w:rPr>
          <w:t>jocn.14144</w:t>
        </w:r>
        <w:proofErr w:type="spellEnd"/>
      </w:hyperlink>
    </w:p>
    <w:p w14:paraId="545C1F26"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www.toolshero.com</w:t>
      </w:r>
      <w:proofErr w:type="spellEnd"/>
      <w:r w:rsidRPr="002E3DD7">
        <w:rPr>
          <w:rFonts w:eastAsia="Times New Roman" w:cs="Times New Roman"/>
          <w:color w:val="222222"/>
          <w:szCs w:val="24"/>
          <w:shd w:val="clear" w:color="auto" w:fill="FFFFFF"/>
        </w:rPr>
        <w:t>, 2022. Johns model of Reflection (</w:t>
      </w:r>
      <w:proofErr w:type="spellStart"/>
      <w:r w:rsidRPr="002E3DD7">
        <w:rPr>
          <w:rFonts w:eastAsia="Times New Roman" w:cs="Times New Roman"/>
          <w:color w:val="222222"/>
          <w:szCs w:val="24"/>
          <w:shd w:val="clear" w:color="auto" w:fill="FFFFFF"/>
        </w:rPr>
        <w:t>MSR</w:t>
      </w:r>
      <w:proofErr w:type="spellEnd"/>
      <w:r w:rsidRPr="002E3DD7">
        <w:rPr>
          <w:rFonts w:eastAsia="Times New Roman" w:cs="Times New Roman"/>
          <w:color w:val="222222"/>
          <w:szCs w:val="24"/>
          <w:shd w:val="clear" w:color="auto" w:fill="FFFFFF"/>
        </w:rPr>
        <w:t xml:space="preserve">). </w:t>
      </w:r>
      <w:proofErr w:type="spellStart"/>
      <w:r w:rsidRPr="002E3DD7">
        <w:rPr>
          <w:rFonts w:eastAsia="Times New Roman" w:cs="Times New Roman"/>
          <w:i/>
          <w:iCs/>
          <w:color w:val="222222"/>
          <w:szCs w:val="24"/>
          <w:shd w:val="clear" w:color="auto" w:fill="FFFFFF"/>
        </w:rPr>
        <w:t>toolshero</w:t>
      </w:r>
      <w:proofErr w:type="spellEnd"/>
      <w:r w:rsidRPr="002E3DD7">
        <w:rPr>
          <w:rFonts w:eastAsia="Times New Roman" w:cs="Times New Roman"/>
          <w:color w:val="222222"/>
          <w:szCs w:val="24"/>
          <w:shd w:val="clear" w:color="auto" w:fill="FFFFFF"/>
        </w:rPr>
        <w:t>. Available at: https://www.toolshero.com/personal-development/johns-model-of-reflection/ [Accessed June 23, 2022].</w:t>
      </w:r>
    </w:p>
    <w:p w14:paraId="0D3FB766" w14:textId="77777777" w:rsidR="000E51BB" w:rsidRPr="002E3DD7" w:rsidRDefault="002E3DD7" w:rsidP="002E3DD7">
      <w:pPr>
        <w:spacing w:line="360" w:lineRule="auto"/>
      </w:pP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p>
    <w:sectPr w:rsidR="000E51BB" w:rsidRPr="002E3DD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0CD12" w14:textId="77777777" w:rsidR="00341607" w:rsidRDefault="00341607" w:rsidP="002E3DD7">
      <w:pPr>
        <w:spacing w:after="0" w:line="240" w:lineRule="auto"/>
      </w:pPr>
      <w:r>
        <w:separator/>
      </w:r>
    </w:p>
  </w:endnote>
  <w:endnote w:type="continuationSeparator" w:id="0">
    <w:p w14:paraId="398C9D19" w14:textId="77777777" w:rsidR="00341607" w:rsidRDefault="00341607" w:rsidP="002E3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411467"/>
      <w:docPartObj>
        <w:docPartGallery w:val="Page Numbers (Bottom of Page)"/>
        <w:docPartUnique/>
      </w:docPartObj>
    </w:sdtPr>
    <w:sdtEndPr>
      <w:rPr>
        <w:noProof/>
      </w:rPr>
    </w:sdtEndPr>
    <w:sdtContent>
      <w:p w14:paraId="7D263A4B" w14:textId="4FB2AACC" w:rsidR="002E3DD7" w:rsidRDefault="002E3DD7">
        <w:pPr>
          <w:pStyle w:val="Footer"/>
          <w:jc w:val="right"/>
        </w:pPr>
        <w:r>
          <w:fldChar w:fldCharType="begin"/>
        </w:r>
        <w:r>
          <w:instrText xml:space="preserve"> PAGE   \* MERGEFORMAT </w:instrText>
        </w:r>
        <w:r>
          <w:fldChar w:fldCharType="separate"/>
        </w:r>
        <w:r w:rsidR="0033679C">
          <w:rPr>
            <w:noProof/>
          </w:rPr>
          <w:t>5</w:t>
        </w:r>
        <w:r>
          <w:rPr>
            <w:noProof/>
          </w:rPr>
          <w:fldChar w:fldCharType="end"/>
        </w:r>
      </w:p>
    </w:sdtContent>
  </w:sdt>
  <w:p w14:paraId="67D92455" w14:textId="77777777" w:rsidR="002E3DD7" w:rsidRDefault="002E3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FE5C0" w14:textId="77777777" w:rsidR="00341607" w:rsidRDefault="00341607" w:rsidP="002E3DD7">
      <w:pPr>
        <w:spacing w:after="0" w:line="240" w:lineRule="auto"/>
      </w:pPr>
      <w:r>
        <w:separator/>
      </w:r>
    </w:p>
  </w:footnote>
  <w:footnote w:type="continuationSeparator" w:id="0">
    <w:p w14:paraId="50DA29F4" w14:textId="77777777" w:rsidR="00341607" w:rsidRDefault="00341607" w:rsidP="002E3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DD7"/>
    <w:rsid w:val="000E51BB"/>
    <w:rsid w:val="002E3DD7"/>
    <w:rsid w:val="0033679C"/>
    <w:rsid w:val="00341607"/>
    <w:rsid w:val="003837E1"/>
    <w:rsid w:val="003A6A00"/>
    <w:rsid w:val="004A4D5B"/>
    <w:rsid w:val="005949E7"/>
    <w:rsid w:val="00685EAE"/>
    <w:rsid w:val="00A73E5A"/>
    <w:rsid w:val="00AD0A4B"/>
    <w:rsid w:val="00B37F8F"/>
    <w:rsid w:val="00C55A93"/>
    <w:rsid w:val="00F54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E28BC"/>
  <w15:chartTrackingRefBased/>
  <w15:docId w15:val="{34549B8B-9389-481D-AC92-9BCA23E41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E3DD7"/>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2E3DD7"/>
    <w:rPr>
      <w:color w:val="0000FF"/>
      <w:u w:val="single"/>
    </w:rPr>
  </w:style>
  <w:style w:type="paragraph" w:styleId="Header">
    <w:name w:val="header"/>
    <w:basedOn w:val="Normal"/>
    <w:link w:val="HeaderChar"/>
    <w:uiPriority w:val="99"/>
    <w:unhideWhenUsed/>
    <w:rsid w:val="002E3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DD7"/>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2E3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DD7"/>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2E3DD7"/>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E3D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622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geriatr.biomedcentral.com/articles/10.1186/s12877-019-1189-9" TargetMode="External"/><Relationship Id="rId13" Type="http://schemas.openxmlformats.org/officeDocument/2006/relationships/hyperlink" Target="https://shmpublications.onlinelibrary.wiley.com/doi/abs/10.12788/jhm.31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187151921930341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jocn.1414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12913-019-4760-3" TargetMode="External"/><Relationship Id="rId5" Type="http://schemas.openxmlformats.org/officeDocument/2006/relationships/footnotes" Target="footnotes.xml"/><Relationship Id="rId15" Type="http://schemas.openxmlformats.org/officeDocument/2006/relationships/hyperlink" Target="https://link.springer.com/chapter/10.1007/978-3-030-70135-2_9" TargetMode="External"/><Relationship Id="rId10" Type="http://schemas.openxmlformats.org/officeDocument/2006/relationships/hyperlink" Target="https://www.tandfonline.com/doi/abs/10.1080/15427609.2018.148909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linical-lymphoma-myeloma-leukemia.com/article/S2152-2650(19)30885-7/abstract" TargetMode="External"/><Relationship Id="rId14" Type="http://schemas.openxmlformats.org/officeDocument/2006/relationships/hyperlink" Target="https://academic.oup.com/gerontologist/article-abstract/59/2/e86/3850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1A2A0-0F4A-463A-8DC0-339D5C823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2151</Words>
  <Characters>12262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Cristiana Marchidan</cp:lastModifiedBy>
  <cp:revision>4</cp:revision>
  <dcterms:created xsi:type="dcterms:W3CDTF">2022-06-28T15:39:00Z</dcterms:created>
  <dcterms:modified xsi:type="dcterms:W3CDTF">2022-06-28T15:40:00Z</dcterms:modified>
</cp:coreProperties>
</file>