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 standalone="yes"?>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body>
    <w:p>
      <w:pPr>
        <w:pStyle w:val="Body"/>
        <w:spacing w:line="288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/>
          <w:sz w:val="24"/>
          <w:szCs w:val="24"/>
          <w:rtl w:val="0"/>
          <w:lang w:val="en-US"/>
        </w:rPr>
        <w:t>Aylward, Gladys. The Little Woman. New Ed. Moody Publishers, 1970. The Moody Bible Institute of Chicago.</w:t>
      </w:r>
    </w:p>
    <w:p>
      <w:pPr>
        <w:pStyle w:val="Body"/>
        <w:spacing w:line="288" w:lineRule="auto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spacing w:line="288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/>
          <w:sz w:val="24"/>
          <w:szCs w:val="24"/>
          <w:rtl w:val="0"/>
          <w:lang w:val="en-US"/>
        </w:rPr>
        <w:t>Aylward, Gladys. Her Personal Story As Told To Christine Hunter. Coverdale Ho.; First British Edition, 1971</w:t>
      </w:r>
    </w:p>
    <w:p>
      <w:pPr>
        <w:pStyle w:val="Body"/>
        <w:spacing w:line="288" w:lineRule="auto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spacing w:line="288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/>
          <w:sz w:val="24"/>
          <w:szCs w:val="24"/>
          <w:rtl w:val="0"/>
          <w:lang w:val="en-US"/>
        </w:rPr>
        <w:t>Bays, Daniel H. Christianity in China : from the eighteenth century to the present. Stanford, Calif: Stanford University Press, 1999</w:t>
      </w:r>
    </w:p>
    <w:p>
      <w:pPr>
        <w:pStyle w:val="Body"/>
        <w:spacing w:line="288" w:lineRule="auto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spacing w:line="288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/>
          <w:sz w:val="24"/>
          <w:szCs w:val="24"/>
          <w:rtl w:val="0"/>
          <w:lang w:val="en-US"/>
        </w:rPr>
        <w:t>Bryson, Mary I. Cross and crown: stories of the Chinese Martyrs, Lodnon: London Missionary Society, 1904</w:t>
      </w:r>
    </w:p>
    <w:p>
      <w:pPr>
        <w:pStyle w:val="Body"/>
        <w:spacing w:line="288" w:lineRule="auto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spacing w:line="288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/>
          <w:sz w:val="24"/>
          <w:szCs w:val="24"/>
          <w:rtl w:val="0"/>
          <w:lang w:val="en-US"/>
        </w:rPr>
        <w:t xml:space="preserve">Dooling, Amy D. </w:t>
      </w:r>
      <w:r>
        <w:rPr>
          <w:rFonts w:hAnsi="Times New Roman" w:hint="default"/>
          <w:sz w:val="24"/>
          <w:szCs w:val="24"/>
          <w:rtl w:val="0"/>
          <w:lang w:val="en-US"/>
        </w:rPr>
        <w:t>“</w:t>
      </w:r>
      <w:r>
        <w:rPr>
          <w:rFonts w:ascii="Times New Roman"/>
          <w:sz w:val="24"/>
          <w:szCs w:val="24"/>
          <w:rtl w:val="0"/>
          <w:lang w:val="en-US"/>
        </w:rPr>
        <w:t>Women</w:t>
      </w:r>
      <w:r>
        <w:rPr>
          <w:rFonts w:hAnsi="Times New Roman" w:hint="default"/>
          <w:sz w:val="24"/>
          <w:szCs w:val="24"/>
          <w:rtl w:val="0"/>
          <w:lang w:val="en-US"/>
        </w:rPr>
        <w:t>’</w:t>
      </w:r>
      <w:r>
        <w:rPr>
          <w:rFonts w:ascii="Times New Roman"/>
          <w:sz w:val="24"/>
          <w:szCs w:val="24"/>
          <w:rtl w:val="0"/>
          <w:lang w:val="en-US"/>
        </w:rPr>
        <w:t>s Literary Feminism in Twentieth-Century China</w:t>
      </w:r>
      <w:r>
        <w:rPr>
          <w:rFonts w:hAnsi="Times New Roman" w:hint="default"/>
          <w:sz w:val="24"/>
          <w:szCs w:val="24"/>
          <w:rtl w:val="0"/>
          <w:lang w:val="en-US"/>
        </w:rPr>
        <w:t>”</w:t>
      </w:r>
      <w:r>
        <w:rPr>
          <w:rFonts w:ascii="Times New Roman"/>
          <w:sz w:val="24"/>
          <w:szCs w:val="24"/>
          <w:rtl w:val="0"/>
          <w:lang w:val="en-US"/>
        </w:rPr>
        <w:t>.  Ed. 1, 2005, Palgrave Macmillan US.</w:t>
      </w:r>
    </w:p>
    <w:p>
      <w:pPr>
        <w:pStyle w:val="Body"/>
        <w:spacing w:line="288" w:lineRule="auto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spacing w:line="288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/>
          <w:sz w:val="24"/>
          <w:szCs w:val="24"/>
          <w:rtl w:val="0"/>
          <w:lang w:val="en-US"/>
        </w:rPr>
        <w:t>Dunch, Ryan. Fuzhou Protestants and the making of a modern China, 1857-1927. New Haven: Yale University Press, 2001</w:t>
      </w:r>
    </w:p>
    <w:p>
      <w:pPr>
        <w:pStyle w:val="Body"/>
        <w:spacing w:line="288" w:lineRule="auto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spacing w:line="288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/>
          <w:sz w:val="24"/>
          <w:szCs w:val="24"/>
          <w:rtl w:val="0"/>
          <w:lang w:val="en-US"/>
        </w:rPr>
        <w:t xml:space="preserve">Hamilton, Clarence H. </w:t>
      </w:r>
      <w:r>
        <w:rPr>
          <w:rFonts w:hAnsi="Times New Roman" w:hint="default"/>
          <w:sz w:val="24"/>
          <w:szCs w:val="24"/>
          <w:rtl w:val="0"/>
        </w:rPr>
        <w:t>“</w:t>
      </w:r>
      <w:r>
        <w:rPr>
          <w:rFonts w:ascii="Times New Roman"/>
          <w:sz w:val="24"/>
          <w:szCs w:val="24"/>
          <w:rtl w:val="0"/>
          <w:lang w:val="en-US"/>
        </w:rPr>
        <w:t>Religion and the New Culture Movement in China.</w:t>
      </w:r>
      <w:r>
        <w:rPr>
          <w:rFonts w:hAnsi="Times New Roman" w:hint="default"/>
          <w:sz w:val="24"/>
          <w:szCs w:val="24"/>
          <w:rtl w:val="0"/>
        </w:rPr>
        <w:t xml:space="preserve">” </w:t>
      </w:r>
      <w:r>
        <w:rPr>
          <w:rFonts w:ascii="Times New Roman"/>
          <w:sz w:val="24"/>
          <w:szCs w:val="24"/>
          <w:rtl w:val="0"/>
          <w:lang w:val="en-US"/>
        </w:rPr>
        <w:t>The Journal of Religion, vol. 1, no. 3, 1921, pp. 225</w:t>
      </w:r>
      <w:r>
        <w:rPr>
          <w:rFonts w:hAnsi="Times New Roman" w:hint="default"/>
          <w:sz w:val="24"/>
          <w:szCs w:val="24"/>
          <w:rtl w:val="0"/>
        </w:rPr>
        <w:t>–</w:t>
      </w:r>
      <w:r>
        <w:rPr>
          <w:rFonts w:ascii="Times New Roman"/>
          <w:sz w:val="24"/>
          <w:szCs w:val="24"/>
          <w:rtl w:val="0"/>
        </w:rPr>
        <w:t xml:space="preserve">232. JSTOR, JSTOR, </w:t>
      </w:r>
      <w:hyperlink r:id="rId4" w:history="1">
        <w:r>
          <w:rPr>
            <w:rStyle w:val="Hyperlink.0"/>
            <w:rFonts w:ascii="Times New Roman"/>
            <w:sz w:val="24"/>
            <w:szCs w:val="24"/>
            <w:rtl w:val="0"/>
            <w:lang w:val="en-US"/>
          </w:rPr>
          <w:t>www.jstor.org/stable/1195265</w:t>
        </w:r>
      </w:hyperlink>
      <w:r>
        <w:rPr>
          <w:rFonts w:ascii="Times New Roman"/>
          <w:sz w:val="24"/>
          <w:szCs w:val="24"/>
          <w:rtl w:val="0"/>
        </w:rPr>
        <w:t>.</w:t>
      </w:r>
    </w:p>
    <w:p>
      <w:pPr>
        <w:pStyle w:val="Body"/>
        <w:spacing w:line="288" w:lineRule="auto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spacing w:line="288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/>
          <w:sz w:val="24"/>
          <w:szCs w:val="24"/>
          <w:rtl w:val="0"/>
          <w:lang w:val="en-US"/>
        </w:rPr>
        <w:t>Leutner, Mechthild. The Chinese revolution in the 1920s: between triumph and disaster. London; New York: RoutledgeCurzon, 2002.</w:t>
      </w:r>
    </w:p>
    <w:p>
      <w:pPr>
        <w:pStyle w:val="Body"/>
        <w:spacing w:line="288" w:lineRule="auto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spacing w:line="288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/>
          <w:sz w:val="24"/>
          <w:szCs w:val="24"/>
          <w:rtl w:val="0"/>
          <w:lang w:val="en-US"/>
        </w:rPr>
        <w:t>Monsen, Marie. The Awakening: Revival in China, A Work of the Holy Spirit. Translated by Joy Guinness. 1961. Orig. 1959.</w:t>
      </w:r>
    </w:p>
    <w:p>
      <w:pPr>
        <w:pStyle w:val="Body"/>
        <w:spacing w:line="288" w:lineRule="auto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spacing w:line="288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/>
          <w:sz w:val="24"/>
          <w:szCs w:val="24"/>
          <w:rtl w:val="0"/>
          <w:lang w:val="en-US"/>
        </w:rPr>
        <w:t xml:space="preserve">Nedostup, Rebecca. Superstitious regimes: religon and the politics of Chinese modernity. Cambridge, Mass.: Harvard University Asia Centre: Distributed by Harvard University Press, 2009 </w:t>
      </w:r>
    </w:p>
    <w:p>
      <w:pPr>
        <w:pStyle w:val="Body"/>
        <w:spacing w:line="288" w:lineRule="auto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spacing w:line="288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ascii="Times New Roman"/>
          <w:sz w:val="24"/>
          <w:szCs w:val="24"/>
          <w:rtl w:val="0"/>
          <w:lang w:val="en-US"/>
        </w:rPr>
        <w:t>Wurmbrand, Richard. Tortured For Christ, New Ed. Hodder &amp; Stoughton, 2004</w:t>
      </w:r>
    </w:p>
    <w:p>
      <w:pPr>
        <w:pStyle w:val="Body"/>
        <w:spacing w:line="288" w:lineRule="auto"/>
      </w:pPr>
      <w:r>
        <w:rPr>
          <w:rFonts w:ascii="Times New Roman" w:cs="Times New Roman" w:hAnsi="Times New Roman" w:eastAsia="Times New Roman"/>
          <w:sz w:val="24"/>
          <w:szCs w:val="24"/>
        </w:rPr>
      </w:r>
    </w:p>
    <w:sectPr>
      <w:headerReference w:type="default" r:id="rId5"/>
      <w:footerReference w:type="default" r:id="rId6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pPr>
      <w:pStyle w:val="Header &amp; Footer"/>
      <w:tabs>
        <w:tab w:val="center" w:pos="4819"/>
        <w:tab w:val="right" w:pos="9638"/>
        <w:tab w:val="clear" w:pos="9020"/>
      </w:tabs>
      <w:jc w:val="left"/>
    </w:pPr>
    <w:r>
      <w:tab/>
    </w:r>
    <w:r>
      <w:rPr>
        <w:rtl w:val="0"/>
        <w:lang w:val="en-US"/>
      </w:rPr>
      <w:t xml:space="preserve">Bibliography </w:t>
    </w:r>
  </w:p>
</w:hdr>
</file>

<file path=word/settings.xml><?xml version="1.0" encoding="utf-8"?>
<w:settings xmlns:w="http://schemas.openxmlformats.org/wordprocessingml/2006/main">
  <w:view w:val="print"/>
  <w:mirrorMargins w:val="0"/>
  <w:bordersDoNotSurroundHeader w:val="0"/>
  <w:bordersDoNotSurroundFooter w:val="0"/>
  <w:revisionView w:markup="1" w:comments="1" w:insDel="1" w:formatting="0"/>
  <w:defaultTabStop w:val="720"/>
  <w:autoHyphenation w:val="0"/>
  <w:evenAndOddHeaders w:val="0"/>
  <w:bookFoldPrinting w:val="0"/>
  <w:noLineBreaksAfter w:lang="" w:val="‘“(〔[{〈《「『【⦅〘〖«〝︵︷︹︻︽︿﹁﹃﹇﹙﹛﹝｢"/>
  <w:noLineBreaksBefore w:lang="" w:val="’”)〕]}〉"/>
  <w:compat>
    <w:compatSetting w:name="compatibilityMode" w:uri="http://schemas.microsoft.com/office/word" w:val="15"/>
  </w:compat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Arial Unicode MS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vertAlign w:val="baseline"/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Arial Unicode MS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:lang w:val="en-US"/>
    </w:rPr>
  </w:style>
  <w:style w:type="character" w:styleId="Hyperlink.0">
    <w:name w:val="Hyperlink.0"/>
    <w:basedOn w:val="Hyperlink"/>
    <w:next w:val="Hyperlink.0"/>
    <w:rPr>
      <w:u w:val="single"/>
    </w:rPr>
  </w:style>
</w:style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yperlink" Target="http://www.jstor.org/stable/1195265" TargetMode="External"/><Relationship Id="rId5" Type="http://schemas.openxmlformats.org/officeDocument/2006/relationships/header" Target="header1.xml"/><Relationship Id="rId6" Type="http://schemas.openxmlformats.org/officeDocument/2006/relationships/footer" Target="footer1.xml"/><Relationship Id="rId7" Type="http://schemas.openxmlformats.org/officeDocument/2006/relationships/theme" Target="theme/theme1.xml"/></Relationships>

</file>

<file path=word/theme/_rels/theme1.xml.rels><?xml version="1.0" encoding="UTF-8" standalone="yes"?><Relationships xmlns="http://schemas.openxmlformats.org/package/2006/relationships"><Relationship Id="rId1" Type="http://schemas.openxmlformats.org/officeDocument/2006/relationships/image" Target="../media/image1.png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404040"/>
      </a:dk2>
      <a:lt2>
        <a:srgbClr val="BFBFBF"/>
      </a:lt2>
      <a:accent1>
        <a:srgbClr val="499BC9"/>
      </a:accent1>
      <a:accent2>
        <a:srgbClr val="6EC038"/>
      </a:accent2>
      <a:accent3>
        <a:srgbClr val="F1D130"/>
      </a:accent3>
      <a:accent4>
        <a:srgbClr val="FFA93A"/>
      </a:accent4>
      <a:accent5>
        <a:srgbClr val="FF2D21"/>
      </a:accent5>
      <a:accent6>
        <a:srgbClr val="6C2085"/>
      </a:accent6>
      <a:hlink>
        <a:srgbClr val="0000FF"/>
      </a:hlink>
      <a:folHlink>
        <a:srgbClr val="FF00FF"/>
      </a:folHlink>
    </a:clrScheme>
    <a:fontScheme name="Blank">
      <a:majorFont>
        <a:latin typeface="Helvetica"/>
        <a:ea typeface="Helvetica"/>
        <a:cs typeface="Helvetica"/>
      </a:majorFont>
      <a:minorFont>
        <a:latin typeface="Helvetica"/>
        <a:ea typeface="Helvetica"/>
        <a:cs typeface="Helvetic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40000" dist="20000" dir="5400000">
              <a:srgbClr val="000000">
                <a:alpha val="38000"/>
              </a:srgbClr>
            </a:outerShdw>
          </a:effectLst>
        </a:effectStyle>
        <a:effectStyle>
          <a:effectLst>
            <a:outerShdw sx="100000" sy="100000" kx="0" ky="0" algn="b" rotWithShape="0" blurRad="40000" dist="23000" dir="5400000">
              <a:srgbClr val="000000">
                <a:alpha val="35000"/>
              </a:srgbClr>
            </a:outerShdw>
          </a:effectLst>
        </a:effectStyle>
        <a:effectStyle>
          <a:effectLst>
            <a:outerShdw sx="100000" sy="100000" kx="0" ky="0" algn="b" rotWithShape="0" blurRad="40000" dist="23000" dir="5400000">
              <a:srgbClr val="000000">
                <a:alpha val="35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blipFill rotWithShape="1">
          <a:blip r:embed="rId1"/>
          <a:srcRect l="0" t="0" r="0" b="0"/>
          <a:tile tx="0" ty="0" sx="100000" sy="100000" flip="none" algn="tl"/>
        </a:blipFill>
        <a:ln w="12700" cap="flat">
          <a:noFill/>
          <a:miter lim="400000"/>
        </a:ln>
        <a:effectLst>
          <a:outerShdw sx="100000" sy="100000" kx="0" ky="0" algn="b" rotWithShape="0" blurRad="38100" dist="25400" dir="5400000">
            <a:srgbClr val="000000">
              <a:alpha val="50000"/>
            </a:srgbClr>
          </a:outerShdw>
        </a:effectLst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4572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>
              <a:outerShdw sx="100000" sy="100000" kx="0" ky="0" algn="b" rotWithShape="0" blurRad="25400" dist="23998" dir="2700000">
                <a:srgbClr val="000000">
                  <a:alpha val="31034"/>
                </a:srgbClr>
              </a:outerShdw>
            </a:effectLst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6350" cap="flat">
          <a:solidFill>
            <a:srgbClr val="000000"/>
          </a:solidFill>
          <a:prstDash val="solid"/>
          <a:miter lim="400000"/>
        </a:ln>
        <a:effectLst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