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77BCE" w14:textId="77777777" w:rsidR="00BF222E" w:rsidRPr="00BF222E" w:rsidRDefault="00BF222E" w:rsidP="00BF222E">
      <w:pPr>
        <w:rPr>
          <w:b/>
          <w:bCs/>
        </w:rPr>
      </w:pPr>
    </w:p>
    <w:p w14:paraId="272576BD" w14:textId="76F9455D" w:rsidR="00BF222E" w:rsidRPr="00BF222E" w:rsidRDefault="00BF222E" w:rsidP="00435CEE">
      <w:pPr>
        <w:spacing w:line="360" w:lineRule="auto"/>
        <w:jc w:val="center"/>
        <w:rPr>
          <w:rFonts w:ascii="Arial" w:hAnsi="Arial" w:cs="Arial"/>
          <w:b/>
          <w:bCs/>
          <w:sz w:val="22"/>
          <w:szCs w:val="22"/>
        </w:rPr>
      </w:pPr>
      <w:r w:rsidRPr="00BF222E">
        <w:rPr>
          <w:rFonts w:ascii="Arial" w:hAnsi="Arial" w:cs="Arial"/>
          <w:b/>
          <w:bCs/>
          <w:sz w:val="22"/>
          <w:szCs w:val="22"/>
        </w:rPr>
        <w:t xml:space="preserve">Module Title: </w:t>
      </w:r>
      <w:r w:rsidRPr="00435CEE">
        <w:rPr>
          <w:rFonts w:ascii="Arial" w:hAnsi="Arial" w:cs="Arial"/>
          <w:sz w:val="22"/>
          <w:szCs w:val="22"/>
        </w:rPr>
        <w:t>introduction to health and social care</w:t>
      </w:r>
      <w:r w:rsidRPr="00435CEE">
        <w:rPr>
          <w:rFonts w:ascii="Arial" w:hAnsi="Arial" w:cs="Arial"/>
          <w:b/>
          <w:bCs/>
          <w:sz w:val="22"/>
          <w:szCs w:val="22"/>
        </w:rPr>
        <w:t xml:space="preserve"> </w:t>
      </w:r>
    </w:p>
    <w:p w14:paraId="6348EF86" w14:textId="6C41C6F7" w:rsidR="00BF222E" w:rsidRPr="00BF222E" w:rsidRDefault="00BF222E" w:rsidP="00435CEE">
      <w:pPr>
        <w:spacing w:line="360" w:lineRule="auto"/>
        <w:jc w:val="center"/>
        <w:rPr>
          <w:rFonts w:ascii="Arial" w:hAnsi="Arial" w:cs="Arial"/>
          <w:b/>
          <w:bCs/>
          <w:sz w:val="22"/>
          <w:szCs w:val="22"/>
        </w:rPr>
      </w:pPr>
      <w:r w:rsidRPr="00BF222E">
        <w:rPr>
          <w:rFonts w:ascii="Arial" w:hAnsi="Arial" w:cs="Arial"/>
          <w:b/>
          <w:bCs/>
          <w:sz w:val="22"/>
          <w:szCs w:val="22"/>
        </w:rPr>
        <w:t>Module Number:</w:t>
      </w:r>
      <w:r w:rsidRPr="00BF222E">
        <w:rPr>
          <w:rFonts w:ascii="Arial" w:hAnsi="Arial" w:cs="Arial"/>
          <w:sz w:val="22"/>
          <w:szCs w:val="22"/>
        </w:rPr>
        <w:t xml:space="preserve"> LCHS400</w:t>
      </w:r>
      <w:r w:rsidR="00435CEE" w:rsidRPr="00435CEE">
        <w:rPr>
          <w:rFonts w:ascii="Arial" w:hAnsi="Arial" w:cs="Arial"/>
          <w:sz w:val="22"/>
          <w:szCs w:val="22"/>
        </w:rPr>
        <w:t>3</w:t>
      </w:r>
    </w:p>
    <w:p w14:paraId="0019D0BC" w14:textId="77777777" w:rsidR="00BF222E" w:rsidRPr="00BF222E" w:rsidRDefault="00BF222E" w:rsidP="00435CEE">
      <w:pPr>
        <w:spacing w:line="360" w:lineRule="auto"/>
        <w:jc w:val="center"/>
        <w:rPr>
          <w:rFonts w:ascii="Arial" w:hAnsi="Arial" w:cs="Arial"/>
          <w:b/>
          <w:bCs/>
          <w:sz w:val="22"/>
          <w:szCs w:val="22"/>
        </w:rPr>
      </w:pPr>
      <w:r w:rsidRPr="00BF222E">
        <w:rPr>
          <w:rFonts w:ascii="Arial" w:hAnsi="Arial" w:cs="Arial"/>
          <w:b/>
          <w:bCs/>
          <w:sz w:val="22"/>
          <w:szCs w:val="22"/>
        </w:rPr>
        <w:t xml:space="preserve">Student Name: </w:t>
      </w:r>
      <w:r w:rsidRPr="00BF222E">
        <w:rPr>
          <w:rFonts w:ascii="Arial" w:hAnsi="Arial" w:cs="Arial"/>
          <w:sz w:val="22"/>
          <w:szCs w:val="22"/>
        </w:rPr>
        <w:t>Ria O’Shaughnessy</w:t>
      </w:r>
    </w:p>
    <w:p w14:paraId="796962BB" w14:textId="77777777" w:rsidR="00BF222E" w:rsidRPr="00BF222E" w:rsidRDefault="00BF222E" w:rsidP="00435CEE">
      <w:pPr>
        <w:spacing w:line="360" w:lineRule="auto"/>
        <w:jc w:val="center"/>
        <w:rPr>
          <w:rFonts w:ascii="Arial" w:hAnsi="Arial" w:cs="Arial"/>
          <w:b/>
          <w:bCs/>
          <w:sz w:val="22"/>
          <w:szCs w:val="22"/>
        </w:rPr>
      </w:pPr>
      <w:r w:rsidRPr="00BF222E">
        <w:rPr>
          <w:rFonts w:ascii="Arial" w:hAnsi="Arial" w:cs="Arial"/>
          <w:b/>
          <w:bCs/>
          <w:sz w:val="22"/>
          <w:szCs w:val="22"/>
        </w:rPr>
        <w:t>Student ID:</w:t>
      </w:r>
      <w:r w:rsidRPr="00BF222E">
        <w:rPr>
          <w:rFonts w:ascii="Arial" w:hAnsi="Arial" w:cs="Arial"/>
          <w:sz w:val="22"/>
          <w:szCs w:val="22"/>
        </w:rPr>
        <w:t xml:space="preserve"> 2437847</w:t>
      </w:r>
    </w:p>
    <w:p w14:paraId="5AFDA71B" w14:textId="3093D457" w:rsidR="00BF222E" w:rsidRPr="00BF222E" w:rsidRDefault="00BF222E" w:rsidP="00435CEE">
      <w:pPr>
        <w:spacing w:line="360" w:lineRule="auto"/>
        <w:jc w:val="center"/>
        <w:rPr>
          <w:rFonts w:ascii="Arial" w:hAnsi="Arial" w:cs="Arial"/>
          <w:b/>
          <w:bCs/>
          <w:sz w:val="22"/>
          <w:szCs w:val="22"/>
        </w:rPr>
      </w:pPr>
      <w:r w:rsidRPr="00BF222E">
        <w:rPr>
          <w:rFonts w:ascii="Arial" w:hAnsi="Arial" w:cs="Arial"/>
          <w:b/>
          <w:bCs/>
          <w:sz w:val="22"/>
          <w:szCs w:val="22"/>
        </w:rPr>
        <w:t>Lecturer’s Name:</w:t>
      </w:r>
      <w:r w:rsidR="00435CEE" w:rsidRPr="00435CEE">
        <w:rPr>
          <w:rFonts w:ascii="Arial" w:hAnsi="Arial" w:cs="Arial"/>
          <w:b/>
          <w:bCs/>
          <w:sz w:val="22"/>
          <w:szCs w:val="22"/>
        </w:rPr>
        <w:t xml:space="preserve"> </w:t>
      </w:r>
      <w:r w:rsidR="00435CEE" w:rsidRPr="00435CEE">
        <w:rPr>
          <w:rFonts w:ascii="Arial" w:hAnsi="Arial" w:cs="Arial"/>
          <w:sz w:val="22"/>
          <w:szCs w:val="22"/>
        </w:rPr>
        <w:t>Mrs peng Wu</w:t>
      </w:r>
      <w:r w:rsidR="00435CEE" w:rsidRPr="00435CEE">
        <w:rPr>
          <w:rFonts w:ascii="Arial" w:hAnsi="Arial" w:cs="Arial"/>
          <w:b/>
          <w:bCs/>
          <w:sz w:val="22"/>
          <w:szCs w:val="22"/>
        </w:rPr>
        <w:t xml:space="preserve"> </w:t>
      </w:r>
    </w:p>
    <w:p w14:paraId="2086EFD3" w14:textId="77777777" w:rsidR="00BF222E" w:rsidRPr="00435CEE" w:rsidRDefault="00BF222E" w:rsidP="00435CEE">
      <w:pPr>
        <w:spacing w:line="360" w:lineRule="auto"/>
        <w:rPr>
          <w:rFonts w:ascii="Arial" w:hAnsi="Arial" w:cs="Arial"/>
          <w:b/>
          <w:bCs/>
          <w:sz w:val="22"/>
          <w:szCs w:val="22"/>
        </w:rPr>
      </w:pPr>
    </w:p>
    <w:p w14:paraId="0862ED2A" w14:textId="77777777" w:rsidR="00BF222E" w:rsidRPr="00435CEE" w:rsidRDefault="00BF222E" w:rsidP="00435CEE">
      <w:pPr>
        <w:spacing w:line="360" w:lineRule="auto"/>
        <w:rPr>
          <w:rFonts w:ascii="Arial" w:hAnsi="Arial" w:cs="Arial"/>
          <w:b/>
          <w:bCs/>
          <w:sz w:val="22"/>
          <w:szCs w:val="22"/>
        </w:rPr>
      </w:pPr>
    </w:p>
    <w:p w14:paraId="3303E902" w14:textId="77777777" w:rsidR="00BF222E" w:rsidRPr="00435CEE" w:rsidRDefault="00BF222E" w:rsidP="00435CEE">
      <w:pPr>
        <w:spacing w:line="360" w:lineRule="auto"/>
        <w:rPr>
          <w:rFonts w:ascii="Arial" w:hAnsi="Arial" w:cs="Arial"/>
          <w:b/>
          <w:bCs/>
          <w:sz w:val="22"/>
          <w:szCs w:val="22"/>
        </w:rPr>
      </w:pPr>
    </w:p>
    <w:p w14:paraId="26AAB921" w14:textId="77777777" w:rsidR="00BF222E" w:rsidRPr="00435CEE" w:rsidRDefault="00BF222E" w:rsidP="00435CEE">
      <w:pPr>
        <w:spacing w:line="360" w:lineRule="auto"/>
        <w:rPr>
          <w:rFonts w:ascii="Arial" w:hAnsi="Arial" w:cs="Arial"/>
          <w:b/>
          <w:bCs/>
          <w:sz w:val="22"/>
          <w:szCs w:val="22"/>
        </w:rPr>
      </w:pPr>
    </w:p>
    <w:p w14:paraId="027C95A8" w14:textId="77777777" w:rsidR="00BF222E" w:rsidRPr="00435CEE" w:rsidRDefault="00BF222E" w:rsidP="00435CEE">
      <w:pPr>
        <w:spacing w:line="360" w:lineRule="auto"/>
        <w:rPr>
          <w:rFonts w:ascii="Arial" w:hAnsi="Arial" w:cs="Arial"/>
          <w:b/>
          <w:bCs/>
          <w:sz w:val="22"/>
          <w:szCs w:val="22"/>
        </w:rPr>
      </w:pPr>
    </w:p>
    <w:p w14:paraId="30B8211C" w14:textId="77777777" w:rsidR="00BF222E" w:rsidRPr="00435CEE" w:rsidRDefault="00BF222E" w:rsidP="00435CEE">
      <w:pPr>
        <w:spacing w:line="360" w:lineRule="auto"/>
        <w:rPr>
          <w:rFonts w:ascii="Arial" w:hAnsi="Arial" w:cs="Arial"/>
          <w:b/>
          <w:bCs/>
          <w:sz w:val="22"/>
          <w:szCs w:val="22"/>
        </w:rPr>
      </w:pPr>
    </w:p>
    <w:p w14:paraId="43D65FB8" w14:textId="77777777" w:rsidR="00BF222E" w:rsidRPr="00435CEE" w:rsidRDefault="00BF222E" w:rsidP="00435CEE">
      <w:pPr>
        <w:spacing w:line="360" w:lineRule="auto"/>
        <w:rPr>
          <w:rFonts w:ascii="Arial" w:hAnsi="Arial" w:cs="Arial"/>
          <w:b/>
          <w:bCs/>
          <w:sz w:val="22"/>
          <w:szCs w:val="22"/>
        </w:rPr>
      </w:pPr>
    </w:p>
    <w:p w14:paraId="5E764F32" w14:textId="77777777" w:rsidR="00BF222E" w:rsidRPr="00435CEE" w:rsidRDefault="00BF222E" w:rsidP="00435CEE">
      <w:pPr>
        <w:spacing w:line="360" w:lineRule="auto"/>
        <w:rPr>
          <w:rFonts w:ascii="Arial" w:hAnsi="Arial" w:cs="Arial"/>
          <w:b/>
          <w:bCs/>
          <w:sz w:val="22"/>
          <w:szCs w:val="22"/>
        </w:rPr>
      </w:pPr>
    </w:p>
    <w:p w14:paraId="6D1F1B5B" w14:textId="77777777" w:rsidR="00BF222E" w:rsidRPr="00435CEE" w:rsidRDefault="00BF222E" w:rsidP="00435CEE">
      <w:pPr>
        <w:spacing w:line="360" w:lineRule="auto"/>
        <w:rPr>
          <w:rFonts w:ascii="Arial" w:hAnsi="Arial" w:cs="Arial"/>
          <w:b/>
          <w:bCs/>
          <w:sz w:val="22"/>
          <w:szCs w:val="22"/>
        </w:rPr>
      </w:pPr>
    </w:p>
    <w:p w14:paraId="31514616" w14:textId="77777777" w:rsidR="00BF222E" w:rsidRPr="00435CEE" w:rsidRDefault="00BF222E" w:rsidP="00435CEE">
      <w:pPr>
        <w:spacing w:line="360" w:lineRule="auto"/>
        <w:rPr>
          <w:rFonts w:ascii="Arial" w:hAnsi="Arial" w:cs="Arial"/>
          <w:b/>
          <w:bCs/>
          <w:sz w:val="22"/>
          <w:szCs w:val="22"/>
        </w:rPr>
      </w:pPr>
    </w:p>
    <w:p w14:paraId="4A0038CD" w14:textId="77777777" w:rsidR="00BF222E" w:rsidRPr="00435CEE" w:rsidRDefault="00BF222E" w:rsidP="00435CEE">
      <w:pPr>
        <w:spacing w:line="360" w:lineRule="auto"/>
        <w:rPr>
          <w:rFonts w:ascii="Arial" w:hAnsi="Arial" w:cs="Arial"/>
          <w:b/>
          <w:bCs/>
          <w:sz w:val="22"/>
          <w:szCs w:val="22"/>
        </w:rPr>
      </w:pPr>
    </w:p>
    <w:p w14:paraId="7B0EC866" w14:textId="77777777" w:rsidR="00BF222E" w:rsidRPr="00435CEE" w:rsidRDefault="00BF222E" w:rsidP="00435CEE">
      <w:pPr>
        <w:spacing w:line="360" w:lineRule="auto"/>
        <w:rPr>
          <w:rFonts w:ascii="Arial" w:hAnsi="Arial" w:cs="Arial"/>
          <w:b/>
          <w:bCs/>
          <w:sz w:val="22"/>
          <w:szCs w:val="22"/>
        </w:rPr>
      </w:pPr>
    </w:p>
    <w:p w14:paraId="656DFA34" w14:textId="77777777" w:rsidR="00BF222E" w:rsidRPr="00435CEE" w:rsidRDefault="00BF222E" w:rsidP="00435CEE">
      <w:pPr>
        <w:spacing w:line="360" w:lineRule="auto"/>
        <w:rPr>
          <w:rFonts w:ascii="Arial" w:hAnsi="Arial" w:cs="Arial"/>
          <w:b/>
          <w:bCs/>
          <w:sz w:val="22"/>
          <w:szCs w:val="22"/>
        </w:rPr>
      </w:pPr>
    </w:p>
    <w:p w14:paraId="617DAC6F" w14:textId="77777777" w:rsidR="00BF222E" w:rsidRPr="00435CEE" w:rsidRDefault="00BF222E" w:rsidP="00435CEE">
      <w:pPr>
        <w:spacing w:line="360" w:lineRule="auto"/>
        <w:rPr>
          <w:rFonts w:ascii="Arial" w:hAnsi="Arial" w:cs="Arial"/>
          <w:b/>
          <w:bCs/>
          <w:sz w:val="22"/>
          <w:szCs w:val="22"/>
        </w:rPr>
      </w:pPr>
    </w:p>
    <w:p w14:paraId="7D2F710C" w14:textId="77777777" w:rsidR="00BF222E" w:rsidRPr="00435CEE" w:rsidRDefault="00BF222E" w:rsidP="00435CEE">
      <w:pPr>
        <w:spacing w:line="360" w:lineRule="auto"/>
        <w:rPr>
          <w:rFonts w:ascii="Arial" w:hAnsi="Arial" w:cs="Arial"/>
          <w:b/>
          <w:bCs/>
          <w:sz w:val="22"/>
          <w:szCs w:val="22"/>
        </w:rPr>
      </w:pPr>
    </w:p>
    <w:p w14:paraId="401E4A94" w14:textId="77777777" w:rsidR="00BF222E" w:rsidRPr="00435CEE" w:rsidRDefault="00BF222E" w:rsidP="00435CEE">
      <w:pPr>
        <w:spacing w:line="360" w:lineRule="auto"/>
        <w:rPr>
          <w:rFonts w:ascii="Arial" w:hAnsi="Arial" w:cs="Arial"/>
          <w:b/>
          <w:bCs/>
          <w:sz w:val="22"/>
          <w:szCs w:val="22"/>
        </w:rPr>
      </w:pPr>
    </w:p>
    <w:p w14:paraId="14AACCF9" w14:textId="77777777" w:rsidR="00BF222E" w:rsidRPr="00435CEE" w:rsidRDefault="00BF222E" w:rsidP="00435CEE">
      <w:pPr>
        <w:spacing w:line="360" w:lineRule="auto"/>
        <w:rPr>
          <w:rFonts w:ascii="Arial" w:hAnsi="Arial" w:cs="Arial"/>
          <w:b/>
          <w:bCs/>
          <w:sz w:val="22"/>
          <w:szCs w:val="22"/>
        </w:rPr>
      </w:pPr>
    </w:p>
    <w:p w14:paraId="27A0FA2B" w14:textId="09B65DC5" w:rsidR="00BF222E" w:rsidRPr="00BF222E" w:rsidRDefault="00BF222E" w:rsidP="00435CEE">
      <w:pPr>
        <w:spacing w:line="360" w:lineRule="auto"/>
        <w:rPr>
          <w:rFonts w:ascii="Arial" w:hAnsi="Arial" w:cs="Arial"/>
          <w:sz w:val="22"/>
          <w:szCs w:val="22"/>
        </w:rPr>
      </w:pPr>
    </w:p>
    <w:p w14:paraId="5EBA1753" w14:textId="77777777" w:rsidR="00435CEE" w:rsidRDefault="00435CEE" w:rsidP="00435CEE">
      <w:pPr>
        <w:spacing w:line="360" w:lineRule="auto"/>
        <w:rPr>
          <w:rFonts w:ascii="Arial" w:hAnsi="Arial" w:cs="Arial"/>
          <w:b/>
          <w:bCs/>
          <w:sz w:val="22"/>
          <w:szCs w:val="22"/>
        </w:rPr>
      </w:pPr>
    </w:p>
    <w:p w14:paraId="2143CAF4" w14:textId="77777777" w:rsidR="00435CEE" w:rsidRDefault="00435CEE" w:rsidP="00435CEE">
      <w:pPr>
        <w:spacing w:line="360" w:lineRule="auto"/>
        <w:rPr>
          <w:rFonts w:ascii="Arial" w:hAnsi="Arial" w:cs="Arial"/>
          <w:b/>
          <w:bCs/>
          <w:sz w:val="22"/>
          <w:szCs w:val="22"/>
        </w:rPr>
      </w:pPr>
    </w:p>
    <w:p w14:paraId="65AA136B" w14:textId="241DAB5D" w:rsidR="00BF222E" w:rsidRPr="00BF222E" w:rsidRDefault="00BF222E" w:rsidP="00435CEE">
      <w:pPr>
        <w:spacing w:line="360" w:lineRule="auto"/>
        <w:rPr>
          <w:rFonts w:ascii="Arial" w:hAnsi="Arial" w:cs="Arial"/>
          <w:b/>
          <w:bCs/>
          <w:sz w:val="22"/>
          <w:szCs w:val="22"/>
        </w:rPr>
      </w:pPr>
      <w:r w:rsidRPr="00BF222E">
        <w:rPr>
          <w:rFonts w:ascii="Arial" w:hAnsi="Arial" w:cs="Arial"/>
          <w:b/>
          <w:bCs/>
          <w:sz w:val="22"/>
          <w:szCs w:val="22"/>
        </w:rPr>
        <w:lastRenderedPageBreak/>
        <w:t xml:space="preserve">Introduction </w:t>
      </w:r>
    </w:p>
    <w:p w14:paraId="48B7DADE"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The delivery of effective care within the UK health and social care sector depends heavily on clear communication, accurate record keeping and strong partnership working between professionals. These factors play a crucial role in supporting individuals with complex conditions, particularly older adults recovering from significant medical treatment. Mrs Mann, a 72-year-old woman who has recently returned home following hip replacement surgery, receives support from a domiciliary care team, her GP and a community physiotherapist. Her limited English and reliance on family interpretation bring additional challenges, particularly in ensuring she understands her care plan. Recent issues surrounding incomplete documentation and a missed update about her medication demonstrate how communication failures can compromise safety. This assignment examines the importance of communication, administrative skills and collaborative working in relation to Mrs Mann’s care, using legislation, theory and best practice guidance to explain how these elements contribute to safe, person-centred service delivery.</w:t>
      </w:r>
    </w:p>
    <w:p w14:paraId="4FD403BC" w14:textId="46A0522E" w:rsidR="00BF222E" w:rsidRPr="00BF222E" w:rsidRDefault="00BF222E" w:rsidP="00435CEE">
      <w:pPr>
        <w:spacing w:line="360" w:lineRule="auto"/>
        <w:rPr>
          <w:rFonts w:ascii="Arial" w:hAnsi="Arial" w:cs="Arial"/>
          <w:b/>
          <w:bCs/>
          <w:sz w:val="22"/>
          <w:szCs w:val="22"/>
        </w:rPr>
      </w:pPr>
      <w:r w:rsidRPr="00BF222E">
        <w:rPr>
          <w:rFonts w:ascii="Arial" w:hAnsi="Arial" w:cs="Arial"/>
          <w:b/>
          <w:bCs/>
          <w:sz w:val="22"/>
          <w:szCs w:val="22"/>
        </w:rPr>
        <w:t xml:space="preserve">Effective Communication in Mrs Mann’s Care </w:t>
      </w:r>
    </w:p>
    <w:p w14:paraId="13A01A97"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Communication underpins all aspects of health and social care practice and is essential for ensuring that service users feel respected, informed and involved in decisions about their support. For Mrs Mann, effective communication is particularly important because she speaks limited English, which increases the risk of misunderstandings if staff do not adapt their approach. Research suggests that communication barriers can lead to reduced engagement, increased anxiety and poorer health outcomes (Hargie, 2021). When communication is unclear, individuals may struggle to follow medical advice or understand changes to their care, placing them at risk of harm.</w:t>
      </w:r>
    </w:p>
    <w:p w14:paraId="0028DDCA"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The Equality Act 2010 requires organisations to take reasonable steps to ensure that individuals do not face disadvantage due to characteristics such as age, ethnicity or disability. In practical terms, this means the care team must adapt how they communicate with Mrs Mann. Examples include using simple language, speaking slowly, checking understanding frequently and providing written information in Urdu. Visual aids, gestures and demonstrations may also help Mrs Mann to follow instructions, particularly regarding mobility techniques or physiotherapy exercises. SCIE (2020) highlights that communication should always be tailored to the individual’s needs and reviewed regularly to ensure it remains effective.</w:t>
      </w:r>
    </w:p>
    <w:p w14:paraId="3AD13413"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A useful framework for supporting communication in this context is Tuckman’s Model of Group Communication (1965</w:t>
      </w:r>
      <w:r w:rsidRPr="00BF222E">
        <w:rPr>
          <w:rFonts w:ascii="Arial" w:hAnsi="Arial" w:cs="Arial"/>
          <w:b/>
          <w:bCs/>
          <w:sz w:val="22"/>
          <w:szCs w:val="22"/>
        </w:rPr>
        <w:t>)</w:t>
      </w:r>
      <w:r w:rsidRPr="00BF222E">
        <w:rPr>
          <w:rFonts w:ascii="Arial" w:hAnsi="Arial" w:cs="Arial"/>
          <w:sz w:val="22"/>
          <w:szCs w:val="22"/>
        </w:rPr>
        <w:t xml:space="preserve">, which explains how people move through stages such as forming, norming and performing when building relationships. Although originally developed </w:t>
      </w:r>
      <w:r w:rsidRPr="00BF222E">
        <w:rPr>
          <w:rFonts w:ascii="Arial" w:hAnsi="Arial" w:cs="Arial"/>
          <w:sz w:val="22"/>
          <w:szCs w:val="22"/>
        </w:rPr>
        <w:lastRenderedPageBreak/>
        <w:t>for group dynamics, this model can help staff recognise the importance of building rapport and trust with Mrs Mann. Establishing a positive relationship encourages her to express her concerns, ask questions and engage more confidently in her rehabilitation.</w:t>
      </w:r>
    </w:p>
    <w:p w14:paraId="06C77E65"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Although Mrs Mann’s daughter helps with translation, relying solely on family members is not always appropriate. The NHS Accessible Information Standard (2016) advises that professional interpreters should be used when discussing medical decisions, consent or medication changes. Family members may unintentionally misinterpret information, embed personal opinions or feel uncomfortable translating sensitive details. Using a registered interpreter protects confidentiality and ensures accuracy (Bowen, 2020).</w:t>
      </w:r>
    </w:p>
    <w:p w14:paraId="3359A6C2" w14:textId="5D0C24FB"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Effective communication is also essential for maintaining accurate and consistent information across the wider team. Care workers must report any changes in Mrs Mann’s condition promptly and record these clearly so that her GP and physiotherapist can make informed decisions. Good communication therefore improves safety, promotes person-centred care and strengthens Mrs Mann’s involvement in her recovery.</w:t>
      </w:r>
    </w:p>
    <w:p w14:paraId="115F366C" w14:textId="76E57F93" w:rsidR="00BF222E" w:rsidRPr="00BF222E" w:rsidRDefault="00BF222E" w:rsidP="00435CEE">
      <w:pPr>
        <w:spacing w:line="360" w:lineRule="auto"/>
        <w:rPr>
          <w:rFonts w:ascii="Arial" w:hAnsi="Arial" w:cs="Arial"/>
          <w:b/>
          <w:bCs/>
          <w:sz w:val="22"/>
          <w:szCs w:val="22"/>
        </w:rPr>
      </w:pPr>
      <w:r w:rsidRPr="00BF222E">
        <w:rPr>
          <w:rFonts w:ascii="Arial" w:hAnsi="Arial" w:cs="Arial"/>
          <w:b/>
          <w:bCs/>
          <w:sz w:val="22"/>
          <w:szCs w:val="22"/>
        </w:rPr>
        <w:t xml:space="preserve">Administrative Skills and Record Keeping </w:t>
      </w:r>
    </w:p>
    <w:p w14:paraId="0CB78DD3"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Administrative competence plays a major role in ensuring good-quality care. Record keeping is not only a professional requirement but also a legal and ethical responsibility. In Mrs Mann’s case, inconsistencies in her care records contributed to a delay in updating her medication, highlighting how poor administration can have direct consequences for safety and well-being. According to Skills for Care (2022), records should be factual, concise, dated, signed and completed immediately after care is delivered. This ensures that all professionals have access to accurate and up-to-date information.</w:t>
      </w:r>
    </w:p>
    <w:p w14:paraId="78C8A127"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Good record keeping also helps identify patterns or concerns that may otherwise be overlooked. For example, if Mrs Mann’s mobility worsens or her pain increases, clear documentation enables the physiotherapist and GP to take timely action. Administrative tasks may seem routine, but they form the foundation of effective care planning and decision-making (Fisher, 2020).</w:t>
      </w:r>
    </w:p>
    <w:p w14:paraId="43DB5CA3" w14:textId="48587583"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The handling of Mrs Mann’s personal information is governed by the Data Protection Act 2018 and the UK GDPR, which regulate how data is collected, stored and shared. These laws require organisations to protect confidentiality, ensure accuracy and only share information when necessary. Mrs Mann’s records must therefore be stored securely</w:t>
      </w:r>
      <w:r w:rsidR="00435CEE">
        <w:rPr>
          <w:rFonts w:ascii="Arial" w:hAnsi="Arial" w:cs="Arial"/>
          <w:sz w:val="22"/>
          <w:szCs w:val="22"/>
        </w:rPr>
        <w:t xml:space="preserve"> </w:t>
      </w:r>
      <w:r w:rsidRPr="00BF222E">
        <w:rPr>
          <w:rFonts w:ascii="Arial" w:hAnsi="Arial" w:cs="Arial"/>
          <w:sz w:val="22"/>
          <w:szCs w:val="22"/>
        </w:rPr>
        <w:t>whether electronically or in paper form</w:t>
      </w:r>
      <w:r w:rsidR="00435CEE">
        <w:rPr>
          <w:rFonts w:ascii="Arial" w:hAnsi="Arial" w:cs="Arial"/>
          <w:sz w:val="22"/>
          <w:szCs w:val="22"/>
        </w:rPr>
        <w:t xml:space="preserve"> </w:t>
      </w:r>
      <w:r w:rsidRPr="00BF222E">
        <w:rPr>
          <w:rFonts w:ascii="Arial" w:hAnsi="Arial" w:cs="Arial"/>
          <w:sz w:val="22"/>
          <w:szCs w:val="22"/>
        </w:rPr>
        <w:t>and only accessible to authorised staff. The Care Quality Commission (2021) emphasises that data breaches or careless handling of records can undermine trust and cause significant distress to service users.</w:t>
      </w:r>
    </w:p>
    <w:p w14:paraId="517DC2A3"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lastRenderedPageBreak/>
        <w:t>Administrative skills also include accurately reporting incidents, following handover procedures and managing time effectively. The inconsistency that led to Mrs Mann’s delayed medication review should be reported according to organisational policy, investigated and used to improve practice. The Cavendish Review (2013) highlighted that many support workers receive limited training in documentation, which increases the likelihood of mistakes. Regular supervision and training can help staff understand the importance of good administrative practice and maintain high standards.</w:t>
      </w:r>
    </w:p>
    <w:p w14:paraId="155F8220" w14:textId="2F1AB878"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Accurate, well-kept records also support effective communication between professionals. Mrs Mann’s physiotherapist, GP and care workers rely on clear documentation to make informed decisions about her progress and rehabilitation plan. Poor record keeping can lead to duplicated work, miscommunication and avoidable delays (Thomas, 2019). High-quality administrative practice therefore plays a vital role in ensuring that Mrs Mann’s care is safe, consistent and responsive to her changing needs.</w:t>
      </w:r>
    </w:p>
    <w:p w14:paraId="0C0FD50D" w14:textId="0D85D075" w:rsidR="00BF222E" w:rsidRPr="00BF222E" w:rsidRDefault="00BF222E" w:rsidP="00435CEE">
      <w:pPr>
        <w:spacing w:line="360" w:lineRule="auto"/>
        <w:rPr>
          <w:rFonts w:ascii="Arial" w:hAnsi="Arial" w:cs="Arial"/>
          <w:b/>
          <w:bCs/>
          <w:sz w:val="22"/>
          <w:szCs w:val="22"/>
        </w:rPr>
      </w:pPr>
      <w:r w:rsidRPr="00BF222E">
        <w:rPr>
          <w:rFonts w:ascii="Arial" w:hAnsi="Arial" w:cs="Arial"/>
          <w:b/>
          <w:bCs/>
          <w:sz w:val="22"/>
          <w:szCs w:val="22"/>
        </w:rPr>
        <w:t xml:space="preserve">Collaborative Working in Mrs Mann’s Care </w:t>
      </w:r>
    </w:p>
    <w:p w14:paraId="566D1BE1"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Collaborative working is essential for individuals who receive support from several professionals, as it ensures that care is coordinated and holistic. Mrs Mann’s recovery involves daily input from care workers, observations from her physiotherapist and medical oversight from her GP. If these professionals work in isolation or fail to share key information, important details may be missed. Research shows that effective multi-agency working improves outcomes, reduces delays and prevents fragmented care (Glasby &amp; Dickinson, 2020).</w:t>
      </w:r>
    </w:p>
    <w:p w14:paraId="32D35D82"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 xml:space="preserve">However, collaboration is often challenging. Different professionals may have varying priorities, communication styles or workloads. Language barriers can also make it more difficult for Mrs Mann to express herself, meaning she relies on professionals sharing accurate updates on her behalf. </w:t>
      </w:r>
      <w:proofErr w:type="spellStart"/>
      <w:r w:rsidRPr="00BF222E">
        <w:rPr>
          <w:rFonts w:ascii="Arial" w:hAnsi="Arial" w:cs="Arial"/>
          <w:sz w:val="22"/>
          <w:szCs w:val="22"/>
        </w:rPr>
        <w:t>Lymbery</w:t>
      </w:r>
      <w:proofErr w:type="spellEnd"/>
      <w:r w:rsidRPr="00BF222E">
        <w:rPr>
          <w:rFonts w:ascii="Arial" w:hAnsi="Arial" w:cs="Arial"/>
          <w:sz w:val="22"/>
          <w:szCs w:val="22"/>
        </w:rPr>
        <w:t xml:space="preserve"> (2021) argues that clearly defined roles, mutual respect and consistent communication are essential for overcoming these barriers.</w:t>
      </w:r>
    </w:p>
    <w:p w14:paraId="71B704BD"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Practical strategies to support collaboration include shared electronic records, structured handovers, regular meetings and agreed-upon communication pathways. The NHS Long Term Plan (2019) encourages integrated working across community, primary and specialist services to improve continuity of care. Using interpreters when necessary also ensures that Mrs Mann’s voice remains central to discussions about her health.</w:t>
      </w:r>
    </w:p>
    <w:p w14:paraId="153DAF90"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 xml:space="preserve">Partnership working must also comply with the Data Protection Act 2018. Professionals can only share information that is relevant to Mrs Mann’s care, and they must do so securely. </w:t>
      </w:r>
      <w:r w:rsidRPr="00BF222E">
        <w:rPr>
          <w:rFonts w:ascii="Arial" w:hAnsi="Arial" w:cs="Arial"/>
          <w:sz w:val="22"/>
          <w:szCs w:val="22"/>
        </w:rPr>
        <w:lastRenderedPageBreak/>
        <w:t>SCIE (2019) emphasises that safe information sharing helps prevent safeguarding risks and ensures that everyone has access to the same up-to-date facts.</w:t>
      </w:r>
    </w:p>
    <w:p w14:paraId="7A84E62D"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When collaboration is effective, Mrs Mann benefits from a smoother and more coordinated care experience. Her progress can be monitored closely, issues can be identified early and interventions can be planned more efficiently. Multi-agency working therefore plays an essential role in supporting Mrs Mann’s independence, safety and overall recovery.</w:t>
      </w:r>
    </w:p>
    <w:p w14:paraId="577F3565" w14:textId="2896D268" w:rsidR="00BF222E" w:rsidRPr="00BF222E" w:rsidRDefault="00BF222E" w:rsidP="00435CEE">
      <w:pPr>
        <w:spacing w:line="360" w:lineRule="auto"/>
        <w:rPr>
          <w:rFonts w:ascii="Arial" w:hAnsi="Arial" w:cs="Arial"/>
          <w:sz w:val="22"/>
          <w:szCs w:val="22"/>
        </w:rPr>
      </w:pPr>
    </w:p>
    <w:p w14:paraId="46305702" w14:textId="1170A58F" w:rsidR="00BF222E" w:rsidRPr="00BF222E" w:rsidRDefault="00BF222E" w:rsidP="00435CEE">
      <w:pPr>
        <w:spacing w:line="360" w:lineRule="auto"/>
        <w:rPr>
          <w:rFonts w:ascii="Arial" w:hAnsi="Arial" w:cs="Arial"/>
          <w:b/>
          <w:bCs/>
          <w:sz w:val="22"/>
          <w:szCs w:val="22"/>
        </w:rPr>
      </w:pPr>
      <w:r w:rsidRPr="00BF222E">
        <w:rPr>
          <w:rFonts w:ascii="Arial" w:hAnsi="Arial" w:cs="Arial"/>
          <w:b/>
          <w:bCs/>
          <w:sz w:val="22"/>
          <w:szCs w:val="22"/>
        </w:rPr>
        <w:t xml:space="preserve">Conclusion </w:t>
      </w:r>
    </w:p>
    <w:p w14:paraId="4786B01B" w14:textId="77777777" w:rsidR="00BF222E" w:rsidRPr="00BF222E" w:rsidRDefault="00BF222E" w:rsidP="00435CEE">
      <w:pPr>
        <w:spacing w:line="360" w:lineRule="auto"/>
        <w:rPr>
          <w:rFonts w:ascii="Arial" w:hAnsi="Arial" w:cs="Arial"/>
          <w:sz w:val="22"/>
          <w:szCs w:val="22"/>
        </w:rPr>
      </w:pPr>
      <w:r w:rsidRPr="00BF222E">
        <w:rPr>
          <w:rFonts w:ascii="Arial" w:hAnsi="Arial" w:cs="Arial"/>
          <w:sz w:val="22"/>
          <w:szCs w:val="22"/>
        </w:rPr>
        <w:t>Mrs Mann’s case demonstrates how communication, administrative skills and partnership working underpin safe and person-centred care within the UK health and social care sector. Her limited English means that staff must take additional steps to ensure information is accessible, accurate and culturally sensitive. Applying communication theory and using interpreters where appropriate helps reduce misunderstandings and supports her involvement in decisions about her care. Good administrative practice, guided by legislation such as the Data Protection Act 2018, ensures that her records are accurate, secure and shared appropriately. This is essential for preventing errors and supporting continuity. Effective collaborative working enables professionals to coordinate their efforts, respond promptly to concerns and provide holistic support. When these three elements come together, Mrs Mann receives safer, more reliable and more empowering care that promotes her well-being and independence throughout her recovery.</w:t>
      </w:r>
    </w:p>
    <w:p w14:paraId="151EE77C" w14:textId="619AC8AE" w:rsidR="00BF222E" w:rsidRPr="00BF222E" w:rsidRDefault="00BF222E" w:rsidP="00435CEE">
      <w:pPr>
        <w:spacing w:line="360" w:lineRule="auto"/>
        <w:rPr>
          <w:rFonts w:ascii="Arial" w:hAnsi="Arial" w:cs="Arial"/>
          <w:sz w:val="22"/>
          <w:szCs w:val="22"/>
        </w:rPr>
      </w:pPr>
    </w:p>
    <w:p w14:paraId="7901CF60" w14:textId="77777777" w:rsidR="00435CEE" w:rsidRDefault="00435CEE" w:rsidP="00435CEE">
      <w:pPr>
        <w:spacing w:line="360" w:lineRule="auto"/>
        <w:rPr>
          <w:rFonts w:ascii="Arial" w:hAnsi="Arial" w:cs="Arial"/>
          <w:b/>
          <w:bCs/>
          <w:sz w:val="22"/>
          <w:szCs w:val="22"/>
        </w:rPr>
      </w:pPr>
    </w:p>
    <w:p w14:paraId="4F82EB59" w14:textId="77777777" w:rsidR="00435CEE" w:rsidRDefault="00435CEE" w:rsidP="00435CEE">
      <w:pPr>
        <w:spacing w:line="360" w:lineRule="auto"/>
        <w:rPr>
          <w:rFonts w:ascii="Arial" w:hAnsi="Arial" w:cs="Arial"/>
          <w:b/>
          <w:bCs/>
          <w:sz w:val="22"/>
          <w:szCs w:val="22"/>
        </w:rPr>
      </w:pPr>
    </w:p>
    <w:p w14:paraId="409BC12F" w14:textId="77777777" w:rsidR="00435CEE" w:rsidRDefault="00435CEE" w:rsidP="00435CEE">
      <w:pPr>
        <w:spacing w:line="360" w:lineRule="auto"/>
        <w:rPr>
          <w:rFonts w:ascii="Arial" w:hAnsi="Arial" w:cs="Arial"/>
          <w:b/>
          <w:bCs/>
          <w:sz w:val="22"/>
          <w:szCs w:val="22"/>
        </w:rPr>
      </w:pPr>
    </w:p>
    <w:p w14:paraId="1A99503C" w14:textId="77777777" w:rsidR="00435CEE" w:rsidRDefault="00435CEE" w:rsidP="00435CEE">
      <w:pPr>
        <w:spacing w:line="360" w:lineRule="auto"/>
        <w:rPr>
          <w:rFonts w:ascii="Arial" w:hAnsi="Arial" w:cs="Arial"/>
          <w:b/>
          <w:bCs/>
          <w:sz w:val="22"/>
          <w:szCs w:val="22"/>
        </w:rPr>
      </w:pPr>
    </w:p>
    <w:p w14:paraId="70ECFB37" w14:textId="77777777" w:rsidR="00435CEE" w:rsidRDefault="00435CEE" w:rsidP="00435CEE">
      <w:pPr>
        <w:spacing w:line="360" w:lineRule="auto"/>
        <w:rPr>
          <w:rFonts w:ascii="Arial" w:hAnsi="Arial" w:cs="Arial"/>
          <w:b/>
          <w:bCs/>
          <w:sz w:val="22"/>
          <w:szCs w:val="22"/>
        </w:rPr>
      </w:pPr>
    </w:p>
    <w:p w14:paraId="79D31EAF" w14:textId="77777777" w:rsidR="00435CEE" w:rsidRDefault="00435CEE" w:rsidP="00435CEE">
      <w:pPr>
        <w:spacing w:line="360" w:lineRule="auto"/>
        <w:rPr>
          <w:rFonts w:ascii="Arial" w:hAnsi="Arial" w:cs="Arial"/>
          <w:b/>
          <w:bCs/>
          <w:sz w:val="22"/>
          <w:szCs w:val="22"/>
        </w:rPr>
      </w:pPr>
    </w:p>
    <w:p w14:paraId="31727F7C" w14:textId="77777777" w:rsidR="00435CEE" w:rsidRDefault="00435CEE" w:rsidP="00435CEE">
      <w:pPr>
        <w:spacing w:line="360" w:lineRule="auto"/>
        <w:rPr>
          <w:rFonts w:ascii="Arial" w:hAnsi="Arial" w:cs="Arial"/>
          <w:b/>
          <w:bCs/>
          <w:sz w:val="22"/>
          <w:szCs w:val="22"/>
        </w:rPr>
      </w:pPr>
    </w:p>
    <w:p w14:paraId="3BAAA23B" w14:textId="77777777" w:rsidR="00435CEE" w:rsidRDefault="00435CEE" w:rsidP="00435CEE">
      <w:pPr>
        <w:spacing w:line="360" w:lineRule="auto"/>
        <w:rPr>
          <w:rFonts w:ascii="Arial" w:hAnsi="Arial" w:cs="Arial"/>
          <w:b/>
          <w:bCs/>
          <w:sz w:val="22"/>
          <w:szCs w:val="22"/>
        </w:rPr>
      </w:pPr>
    </w:p>
    <w:p w14:paraId="7BD3EC7C" w14:textId="77777777" w:rsidR="00435CEE" w:rsidRDefault="00435CEE" w:rsidP="00435CEE">
      <w:pPr>
        <w:spacing w:line="360" w:lineRule="auto"/>
        <w:rPr>
          <w:rFonts w:ascii="Arial" w:hAnsi="Arial" w:cs="Arial"/>
          <w:b/>
          <w:bCs/>
          <w:sz w:val="22"/>
          <w:szCs w:val="22"/>
        </w:rPr>
      </w:pPr>
    </w:p>
    <w:p w14:paraId="5DA33432" w14:textId="1D12F87F" w:rsidR="00BF222E" w:rsidRPr="00BF222E" w:rsidRDefault="00BF222E" w:rsidP="00435CEE">
      <w:pPr>
        <w:spacing w:line="360" w:lineRule="auto"/>
        <w:rPr>
          <w:rFonts w:ascii="Arial" w:hAnsi="Arial" w:cs="Arial"/>
          <w:b/>
          <w:bCs/>
          <w:sz w:val="22"/>
          <w:szCs w:val="22"/>
        </w:rPr>
      </w:pPr>
      <w:r w:rsidRPr="00BF222E">
        <w:rPr>
          <w:rFonts w:ascii="Arial" w:hAnsi="Arial" w:cs="Arial"/>
          <w:b/>
          <w:bCs/>
          <w:sz w:val="22"/>
          <w:szCs w:val="22"/>
        </w:rPr>
        <w:lastRenderedPageBreak/>
        <w:t xml:space="preserve">Reference List </w:t>
      </w:r>
    </w:p>
    <w:p w14:paraId="4CC66D98" w14:textId="6D87DE55" w:rsidR="00784100" w:rsidRPr="00435CEE" w:rsidRDefault="003E2C07" w:rsidP="00435CEE">
      <w:pPr>
        <w:spacing w:line="360" w:lineRule="auto"/>
        <w:rPr>
          <w:rFonts w:ascii="Arial" w:hAnsi="Arial" w:cs="Arial"/>
          <w:sz w:val="22"/>
          <w:szCs w:val="22"/>
        </w:rPr>
      </w:pPr>
      <w:r w:rsidRPr="003E2C07">
        <w:rPr>
          <w:rFonts w:ascii="Arial" w:hAnsi="Arial" w:cs="Arial"/>
          <w:sz w:val="22"/>
          <w:szCs w:val="22"/>
        </w:rPr>
        <w:t xml:space="preserve">Bowen, S. (2020) </w:t>
      </w:r>
      <w:r w:rsidRPr="003E2C07">
        <w:rPr>
          <w:rFonts w:ascii="Arial" w:hAnsi="Arial" w:cs="Arial"/>
          <w:i/>
          <w:iCs/>
          <w:sz w:val="22"/>
          <w:szCs w:val="22"/>
        </w:rPr>
        <w:t>Language barriers in healthcare</w:t>
      </w:r>
      <w:r w:rsidRPr="003E2C07">
        <w:rPr>
          <w:rFonts w:ascii="Arial" w:hAnsi="Arial" w:cs="Arial"/>
          <w:sz w:val="22"/>
          <w:szCs w:val="22"/>
        </w:rPr>
        <w:t xml:space="preserve">. London: Routledge. (Accessed: </w:t>
      </w:r>
      <w:r w:rsidRPr="003E2C07">
        <w:rPr>
          <w:rFonts w:ascii="Arial" w:hAnsi="Arial" w:cs="Arial"/>
          <w:b/>
          <w:bCs/>
          <w:sz w:val="22"/>
          <w:szCs w:val="22"/>
        </w:rPr>
        <w:t>5 December 2025</w:t>
      </w:r>
      <w:r w:rsidRPr="003E2C07">
        <w:rPr>
          <w:rFonts w:ascii="Arial" w:hAnsi="Arial" w:cs="Arial"/>
          <w:sz w:val="22"/>
          <w:szCs w:val="22"/>
        </w:rPr>
        <w:t>).</w:t>
      </w:r>
      <w:r w:rsidRPr="003E2C07">
        <w:rPr>
          <w:rFonts w:ascii="Arial" w:hAnsi="Arial" w:cs="Arial"/>
          <w:sz w:val="22"/>
          <w:szCs w:val="22"/>
        </w:rPr>
        <w:br/>
        <w:t xml:space="preserve">Care Quality Commission (2021) </w:t>
      </w:r>
      <w:r w:rsidRPr="003E2C07">
        <w:rPr>
          <w:rFonts w:ascii="Arial" w:hAnsi="Arial" w:cs="Arial"/>
          <w:i/>
          <w:iCs/>
          <w:sz w:val="22"/>
          <w:szCs w:val="22"/>
        </w:rPr>
        <w:t>Managing patient information</w:t>
      </w:r>
      <w:r w:rsidRPr="003E2C07">
        <w:rPr>
          <w:rFonts w:ascii="Arial" w:hAnsi="Arial" w:cs="Arial"/>
          <w:sz w:val="22"/>
          <w:szCs w:val="22"/>
        </w:rPr>
        <w:t xml:space="preserve">. Available at: </w:t>
      </w:r>
      <w:hyperlink r:id="rId4" w:tgtFrame="_new" w:history="1">
        <w:r w:rsidRPr="003E2C07">
          <w:rPr>
            <w:rStyle w:val="Hyperlink"/>
            <w:rFonts w:ascii="Arial" w:hAnsi="Arial" w:cs="Arial"/>
            <w:sz w:val="22"/>
            <w:szCs w:val="22"/>
          </w:rPr>
          <w:t>https://www.cqc.org.uk/</w:t>
        </w:r>
      </w:hyperlink>
      <w:r w:rsidRPr="003E2C07">
        <w:rPr>
          <w:rFonts w:ascii="Arial" w:hAnsi="Arial" w:cs="Arial"/>
          <w:sz w:val="22"/>
          <w:szCs w:val="22"/>
        </w:rPr>
        <w:t xml:space="preserve"> (Accessed: </w:t>
      </w:r>
      <w:r w:rsidRPr="003E2C07">
        <w:rPr>
          <w:rFonts w:ascii="Arial" w:hAnsi="Arial" w:cs="Arial"/>
          <w:b/>
          <w:bCs/>
          <w:sz w:val="22"/>
          <w:szCs w:val="22"/>
        </w:rPr>
        <w:t>7 December 2025</w:t>
      </w:r>
      <w:r w:rsidRPr="003E2C07">
        <w:rPr>
          <w:rFonts w:ascii="Arial" w:hAnsi="Arial" w:cs="Arial"/>
          <w:sz w:val="22"/>
          <w:szCs w:val="22"/>
        </w:rPr>
        <w:t>).</w:t>
      </w:r>
      <w:r w:rsidRPr="003E2C07">
        <w:rPr>
          <w:rFonts w:ascii="Arial" w:hAnsi="Arial" w:cs="Arial"/>
          <w:sz w:val="22"/>
          <w:szCs w:val="22"/>
        </w:rPr>
        <w:br/>
        <w:t xml:space="preserve">Cavendish, C. (2013) </w:t>
      </w:r>
      <w:r w:rsidRPr="003E2C07">
        <w:rPr>
          <w:rFonts w:ascii="Arial" w:hAnsi="Arial" w:cs="Arial"/>
          <w:i/>
          <w:iCs/>
          <w:sz w:val="22"/>
          <w:szCs w:val="22"/>
        </w:rPr>
        <w:t>The Cavendish Review</w:t>
      </w:r>
      <w:r w:rsidRPr="003E2C07">
        <w:rPr>
          <w:rFonts w:ascii="Arial" w:hAnsi="Arial" w:cs="Arial"/>
          <w:sz w:val="22"/>
          <w:szCs w:val="22"/>
        </w:rPr>
        <w:t>. London: Department of Health.</w:t>
      </w:r>
      <w:r w:rsidRPr="003E2C07">
        <w:rPr>
          <w:rFonts w:ascii="Arial" w:hAnsi="Arial" w:cs="Arial"/>
          <w:sz w:val="22"/>
          <w:szCs w:val="22"/>
        </w:rPr>
        <w:br/>
        <w:t xml:space="preserve">Equality Act 2010. (2010) </w:t>
      </w:r>
      <w:r w:rsidRPr="003E2C07">
        <w:rPr>
          <w:rFonts w:ascii="Arial" w:hAnsi="Arial" w:cs="Arial"/>
          <w:i/>
          <w:iCs/>
          <w:sz w:val="22"/>
          <w:szCs w:val="22"/>
        </w:rPr>
        <w:t>UK Public General Acts</w:t>
      </w:r>
      <w:r w:rsidRPr="003E2C07">
        <w:rPr>
          <w:rFonts w:ascii="Arial" w:hAnsi="Arial" w:cs="Arial"/>
          <w:sz w:val="22"/>
          <w:szCs w:val="22"/>
        </w:rPr>
        <w:t>. London: HMSO.</w:t>
      </w:r>
      <w:r w:rsidRPr="003E2C07">
        <w:rPr>
          <w:rFonts w:ascii="Arial" w:hAnsi="Arial" w:cs="Arial"/>
          <w:sz w:val="22"/>
          <w:szCs w:val="22"/>
        </w:rPr>
        <w:br/>
        <w:t xml:space="preserve">Fisher, M. (2020) </w:t>
      </w:r>
      <w:r w:rsidRPr="003E2C07">
        <w:rPr>
          <w:rFonts w:ascii="Arial" w:hAnsi="Arial" w:cs="Arial"/>
          <w:i/>
          <w:iCs/>
          <w:sz w:val="22"/>
          <w:szCs w:val="22"/>
        </w:rPr>
        <w:t>Record Keeping in Social Care Practice</w:t>
      </w:r>
      <w:r w:rsidRPr="003E2C07">
        <w:rPr>
          <w:rFonts w:ascii="Arial" w:hAnsi="Arial" w:cs="Arial"/>
          <w:sz w:val="22"/>
          <w:szCs w:val="22"/>
        </w:rPr>
        <w:t xml:space="preserve">. London: Palgrave. (Accessed: </w:t>
      </w:r>
      <w:r w:rsidRPr="003E2C07">
        <w:rPr>
          <w:rFonts w:ascii="Arial" w:hAnsi="Arial" w:cs="Arial"/>
          <w:b/>
          <w:bCs/>
          <w:sz w:val="22"/>
          <w:szCs w:val="22"/>
        </w:rPr>
        <w:t>1 December 2025</w:t>
      </w:r>
      <w:r w:rsidRPr="003E2C07">
        <w:rPr>
          <w:rFonts w:ascii="Arial" w:hAnsi="Arial" w:cs="Arial"/>
          <w:sz w:val="22"/>
          <w:szCs w:val="22"/>
        </w:rPr>
        <w:t>).</w:t>
      </w:r>
      <w:r w:rsidRPr="003E2C07">
        <w:rPr>
          <w:rFonts w:ascii="Arial" w:hAnsi="Arial" w:cs="Arial"/>
          <w:sz w:val="22"/>
          <w:szCs w:val="22"/>
        </w:rPr>
        <w:br/>
        <w:t xml:space="preserve">Glasby, J. and Dickinson, H. (2020) </w:t>
      </w:r>
      <w:r w:rsidRPr="003E2C07">
        <w:rPr>
          <w:rFonts w:ascii="Arial" w:hAnsi="Arial" w:cs="Arial"/>
          <w:i/>
          <w:iCs/>
          <w:sz w:val="22"/>
          <w:szCs w:val="22"/>
        </w:rPr>
        <w:t>Partnership Working in Health and Social Care</w:t>
      </w:r>
      <w:r w:rsidRPr="003E2C07">
        <w:rPr>
          <w:rFonts w:ascii="Arial" w:hAnsi="Arial" w:cs="Arial"/>
          <w:sz w:val="22"/>
          <w:szCs w:val="22"/>
        </w:rPr>
        <w:t xml:space="preserve">. 4th </w:t>
      </w:r>
      <w:proofErr w:type="spellStart"/>
      <w:r w:rsidRPr="003E2C07">
        <w:rPr>
          <w:rFonts w:ascii="Arial" w:hAnsi="Arial" w:cs="Arial"/>
          <w:sz w:val="22"/>
          <w:szCs w:val="22"/>
        </w:rPr>
        <w:t>edn</w:t>
      </w:r>
      <w:proofErr w:type="spellEnd"/>
      <w:r w:rsidRPr="003E2C07">
        <w:rPr>
          <w:rFonts w:ascii="Arial" w:hAnsi="Arial" w:cs="Arial"/>
          <w:sz w:val="22"/>
          <w:szCs w:val="22"/>
        </w:rPr>
        <w:t xml:space="preserve">. Bristol: Policy Press. (Accessed: </w:t>
      </w:r>
      <w:r w:rsidRPr="003E2C07">
        <w:rPr>
          <w:rFonts w:ascii="Arial" w:hAnsi="Arial" w:cs="Arial"/>
          <w:b/>
          <w:bCs/>
          <w:sz w:val="22"/>
          <w:szCs w:val="22"/>
        </w:rPr>
        <w:t>30 November 2025</w:t>
      </w:r>
      <w:r w:rsidRPr="003E2C07">
        <w:rPr>
          <w:rFonts w:ascii="Arial" w:hAnsi="Arial" w:cs="Arial"/>
          <w:sz w:val="22"/>
          <w:szCs w:val="22"/>
        </w:rPr>
        <w:t>).</w:t>
      </w:r>
      <w:r w:rsidRPr="003E2C07">
        <w:rPr>
          <w:rFonts w:ascii="Arial" w:hAnsi="Arial" w:cs="Arial"/>
          <w:sz w:val="22"/>
          <w:szCs w:val="22"/>
        </w:rPr>
        <w:br/>
        <w:t xml:space="preserve">Hargie, O. (2021) </w:t>
      </w:r>
      <w:r w:rsidRPr="003E2C07">
        <w:rPr>
          <w:rFonts w:ascii="Arial" w:hAnsi="Arial" w:cs="Arial"/>
          <w:i/>
          <w:iCs/>
          <w:sz w:val="22"/>
          <w:szCs w:val="22"/>
        </w:rPr>
        <w:t>Skilled Interpersonal Communication</w:t>
      </w:r>
      <w:r w:rsidRPr="003E2C07">
        <w:rPr>
          <w:rFonts w:ascii="Arial" w:hAnsi="Arial" w:cs="Arial"/>
          <w:sz w:val="22"/>
          <w:szCs w:val="22"/>
        </w:rPr>
        <w:t xml:space="preserve">. 7th </w:t>
      </w:r>
      <w:proofErr w:type="spellStart"/>
      <w:r w:rsidRPr="003E2C07">
        <w:rPr>
          <w:rFonts w:ascii="Arial" w:hAnsi="Arial" w:cs="Arial"/>
          <w:sz w:val="22"/>
          <w:szCs w:val="22"/>
        </w:rPr>
        <w:t>edn</w:t>
      </w:r>
      <w:proofErr w:type="spellEnd"/>
      <w:r w:rsidRPr="003E2C07">
        <w:rPr>
          <w:rFonts w:ascii="Arial" w:hAnsi="Arial" w:cs="Arial"/>
          <w:sz w:val="22"/>
          <w:szCs w:val="22"/>
        </w:rPr>
        <w:t xml:space="preserve">. London: Routledge. (Accessed: </w:t>
      </w:r>
      <w:r w:rsidRPr="003E2C07">
        <w:rPr>
          <w:rFonts w:ascii="Arial" w:hAnsi="Arial" w:cs="Arial"/>
          <w:b/>
          <w:bCs/>
          <w:sz w:val="22"/>
          <w:szCs w:val="22"/>
        </w:rPr>
        <w:t>28 November 2025</w:t>
      </w:r>
      <w:r w:rsidRPr="003E2C07">
        <w:rPr>
          <w:rFonts w:ascii="Arial" w:hAnsi="Arial" w:cs="Arial"/>
          <w:sz w:val="22"/>
          <w:szCs w:val="22"/>
        </w:rPr>
        <w:t>).</w:t>
      </w:r>
      <w:r w:rsidRPr="003E2C07">
        <w:rPr>
          <w:rFonts w:ascii="Arial" w:hAnsi="Arial" w:cs="Arial"/>
          <w:sz w:val="22"/>
          <w:szCs w:val="22"/>
        </w:rPr>
        <w:br/>
      </w:r>
      <w:proofErr w:type="spellStart"/>
      <w:r w:rsidRPr="003E2C07">
        <w:rPr>
          <w:rFonts w:ascii="Arial" w:hAnsi="Arial" w:cs="Arial"/>
          <w:sz w:val="22"/>
          <w:szCs w:val="22"/>
        </w:rPr>
        <w:t>Lymbery</w:t>
      </w:r>
      <w:proofErr w:type="spellEnd"/>
      <w:r w:rsidRPr="003E2C07">
        <w:rPr>
          <w:rFonts w:ascii="Arial" w:hAnsi="Arial" w:cs="Arial"/>
          <w:sz w:val="22"/>
          <w:szCs w:val="22"/>
        </w:rPr>
        <w:t xml:space="preserve">, M. (2021) </w:t>
      </w:r>
      <w:r w:rsidRPr="003E2C07">
        <w:rPr>
          <w:rFonts w:ascii="Arial" w:hAnsi="Arial" w:cs="Arial"/>
          <w:i/>
          <w:iCs/>
          <w:sz w:val="22"/>
          <w:szCs w:val="22"/>
        </w:rPr>
        <w:t>Social Work with Older People</w:t>
      </w:r>
      <w:r w:rsidRPr="003E2C07">
        <w:rPr>
          <w:rFonts w:ascii="Arial" w:hAnsi="Arial" w:cs="Arial"/>
          <w:sz w:val="22"/>
          <w:szCs w:val="22"/>
        </w:rPr>
        <w:t xml:space="preserve">. Basingstoke: Palgrave. (Accessed: </w:t>
      </w:r>
      <w:r w:rsidRPr="003E2C07">
        <w:rPr>
          <w:rFonts w:ascii="Arial" w:hAnsi="Arial" w:cs="Arial"/>
          <w:b/>
          <w:bCs/>
          <w:sz w:val="22"/>
          <w:szCs w:val="22"/>
        </w:rPr>
        <w:t>6 December 2025</w:t>
      </w:r>
      <w:r w:rsidRPr="003E2C07">
        <w:rPr>
          <w:rFonts w:ascii="Arial" w:hAnsi="Arial" w:cs="Arial"/>
          <w:sz w:val="22"/>
          <w:szCs w:val="22"/>
        </w:rPr>
        <w:t>).</w:t>
      </w:r>
      <w:r w:rsidRPr="003E2C07">
        <w:rPr>
          <w:rFonts w:ascii="Arial" w:hAnsi="Arial" w:cs="Arial"/>
          <w:sz w:val="22"/>
          <w:szCs w:val="22"/>
        </w:rPr>
        <w:br/>
        <w:t xml:space="preserve">NHS England (2019) </w:t>
      </w:r>
      <w:r w:rsidRPr="003E2C07">
        <w:rPr>
          <w:rFonts w:ascii="Arial" w:hAnsi="Arial" w:cs="Arial"/>
          <w:i/>
          <w:iCs/>
          <w:sz w:val="22"/>
          <w:szCs w:val="22"/>
        </w:rPr>
        <w:t>The NHS Long Term Plan</w:t>
      </w:r>
      <w:r w:rsidRPr="003E2C07">
        <w:rPr>
          <w:rFonts w:ascii="Arial" w:hAnsi="Arial" w:cs="Arial"/>
          <w:sz w:val="22"/>
          <w:szCs w:val="22"/>
        </w:rPr>
        <w:t xml:space="preserve">. Available at: </w:t>
      </w:r>
      <w:hyperlink r:id="rId5" w:tgtFrame="_new" w:history="1">
        <w:r w:rsidRPr="003E2C07">
          <w:rPr>
            <w:rStyle w:val="Hyperlink"/>
            <w:rFonts w:ascii="Arial" w:hAnsi="Arial" w:cs="Arial"/>
            <w:sz w:val="22"/>
            <w:szCs w:val="22"/>
          </w:rPr>
          <w:t>https://www.england.nhs.uk/</w:t>
        </w:r>
      </w:hyperlink>
      <w:r w:rsidRPr="003E2C07">
        <w:rPr>
          <w:rFonts w:ascii="Arial" w:hAnsi="Arial" w:cs="Arial"/>
          <w:sz w:val="22"/>
          <w:szCs w:val="22"/>
        </w:rPr>
        <w:t xml:space="preserve"> (Accessed: </w:t>
      </w:r>
      <w:r w:rsidRPr="003E2C07">
        <w:rPr>
          <w:rFonts w:ascii="Arial" w:hAnsi="Arial" w:cs="Arial"/>
          <w:b/>
          <w:bCs/>
          <w:sz w:val="22"/>
          <w:szCs w:val="22"/>
        </w:rPr>
        <w:t>29 November 2025</w:t>
      </w:r>
      <w:r w:rsidRPr="003E2C07">
        <w:rPr>
          <w:rFonts w:ascii="Arial" w:hAnsi="Arial" w:cs="Arial"/>
          <w:sz w:val="22"/>
          <w:szCs w:val="22"/>
        </w:rPr>
        <w:t>).</w:t>
      </w:r>
      <w:r w:rsidRPr="003E2C07">
        <w:rPr>
          <w:rFonts w:ascii="Arial" w:hAnsi="Arial" w:cs="Arial"/>
          <w:sz w:val="22"/>
          <w:szCs w:val="22"/>
        </w:rPr>
        <w:br/>
        <w:t xml:space="preserve">NHS England (2016) </w:t>
      </w:r>
      <w:r w:rsidRPr="003E2C07">
        <w:rPr>
          <w:rFonts w:ascii="Arial" w:hAnsi="Arial" w:cs="Arial"/>
          <w:i/>
          <w:iCs/>
          <w:sz w:val="22"/>
          <w:szCs w:val="22"/>
        </w:rPr>
        <w:t>Accessible Information Standard</w:t>
      </w:r>
      <w:r w:rsidRPr="003E2C07">
        <w:rPr>
          <w:rFonts w:ascii="Arial" w:hAnsi="Arial" w:cs="Arial"/>
          <w:sz w:val="22"/>
          <w:szCs w:val="22"/>
        </w:rPr>
        <w:t xml:space="preserve">. Available at: </w:t>
      </w:r>
      <w:hyperlink r:id="rId6" w:tgtFrame="_new" w:history="1">
        <w:r w:rsidRPr="003E2C07">
          <w:rPr>
            <w:rStyle w:val="Hyperlink"/>
            <w:rFonts w:ascii="Arial" w:hAnsi="Arial" w:cs="Arial"/>
            <w:sz w:val="22"/>
            <w:szCs w:val="22"/>
          </w:rPr>
          <w:t>https://www.england.nhs.uk/</w:t>
        </w:r>
      </w:hyperlink>
      <w:r w:rsidRPr="003E2C07">
        <w:rPr>
          <w:rFonts w:ascii="Arial" w:hAnsi="Arial" w:cs="Arial"/>
          <w:sz w:val="22"/>
          <w:szCs w:val="22"/>
        </w:rPr>
        <w:t xml:space="preserve"> (Accessed: </w:t>
      </w:r>
      <w:r w:rsidRPr="003E2C07">
        <w:rPr>
          <w:rFonts w:ascii="Arial" w:hAnsi="Arial" w:cs="Arial"/>
          <w:b/>
          <w:bCs/>
          <w:sz w:val="22"/>
          <w:szCs w:val="22"/>
        </w:rPr>
        <w:t>3 December 2025</w:t>
      </w:r>
      <w:r w:rsidRPr="003E2C07">
        <w:rPr>
          <w:rFonts w:ascii="Arial" w:hAnsi="Arial" w:cs="Arial"/>
          <w:sz w:val="22"/>
          <w:szCs w:val="22"/>
        </w:rPr>
        <w:t>).</w:t>
      </w:r>
      <w:r w:rsidRPr="003E2C07">
        <w:rPr>
          <w:rFonts w:ascii="Arial" w:hAnsi="Arial" w:cs="Arial"/>
          <w:sz w:val="22"/>
          <w:szCs w:val="22"/>
        </w:rPr>
        <w:br/>
        <w:t xml:space="preserve">SCIE (2019) </w:t>
      </w:r>
      <w:r w:rsidRPr="003E2C07">
        <w:rPr>
          <w:rFonts w:ascii="Arial" w:hAnsi="Arial" w:cs="Arial"/>
          <w:i/>
          <w:iCs/>
          <w:sz w:val="22"/>
          <w:szCs w:val="22"/>
        </w:rPr>
        <w:t>Multi-agency working: Best practice guidelines</w:t>
      </w:r>
      <w:r w:rsidRPr="003E2C07">
        <w:rPr>
          <w:rFonts w:ascii="Arial" w:hAnsi="Arial" w:cs="Arial"/>
          <w:sz w:val="22"/>
          <w:szCs w:val="22"/>
        </w:rPr>
        <w:t xml:space="preserve">. London: SCIE. (Accessed: </w:t>
      </w:r>
      <w:r w:rsidRPr="003E2C07">
        <w:rPr>
          <w:rFonts w:ascii="Arial" w:hAnsi="Arial" w:cs="Arial"/>
          <w:b/>
          <w:bCs/>
          <w:sz w:val="22"/>
          <w:szCs w:val="22"/>
        </w:rPr>
        <w:t>8 December 2025</w:t>
      </w:r>
      <w:r w:rsidRPr="003E2C07">
        <w:rPr>
          <w:rFonts w:ascii="Arial" w:hAnsi="Arial" w:cs="Arial"/>
          <w:sz w:val="22"/>
          <w:szCs w:val="22"/>
        </w:rPr>
        <w:t>).</w:t>
      </w:r>
      <w:r w:rsidRPr="003E2C07">
        <w:rPr>
          <w:rFonts w:ascii="Arial" w:hAnsi="Arial" w:cs="Arial"/>
          <w:sz w:val="22"/>
          <w:szCs w:val="22"/>
        </w:rPr>
        <w:br/>
        <w:t xml:space="preserve">Skills for Care (2022) </w:t>
      </w:r>
      <w:r w:rsidRPr="003E2C07">
        <w:rPr>
          <w:rFonts w:ascii="Arial" w:hAnsi="Arial" w:cs="Arial"/>
          <w:i/>
          <w:iCs/>
          <w:sz w:val="22"/>
          <w:szCs w:val="22"/>
        </w:rPr>
        <w:t>Effective Record Keeping</w:t>
      </w:r>
      <w:r w:rsidRPr="003E2C07">
        <w:rPr>
          <w:rFonts w:ascii="Arial" w:hAnsi="Arial" w:cs="Arial"/>
          <w:sz w:val="22"/>
          <w:szCs w:val="22"/>
        </w:rPr>
        <w:t xml:space="preserve">. Leeds: Skills for Care. (Accessed: </w:t>
      </w:r>
      <w:r w:rsidRPr="003E2C07">
        <w:rPr>
          <w:rFonts w:ascii="Arial" w:hAnsi="Arial" w:cs="Arial"/>
          <w:b/>
          <w:bCs/>
          <w:sz w:val="22"/>
          <w:szCs w:val="22"/>
        </w:rPr>
        <w:t>4 December 2025</w:t>
      </w:r>
      <w:r w:rsidRPr="003E2C07">
        <w:rPr>
          <w:rFonts w:ascii="Arial" w:hAnsi="Arial" w:cs="Arial"/>
          <w:sz w:val="22"/>
          <w:szCs w:val="22"/>
        </w:rPr>
        <w:t>).</w:t>
      </w:r>
      <w:r w:rsidRPr="003E2C07">
        <w:rPr>
          <w:rFonts w:ascii="Arial" w:hAnsi="Arial" w:cs="Arial"/>
          <w:sz w:val="22"/>
          <w:szCs w:val="22"/>
        </w:rPr>
        <w:br/>
        <w:t xml:space="preserve">Thomas, R. (2019) </w:t>
      </w:r>
      <w:r w:rsidRPr="003E2C07">
        <w:rPr>
          <w:rFonts w:ascii="Arial" w:hAnsi="Arial" w:cs="Arial"/>
          <w:i/>
          <w:iCs/>
          <w:sz w:val="22"/>
          <w:szCs w:val="22"/>
        </w:rPr>
        <w:t>Professional Documentation in Care Settings</w:t>
      </w:r>
      <w:r w:rsidRPr="003E2C07">
        <w:rPr>
          <w:rFonts w:ascii="Arial" w:hAnsi="Arial" w:cs="Arial"/>
          <w:sz w:val="22"/>
          <w:szCs w:val="22"/>
        </w:rPr>
        <w:t xml:space="preserve">. London: Sage. (Accessed: </w:t>
      </w:r>
      <w:r w:rsidRPr="003E2C07">
        <w:rPr>
          <w:rFonts w:ascii="Arial" w:hAnsi="Arial" w:cs="Arial"/>
          <w:b/>
          <w:bCs/>
          <w:sz w:val="22"/>
          <w:szCs w:val="22"/>
        </w:rPr>
        <w:t>2 December 2025</w:t>
      </w:r>
      <w:r w:rsidRPr="003E2C07">
        <w:rPr>
          <w:rFonts w:ascii="Arial" w:hAnsi="Arial" w:cs="Arial"/>
          <w:sz w:val="22"/>
          <w:szCs w:val="22"/>
        </w:rPr>
        <w:t>)</w:t>
      </w:r>
    </w:p>
    <w:sectPr w:rsidR="00784100" w:rsidRPr="00435C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22E"/>
    <w:rsid w:val="002163BD"/>
    <w:rsid w:val="003E2C07"/>
    <w:rsid w:val="00435CEE"/>
    <w:rsid w:val="00784100"/>
    <w:rsid w:val="00AA47D4"/>
    <w:rsid w:val="00BF2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A26AA"/>
  <w15:chartTrackingRefBased/>
  <w15:docId w15:val="{880D92A9-72C9-4EE0-971C-72403BC6B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2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22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22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22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22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22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2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2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2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2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22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22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22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22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22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2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2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22E"/>
    <w:rPr>
      <w:rFonts w:eastAsiaTheme="majorEastAsia" w:cstheme="majorBidi"/>
      <w:color w:val="272727" w:themeColor="text1" w:themeTint="D8"/>
    </w:rPr>
  </w:style>
  <w:style w:type="paragraph" w:styleId="Title">
    <w:name w:val="Title"/>
    <w:basedOn w:val="Normal"/>
    <w:next w:val="Normal"/>
    <w:link w:val="TitleChar"/>
    <w:uiPriority w:val="10"/>
    <w:qFormat/>
    <w:rsid w:val="00BF22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2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2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2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22E"/>
    <w:pPr>
      <w:spacing w:before="160"/>
      <w:jc w:val="center"/>
    </w:pPr>
    <w:rPr>
      <w:i/>
      <w:iCs/>
      <w:color w:val="404040" w:themeColor="text1" w:themeTint="BF"/>
    </w:rPr>
  </w:style>
  <w:style w:type="character" w:customStyle="1" w:styleId="QuoteChar">
    <w:name w:val="Quote Char"/>
    <w:basedOn w:val="DefaultParagraphFont"/>
    <w:link w:val="Quote"/>
    <w:uiPriority w:val="29"/>
    <w:rsid w:val="00BF222E"/>
    <w:rPr>
      <w:i/>
      <w:iCs/>
      <w:color w:val="404040" w:themeColor="text1" w:themeTint="BF"/>
    </w:rPr>
  </w:style>
  <w:style w:type="paragraph" w:styleId="ListParagraph">
    <w:name w:val="List Paragraph"/>
    <w:basedOn w:val="Normal"/>
    <w:uiPriority w:val="34"/>
    <w:qFormat/>
    <w:rsid w:val="00BF222E"/>
    <w:pPr>
      <w:ind w:left="720"/>
      <w:contextualSpacing/>
    </w:pPr>
  </w:style>
  <w:style w:type="character" w:styleId="IntenseEmphasis">
    <w:name w:val="Intense Emphasis"/>
    <w:basedOn w:val="DefaultParagraphFont"/>
    <w:uiPriority w:val="21"/>
    <w:qFormat/>
    <w:rsid w:val="00BF222E"/>
    <w:rPr>
      <w:i/>
      <w:iCs/>
      <w:color w:val="0F4761" w:themeColor="accent1" w:themeShade="BF"/>
    </w:rPr>
  </w:style>
  <w:style w:type="paragraph" w:styleId="IntenseQuote">
    <w:name w:val="Intense Quote"/>
    <w:basedOn w:val="Normal"/>
    <w:next w:val="Normal"/>
    <w:link w:val="IntenseQuoteChar"/>
    <w:uiPriority w:val="30"/>
    <w:qFormat/>
    <w:rsid w:val="00BF22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222E"/>
    <w:rPr>
      <w:i/>
      <w:iCs/>
      <w:color w:val="0F4761" w:themeColor="accent1" w:themeShade="BF"/>
    </w:rPr>
  </w:style>
  <w:style w:type="character" w:styleId="IntenseReference">
    <w:name w:val="Intense Reference"/>
    <w:basedOn w:val="DefaultParagraphFont"/>
    <w:uiPriority w:val="32"/>
    <w:qFormat/>
    <w:rsid w:val="00BF222E"/>
    <w:rPr>
      <w:b/>
      <w:bCs/>
      <w:smallCaps/>
      <w:color w:val="0F4761" w:themeColor="accent1" w:themeShade="BF"/>
      <w:spacing w:val="5"/>
    </w:rPr>
  </w:style>
  <w:style w:type="character" w:styleId="Hyperlink">
    <w:name w:val="Hyperlink"/>
    <w:basedOn w:val="DefaultParagraphFont"/>
    <w:uiPriority w:val="99"/>
    <w:unhideWhenUsed/>
    <w:rsid w:val="00BF222E"/>
    <w:rPr>
      <w:color w:val="467886" w:themeColor="hyperlink"/>
      <w:u w:val="single"/>
    </w:rPr>
  </w:style>
  <w:style w:type="character" w:styleId="UnresolvedMention">
    <w:name w:val="Unresolved Mention"/>
    <w:basedOn w:val="DefaultParagraphFont"/>
    <w:uiPriority w:val="99"/>
    <w:semiHidden/>
    <w:unhideWhenUsed/>
    <w:rsid w:val="00BF22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 TargetMode="External"/><Relationship Id="rId5" Type="http://schemas.openxmlformats.org/officeDocument/2006/relationships/hyperlink" Target="https://www.england.nhs.uk/" TargetMode="External"/><Relationship Id="rId4" Type="http://schemas.openxmlformats.org/officeDocument/2006/relationships/hyperlink" Target="https://www.cq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1721</Words>
  <Characters>9812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Judge</dc:creator>
  <cp:keywords/>
  <dc:description/>
  <cp:lastModifiedBy>Sabrina Judge</cp:lastModifiedBy>
  <cp:revision>2</cp:revision>
  <dcterms:created xsi:type="dcterms:W3CDTF">2025-12-04T23:52:00Z</dcterms:created>
  <dcterms:modified xsi:type="dcterms:W3CDTF">2025-12-04T23:52:00Z</dcterms:modified>
</cp:coreProperties>
</file>