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F27841" w:rsidRDefault="00F27841">
      <w:pPr>
        <w:spacing w:line="360" w:lineRule="auto"/>
        <w:rPr>
          <w:b/>
          <w:u w:val="single"/>
        </w:rPr>
      </w:pPr>
    </w:p>
    <w:p w14:paraId="00000002" w14:textId="77777777" w:rsidR="00F27841" w:rsidRDefault="00F27841">
      <w:pPr>
        <w:spacing w:line="360" w:lineRule="auto"/>
        <w:rPr>
          <w:highlight w:val="red"/>
        </w:rPr>
      </w:pPr>
    </w:p>
    <w:p w14:paraId="00000003" w14:textId="77777777" w:rsidR="00F27841" w:rsidRDefault="00F27841">
      <w:pPr>
        <w:spacing w:line="360" w:lineRule="auto"/>
        <w:rPr>
          <w:highlight w:val="red"/>
        </w:rPr>
      </w:pPr>
    </w:p>
    <w:p w14:paraId="00000004" w14:textId="77777777" w:rsidR="00F27841" w:rsidRDefault="00F27841">
      <w:pPr>
        <w:spacing w:line="360" w:lineRule="auto"/>
        <w:rPr>
          <w:highlight w:val="red"/>
        </w:rPr>
      </w:pPr>
    </w:p>
    <w:p w14:paraId="00000005" w14:textId="77777777" w:rsidR="00F27841" w:rsidRDefault="00A65E98">
      <w:pPr>
        <w:jc w:val="center"/>
        <w:rPr>
          <w:b/>
          <w:sz w:val="24"/>
          <w:szCs w:val="24"/>
          <w:highlight w:val="white"/>
        </w:rPr>
      </w:pPr>
      <w:r>
        <w:rPr>
          <w:sz w:val="48"/>
          <w:szCs w:val="48"/>
        </w:rPr>
        <w:t xml:space="preserve">Therapeutic benefits of climbing for clients who identify as neurodivergent  </w:t>
      </w:r>
    </w:p>
    <w:p w14:paraId="00000006" w14:textId="77777777" w:rsidR="00F27841" w:rsidRDefault="00F27841">
      <w:pPr>
        <w:widowControl w:val="0"/>
        <w:spacing w:line="360" w:lineRule="auto"/>
        <w:rPr>
          <w:b/>
          <w:sz w:val="24"/>
          <w:szCs w:val="24"/>
          <w:highlight w:val="white"/>
        </w:rPr>
      </w:pPr>
    </w:p>
    <w:p w14:paraId="00000007" w14:textId="77777777" w:rsidR="00F27841" w:rsidRDefault="00A65E98">
      <w:pPr>
        <w:jc w:val="center"/>
        <w:rPr>
          <w:sz w:val="36"/>
          <w:szCs w:val="36"/>
        </w:rPr>
      </w:pPr>
      <w:proofErr w:type="gramStart"/>
      <w:r>
        <w:rPr>
          <w:sz w:val="36"/>
          <w:szCs w:val="36"/>
        </w:rPr>
        <w:t>Module :</w:t>
      </w:r>
      <w:proofErr w:type="gramEnd"/>
      <w:r>
        <w:rPr>
          <w:sz w:val="36"/>
          <w:szCs w:val="36"/>
        </w:rPr>
        <w:t xml:space="preserve"> TS4S031</w:t>
      </w:r>
    </w:p>
    <w:p w14:paraId="00000008" w14:textId="77777777" w:rsidR="00F27841" w:rsidRDefault="00F27841">
      <w:pPr>
        <w:jc w:val="center"/>
        <w:rPr>
          <w:sz w:val="36"/>
          <w:szCs w:val="36"/>
        </w:rPr>
      </w:pPr>
    </w:p>
    <w:p w14:paraId="00000009" w14:textId="77777777" w:rsidR="00F27841" w:rsidRDefault="00A65E98">
      <w:pPr>
        <w:jc w:val="center"/>
        <w:rPr>
          <w:sz w:val="36"/>
          <w:szCs w:val="36"/>
        </w:rPr>
      </w:pPr>
      <w:r>
        <w:rPr>
          <w:sz w:val="36"/>
          <w:szCs w:val="36"/>
        </w:rPr>
        <w:t xml:space="preserve">Student </w:t>
      </w:r>
      <w:proofErr w:type="gramStart"/>
      <w:r>
        <w:rPr>
          <w:sz w:val="36"/>
          <w:szCs w:val="36"/>
        </w:rPr>
        <w:t>number :</w:t>
      </w:r>
      <w:proofErr w:type="gramEnd"/>
      <w:r>
        <w:rPr>
          <w:sz w:val="36"/>
          <w:szCs w:val="36"/>
        </w:rPr>
        <w:t xml:space="preserve"> 30103508</w:t>
      </w:r>
    </w:p>
    <w:p w14:paraId="0000000A" w14:textId="77777777" w:rsidR="00F27841" w:rsidRDefault="00F27841">
      <w:pPr>
        <w:jc w:val="center"/>
        <w:rPr>
          <w:sz w:val="36"/>
          <w:szCs w:val="36"/>
        </w:rPr>
      </w:pPr>
    </w:p>
    <w:p w14:paraId="0000000B" w14:textId="77777777" w:rsidR="00F27841" w:rsidRDefault="00A65E98">
      <w:pPr>
        <w:jc w:val="center"/>
        <w:rPr>
          <w:sz w:val="36"/>
          <w:szCs w:val="36"/>
        </w:rPr>
      </w:pPr>
      <w:r>
        <w:rPr>
          <w:sz w:val="36"/>
          <w:szCs w:val="36"/>
        </w:rPr>
        <w:t xml:space="preserve">Word </w:t>
      </w:r>
      <w:proofErr w:type="gramStart"/>
      <w:r>
        <w:rPr>
          <w:sz w:val="36"/>
          <w:szCs w:val="36"/>
        </w:rPr>
        <w:t>count :</w:t>
      </w:r>
      <w:proofErr w:type="gramEnd"/>
      <w:r>
        <w:rPr>
          <w:sz w:val="36"/>
          <w:szCs w:val="36"/>
        </w:rPr>
        <w:t xml:space="preserve"> 2194</w:t>
      </w:r>
    </w:p>
    <w:p w14:paraId="0000000C" w14:textId="77777777" w:rsidR="00F27841" w:rsidRDefault="00F27841">
      <w:pPr>
        <w:jc w:val="center"/>
        <w:rPr>
          <w:sz w:val="36"/>
          <w:szCs w:val="36"/>
        </w:rPr>
      </w:pPr>
    </w:p>
    <w:p w14:paraId="0000000D" w14:textId="77777777" w:rsidR="00F27841" w:rsidRDefault="00F27841">
      <w:pPr>
        <w:spacing w:line="360" w:lineRule="auto"/>
        <w:rPr>
          <w:highlight w:val="red"/>
        </w:rPr>
      </w:pPr>
    </w:p>
    <w:p w14:paraId="0000000E" w14:textId="77777777" w:rsidR="00F27841" w:rsidRDefault="00F27841">
      <w:pPr>
        <w:spacing w:line="360" w:lineRule="auto"/>
        <w:rPr>
          <w:highlight w:val="red"/>
        </w:rPr>
      </w:pPr>
    </w:p>
    <w:p w14:paraId="0000000F" w14:textId="77777777" w:rsidR="00F27841" w:rsidRDefault="00F27841">
      <w:pPr>
        <w:spacing w:line="360" w:lineRule="auto"/>
        <w:rPr>
          <w:highlight w:val="red"/>
        </w:rPr>
      </w:pPr>
    </w:p>
    <w:p w14:paraId="00000010" w14:textId="77777777" w:rsidR="00F27841" w:rsidRDefault="00F27841">
      <w:pPr>
        <w:spacing w:line="360" w:lineRule="auto"/>
        <w:rPr>
          <w:highlight w:val="red"/>
        </w:rPr>
      </w:pPr>
    </w:p>
    <w:p w14:paraId="00000011" w14:textId="77777777" w:rsidR="00F27841" w:rsidRDefault="00F27841">
      <w:pPr>
        <w:spacing w:line="360" w:lineRule="auto"/>
        <w:rPr>
          <w:highlight w:val="red"/>
        </w:rPr>
      </w:pPr>
    </w:p>
    <w:p w14:paraId="00000012" w14:textId="77777777" w:rsidR="00F27841" w:rsidRDefault="00F27841">
      <w:pPr>
        <w:spacing w:line="360" w:lineRule="auto"/>
        <w:rPr>
          <w:highlight w:val="red"/>
        </w:rPr>
      </w:pPr>
    </w:p>
    <w:p w14:paraId="00000013" w14:textId="77777777" w:rsidR="00F27841" w:rsidRDefault="00F27841">
      <w:pPr>
        <w:spacing w:line="360" w:lineRule="auto"/>
        <w:rPr>
          <w:highlight w:val="red"/>
        </w:rPr>
      </w:pPr>
    </w:p>
    <w:p w14:paraId="00000014" w14:textId="77777777" w:rsidR="00F27841" w:rsidRDefault="00F27841">
      <w:pPr>
        <w:spacing w:line="360" w:lineRule="auto"/>
        <w:rPr>
          <w:highlight w:val="red"/>
        </w:rPr>
      </w:pPr>
    </w:p>
    <w:p w14:paraId="00000015" w14:textId="77777777" w:rsidR="00F27841" w:rsidRDefault="00F27841">
      <w:pPr>
        <w:spacing w:line="360" w:lineRule="auto"/>
        <w:rPr>
          <w:highlight w:val="red"/>
        </w:rPr>
      </w:pPr>
    </w:p>
    <w:p w14:paraId="00000016" w14:textId="77777777" w:rsidR="00F27841" w:rsidRDefault="00F27841">
      <w:pPr>
        <w:spacing w:line="360" w:lineRule="auto"/>
        <w:rPr>
          <w:highlight w:val="red"/>
        </w:rPr>
      </w:pPr>
    </w:p>
    <w:p w14:paraId="00000017" w14:textId="77777777" w:rsidR="00F27841" w:rsidRDefault="00F27841">
      <w:pPr>
        <w:spacing w:line="360" w:lineRule="auto"/>
        <w:rPr>
          <w:highlight w:val="red"/>
        </w:rPr>
      </w:pPr>
    </w:p>
    <w:p w14:paraId="00000018" w14:textId="77777777" w:rsidR="00F27841" w:rsidRDefault="00F27841">
      <w:pPr>
        <w:spacing w:line="360" w:lineRule="auto"/>
        <w:rPr>
          <w:highlight w:val="red"/>
        </w:rPr>
      </w:pPr>
    </w:p>
    <w:p w14:paraId="00000019" w14:textId="77777777" w:rsidR="00F27841" w:rsidRDefault="00F27841">
      <w:pPr>
        <w:spacing w:line="360" w:lineRule="auto"/>
        <w:rPr>
          <w:highlight w:val="red"/>
        </w:rPr>
      </w:pPr>
    </w:p>
    <w:p w14:paraId="0000001A" w14:textId="77777777" w:rsidR="00F27841" w:rsidRDefault="00F27841">
      <w:pPr>
        <w:spacing w:line="360" w:lineRule="auto"/>
        <w:rPr>
          <w:highlight w:val="red"/>
        </w:rPr>
      </w:pPr>
    </w:p>
    <w:p w14:paraId="0000001B" w14:textId="77777777" w:rsidR="00F27841" w:rsidRDefault="00F27841">
      <w:pPr>
        <w:spacing w:line="360" w:lineRule="auto"/>
        <w:rPr>
          <w:highlight w:val="red"/>
        </w:rPr>
      </w:pPr>
    </w:p>
    <w:p w14:paraId="0000001C" w14:textId="77777777" w:rsidR="00F27841" w:rsidRDefault="00F27841">
      <w:pPr>
        <w:spacing w:line="360" w:lineRule="auto"/>
        <w:rPr>
          <w:highlight w:val="red"/>
        </w:rPr>
      </w:pPr>
    </w:p>
    <w:p w14:paraId="0000001D" w14:textId="77777777" w:rsidR="00F27841" w:rsidRDefault="00F27841">
      <w:pPr>
        <w:spacing w:line="360" w:lineRule="auto"/>
        <w:rPr>
          <w:highlight w:val="red"/>
        </w:rPr>
      </w:pPr>
    </w:p>
    <w:p w14:paraId="0000001E" w14:textId="77777777" w:rsidR="00F27841" w:rsidRDefault="00F27841">
      <w:pPr>
        <w:spacing w:line="360" w:lineRule="auto"/>
        <w:rPr>
          <w:highlight w:val="red"/>
        </w:rPr>
      </w:pPr>
    </w:p>
    <w:p w14:paraId="0000001F" w14:textId="77777777" w:rsidR="00F27841" w:rsidRDefault="00F27841">
      <w:pPr>
        <w:spacing w:line="360" w:lineRule="auto"/>
        <w:rPr>
          <w:highlight w:val="red"/>
        </w:rPr>
      </w:pPr>
    </w:p>
    <w:p w14:paraId="00000020" w14:textId="77777777" w:rsidR="00F27841" w:rsidRDefault="00F27841">
      <w:pPr>
        <w:spacing w:before="280" w:line="360" w:lineRule="auto"/>
        <w:rPr>
          <w:highlight w:val="red"/>
        </w:rPr>
      </w:pPr>
    </w:p>
    <w:p w14:paraId="00000021" w14:textId="77777777" w:rsidR="00F27841" w:rsidRDefault="00A65E98">
      <w:pPr>
        <w:spacing w:before="280" w:line="360" w:lineRule="auto"/>
      </w:pPr>
      <w:r>
        <w:rPr>
          <w:b/>
        </w:rPr>
        <w:lastRenderedPageBreak/>
        <w:t>1. Research Rationale and Aims</w:t>
      </w:r>
    </w:p>
    <w:p w14:paraId="00000022" w14:textId="77777777" w:rsidR="00F27841" w:rsidRDefault="00A65E98">
      <w:pPr>
        <w:spacing w:before="240" w:after="240" w:line="360" w:lineRule="auto"/>
      </w:pPr>
      <w:r>
        <w:t>This study explores the therapeutic benefits of climbing as experienced by adults who identify as neurodivergent. While there is growing research on the mental health benefits of physical activity (Biddle et al., 2019; Rebar et al., 2015), far less attenti</w:t>
      </w:r>
      <w:r>
        <w:t>on has been given to the lived experiences of neurodivergent adults engaging in these practices. This group, including individuals with autism, ADHD, dyslexia, and other neurodevelopmental profiles, often face barriers to accessing mainstream therapeutic s</w:t>
      </w:r>
      <w:r>
        <w:t xml:space="preserve">ervices (Crane et al., 2019). For </w:t>
      </w:r>
      <w:proofErr w:type="gramStart"/>
      <w:r>
        <w:t>example</w:t>
      </w:r>
      <w:proofErr w:type="gramEnd"/>
      <w:r>
        <w:t xml:space="preserve"> sensory challenges and communication differences (Milton, 2012).</w:t>
      </w:r>
    </w:p>
    <w:p w14:paraId="00000023" w14:textId="77777777" w:rsidR="00F27841" w:rsidRDefault="00A65E98">
      <w:pPr>
        <w:spacing w:before="240" w:after="240" w:line="360" w:lineRule="auto"/>
      </w:pPr>
      <w:r>
        <w:t>Although climbing is increasingly recognised as a therapeutic form of movement, few studies explore how neurodivergent adults experience it. Climbing</w:t>
      </w:r>
      <w:r>
        <w:t xml:space="preserve"> combines cognitive and physical challenges, fosters social connection, and aligns with Self-Determination Theory, which emphasises autonomy, competence, and relatedness as key to psychological wellness (Ryan &amp; Deci, 2000). Adults who climb often report gr</w:t>
      </w:r>
      <w:r>
        <w:t>eater confidence, resilience, and a sense of mastery through engaging with risk in controlled environments (Engel et al., 2024).</w:t>
      </w:r>
    </w:p>
    <w:p w14:paraId="00000024" w14:textId="77777777" w:rsidR="00F27841" w:rsidRDefault="00A65E98">
      <w:pPr>
        <w:spacing w:before="240" w:after="240" w:line="360" w:lineRule="auto"/>
      </w:pPr>
      <w:r>
        <w:t>This study addresses gaps in qualitative research by exploring how neurodivergent adults make sense of their climbing experienc</w:t>
      </w:r>
      <w:r>
        <w:t>es. As a neurodivergent climber, I approach this not as an outsider, but as someone within the community, seeking to better understand and honour it.</w:t>
      </w:r>
    </w:p>
    <w:p w14:paraId="00000025" w14:textId="77777777" w:rsidR="00F27841" w:rsidRDefault="00F27841">
      <w:pPr>
        <w:spacing w:after="200" w:line="360" w:lineRule="auto"/>
      </w:pPr>
    </w:p>
    <w:p w14:paraId="00000026" w14:textId="77777777" w:rsidR="00F27841" w:rsidRDefault="00A65E98">
      <w:pPr>
        <w:spacing w:line="360" w:lineRule="auto"/>
      </w:pPr>
      <w:r>
        <w:t>Data from semi-structured interviews will be carried out to address the following aims:</w:t>
      </w:r>
    </w:p>
    <w:p w14:paraId="00000027" w14:textId="77777777" w:rsidR="00F27841" w:rsidRDefault="00A65E98">
      <w:pPr>
        <w:numPr>
          <w:ilvl w:val="0"/>
          <w:numId w:val="2"/>
        </w:numPr>
        <w:spacing w:before="240" w:line="360" w:lineRule="auto"/>
      </w:pPr>
      <w:r>
        <w:t>Explore how neuro</w:t>
      </w:r>
      <w:r>
        <w:t>divergent adults experience the therapeutic effects of climbing on their mental health and well-being.</w:t>
      </w:r>
      <w:r>
        <w:br/>
      </w:r>
    </w:p>
    <w:p w14:paraId="00000028" w14:textId="77777777" w:rsidR="00F27841" w:rsidRDefault="00A65E98">
      <w:pPr>
        <w:numPr>
          <w:ilvl w:val="0"/>
          <w:numId w:val="2"/>
        </w:numPr>
        <w:spacing w:line="360" w:lineRule="auto"/>
      </w:pPr>
      <w:r>
        <w:t>Understand the meanings participants attach to climbing in relation to emotional regulation, identity, and self-understanding.</w:t>
      </w:r>
      <w:r>
        <w:br/>
      </w:r>
    </w:p>
    <w:p w14:paraId="00000029" w14:textId="77777777" w:rsidR="00F27841" w:rsidRDefault="00A65E98">
      <w:pPr>
        <w:numPr>
          <w:ilvl w:val="0"/>
          <w:numId w:val="2"/>
        </w:numPr>
        <w:spacing w:line="360" w:lineRule="auto"/>
      </w:pPr>
      <w:r>
        <w:t>Identify whether and how</w:t>
      </w:r>
      <w:r>
        <w:t xml:space="preserve"> climbing offers a sense of inclusion, autonomy, and empowerment for neurodivergent adults.</w:t>
      </w:r>
      <w:r>
        <w:br/>
      </w:r>
    </w:p>
    <w:p w14:paraId="0000002A" w14:textId="77777777" w:rsidR="00F27841" w:rsidRDefault="00A65E98">
      <w:pPr>
        <w:numPr>
          <w:ilvl w:val="0"/>
          <w:numId w:val="2"/>
        </w:numPr>
        <w:spacing w:after="240" w:line="360" w:lineRule="auto"/>
      </w:pPr>
      <w:r>
        <w:t>Contribute to more inclusive, body-oriented and ecologically informed practices within integrative counselling and psychotherapy.</w:t>
      </w:r>
    </w:p>
    <w:p w14:paraId="0000002B" w14:textId="77777777" w:rsidR="00F27841" w:rsidRDefault="00F27841">
      <w:pPr>
        <w:spacing w:before="280" w:line="360" w:lineRule="auto"/>
        <w:rPr>
          <w:b/>
        </w:rPr>
      </w:pPr>
    </w:p>
    <w:p w14:paraId="0000002C" w14:textId="77777777" w:rsidR="00F27841" w:rsidRDefault="00A65E98">
      <w:pPr>
        <w:spacing w:before="280" w:line="360" w:lineRule="auto"/>
        <w:rPr>
          <w:b/>
        </w:rPr>
      </w:pPr>
      <w:r>
        <w:rPr>
          <w:b/>
        </w:rPr>
        <w:lastRenderedPageBreak/>
        <w:t>2. Literature Review</w:t>
      </w:r>
    </w:p>
    <w:p w14:paraId="0000002D" w14:textId="4F78C566" w:rsidR="00F27841" w:rsidRDefault="00A65E98">
      <w:pPr>
        <w:spacing w:before="240" w:after="240" w:line="360" w:lineRule="auto"/>
      </w:pPr>
      <w:r>
        <w:t>Climbing ha</w:t>
      </w:r>
      <w:r>
        <w:t>s seen a rapid rise in popularity across the UK, shifting from a niche outdoor activity to a widely practiced indoor sport (ABC, 2023; Sport England, 2023). The growth of indoor climbing walls</w:t>
      </w:r>
      <w:r>
        <w:t>,</w:t>
      </w:r>
      <w:r w:rsidR="00FB7BCA">
        <w:t xml:space="preserve"> </w:t>
      </w:r>
      <w:r>
        <w:t>particularly bouldering gyms, has made the sport more accessib</w:t>
      </w:r>
      <w:r>
        <w:t>le, especially in urban areas. According to the Association of British Climbing Walls (ABC), there has been a 50% increase in climbing facilities since 2018, with around 1.5 million people now engaging in climbing in the UK, and over 278,000 of them climbi</w:t>
      </w:r>
      <w:r>
        <w:t>ng regularly (ABC, 2023). Sport England (2023) also reported that participation in climbing and bouldering more than doubled between 2021 and 2023. The inclusion of sport climbing in the Tokyo 2020 Olympics elevated its public profile and brought wider att</w:t>
      </w:r>
      <w:r>
        <w:t>ention to its potential psychological benefits (</w:t>
      </w:r>
      <w:r>
        <w:rPr>
          <w:rFonts w:ascii="Calibri" w:eastAsia="Calibri" w:hAnsi="Calibri" w:cs="Calibri"/>
        </w:rPr>
        <w:t>Engel et al, 2024</w:t>
      </w:r>
      <w:proofErr w:type="gramStart"/>
      <w:r>
        <w:rPr>
          <w:rFonts w:ascii="Calibri" w:eastAsia="Calibri" w:hAnsi="Calibri" w:cs="Calibri"/>
        </w:rPr>
        <w:t xml:space="preserve">) </w:t>
      </w:r>
      <w:r>
        <w:t>.</w:t>
      </w:r>
      <w:proofErr w:type="gramEnd"/>
      <w:r>
        <w:t xml:space="preserve"> Indoor climbing offers a relatively consistent, structured, and socially dynamic environment, making it appealing for individuals seeking physical, emotional, and cognitive challenges (Se</w:t>
      </w:r>
      <w:r>
        <w:t>ifert et al 2016).</w:t>
      </w:r>
    </w:p>
    <w:p w14:paraId="0000002E" w14:textId="77777777" w:rsidR="00F27841" w:rsidRDefault="00A65E98">
      <w:pPr>
        <w:spacing w:before="240" w:after="240" w:line="360" w:lineRule="auto"/>
      </w:pPr>
      <w:r>
        <w:t xml:space="preserve">A growing body of literature supports the therapeutic potential of climbing. Studies have found it can support improvements in mood, self-esteem, attention, and emotional regulation. For instance, </w:t>
      </w:r>
      <w:proofErr w:type="spellStart"/>
      <w:r>
        <w:t>Luttenberger</w:t>
      </w:r>
      <w:proofErr w:type="spellEnd"/>
      <w:r>
        <w:t xml:space="preserve"> et al. (2015) demonstrated </w:t>
      </w:r>
      <w:r>
        <w:t xml:space="preserve">that bouldering had a statistically significant effect on reducing depressive symptoms in adults. </w:t>
      </w:r>
      <w:proofErr w:type="spellStart"/>
      <w:r>
        <w:t>Schaffert</w:t>
      </w:r>
      <w:proofErr w:type="spellEnd"/>
      <w:r>
        <w:t xml:space="preserve">, Pfeiffer and </w:t>
      </w:r>
      <w:proofErr w:type="spellStart"/>
      <w:r>
        <w:t>Lösel</w:t>
      </w:r>
      <w:proofErr w:type="spellEnd"/>
      <w:r>
        <w:t xml:space="preserve"> (2021) reviewed therapeutic climbing literature and found strong evidence that the sport promotes cognitive engagement, trust-bu</w:t>
      </w:r>
      <w:r>
        <w:t>ilding, and psychological resilience. These effects are thought to be linked to climbing’s capacity to demand full-body engagement, present-moment awareness, and problem-solving (</w:t>
      </w:r>
      <w:proofErr w:type="spellStart"/>
      <w:r>
        <w:t>Luttenberger</w:t>
      </w:r>
      <w:proofErr w:type="spellEnd"/>
      <w:r>
        <w:t xml:space="preserve"> et al., 2015). Climbing is also seen to foster social connectedn</w:t>
      </w:r>
      <w:r>
        <w:t>ess, particularly through supportive practices such as belaying or group coaching, which may contribute to feelings of relatedness and belonging (</w:t>
      </w:r>
      <w:proofErr w:type="spellStart"/>
      <w:r>
        <w:t>Schaffert</w:t>
      </w:r>
      <w:proofErr w:type="spellEnd"/>
      <w:r>
        <w:t xml:space="preserve"> et al., 2021).</w:t>
      </w:r>
    </w:p>
    <w:p w14:paraId="0000002F" w14:textId="77777777" w:rsidR="00F27841" w:rsidRDefault="00A65E98">
      <w:pPr>
        <w:spacing w:before="240" w:after="240" w:line="360" w:lineRule="auto"/>
      </w:pPr>
      <w:r>
        <w:t>These benefits appear especially relevant when considered in light of Self-Determinat</w:t>
      </w:r>
      <w:r>
        <w:t>ion Theory (Ryan &amp; Deci, 2000), which posits that autonomy, competence, and relatedness are core to psychological well-being. Climbing naturally invites these experiences: it allows individuals to make choices (autonomy), tackle and master challenges (comp</w:t>
      </w:r>
      <w:r>
        <w:t xml:space="preserve">etence), and engage socially (relatedness). Anecdotally, many neurodivergent individuals report that climbing feels like a space where they can be themselves, self-regulate, and move their bodies in ways that are both expressive and focused (Healy, </w:t>
      </w:r>
      <w:proofErr w:type="spellStart"/>
      <w:r>
        <w:t>Msetfi</w:t>
      </w:r>
      <w:proofErr w:type="spellEnd"/>
      <w:r>
        <w:t xml:space="preserve"> </w:t>
      </w:r>
      <w:r>
        <w:t>and Gallagher, 2013). This resonates with broader findings around masking, authenticity, and the importance of identity-affirming spaces (Botha, 2021).</w:t>
      </w:r>
    </w:p>
    <w:p w14:paraId="00000030" w14:textId="77777777" w:rsidR="00F27841" w:rsidRDefault="00A65E98">
      <w:pPr>
        <w:spacing w:before="240" w:after="240" w:line="360" w:lineRule="auto"/>
      </w:pPr>
      <w:r>
        <w:lastRenderedPageBreak/>
        <w:t xml:space="preserve">Research specifically addressing neurodivergent experiences of climbing is, however, extremely limited. </w:t>
      </w:r>
      <w:r>
        <w:t xml:space="preserve">Most of the available literature focuses on neurodivergent children and adolescents, particularly in the context of therapeutic interventions for autism or ADHD (Lang et al., 2010; Healy et al., 2013; </w:t>
      </w:r>
      <w:proofErr w:type="spellStart"/>
      <w:r>
        <w:t>Frühauf</w:t>
      </w:r>
      <w:proofErr w:type="spellEnd"/>
      <w:r>
        <w:t xml:space="preserve"> et al., 2019). Several small-scale studies have</w:t>
      </w:r>
      <w:r>
        <w:t xml:space="preserve"> shown positive results for children on the autism spectrum who participate in climbing-based programs. Healy, </w:t>
      </w:r>
      <w:proofErr w:type="spellStart"/>
      <w:r>
        <w:t>Msetfi</w:t>
      </w:r>
      <w:proofErr w:type="spellEnd"/>
      <w:r>
        <w:t xml:space="preserve"> and Gallagher (2013), for example, reported that autistic children described climbing as both enjoyable and emotionally regulating, often </w:t>
      </w:r>
      <w:r>
        <w:t xml:space="preserve">using phrases like “happy and a bit nervous.” Lang et al. (2010) conducted a systematic review that concluded physical activity interventions, including climbing, could improve social skills, reduce stereotypical behaviours, and increase attention span in </w:t>
      </w:r>
      <w:r>
        <w:t>autistic children.</w:t>
      </w:r>
    </w:p>
    <w:p w14:paraId="00000031" w14:textId="77777777" w:rsidR="00F27841" w:rsidRDefault="00A65E98">
      <w:pPr>
        <w:spacing w:before="240" w:after="240" w:line="360" w:lineRule="auto"/>
      </w:pPr>
      <w:r>
        <w:t>Other researchers have highlighted climbing’s role in sensory integration for neurodivergent youth, suggesting that the tactile, vestibular, and proprioceptive input offered by climbing may support emotional regulation and physical groun</w:t>
      </w:r>
      <w:r>
        <w:t>ding (</w:t>
      </w:r>
      <w:proofErr w:type="spellStart"/>
      <w:r>
        <w:t>Frühauf</w:t>
      </w:r>
      <w:proofErr w:type="spellEnd"/>
      <w:r>
        <w:t xml:space="preserve"> et al., 2019). These programs are often structured, supervised, and therapeutic in design, sometimes offered through occupational therapy or educational settings. While these studies highlight encouraging outcomes, their findings remain large</w:t>
      </w:r>
      <w:r>
        <w:t>ly restricted to childhood and adolescent development.</w:t>
      </w:r>
    </w:p>
    <w:p w14:paraId="00000032" w14:textId="77777777" w:rsidR="00F27841" w:rsidRDefault="00A65E98">
      <w:pPr>
        <w:spacing w:before="240" w:after="240" w:line="360" w:lineRule="auto"/>
      </w:pPr>
      <w:r>
        <w:t>Very few studies, if any, directly explore the experiences of neurodivergent adults who climb recreationally. The research that does exist tends to generalise findings from neurotypical participants, o</w:t>
      </w:r>
      <w:r>
        <w:t>r focus on therapeutic climbing for diagnosed mental health conditions such as depression, trauma, or addiction (</w:t>
      </w:r>
      <w:proofErr w:type="spellStart"/>
      <w:r>
        <w:t>Schaffertet</w:t>
      </w:r>
      <w:proofErr w:type="spellEnd"/>
      <w:r>
        <w:t xml:space="preserve"> al., 2021). This leaves a significant gap in understanding how neurodivergent adults, many of whom may be undiagnosed or self-ident</w:t>
      </w:r>
      <w:r>
        <w:t xml:space="preserve">ified, experience climbing environments, especially outside of clinical </w:t>
      </w:r>
      <w:proofErr w:type="gramStart"/>
      <w:r>
        <w:t>frameworks  (</w:t>
      </w:r>
      <w:proofErr w:type="gramEnd"/>
      <w:r>
        <w:t xml:space="preserve">Botha, 2021). Over time, the understanding of both climbing and neurodivergence has evolved significantly. Foundational theories such as self-efficacy (Bandura, 1997) and </w:t>
      </w:r>
      <w:r>
        <w:t>self-determination theory (Ryan &amp; Deci, 2000) laid early psychological groundwork, while climbing studies initially focused on quantitative outcomes such as symptom reduction, often within general or clinical populations (</w:t>
      </w:r>
      <w:proofErr w:type="spellStart"/>
      <w:r>
        <w:t>Luttenberger</w:t>
      </w:r>
      <w:proofErr w:type="spellEnd"/>
      <w:r>
        <w:t xml:space="preserve"> et al., 2015). More r</w:t>
      </w:r>
      <w:r>
        <w:t>ecent research has shifted toward recognising climbing’s embodied and relational benefits, such as cognitive engagement and emotional resilience (</w:t>
      </w:r>
      <w:proofErr w:type="spellStart"/>
      <w:r>
        <w:t>Schaffert</w:t>
      </w:r>
      <w:proofErr w:type="spellEnd"/>
      <w:r>
        <w:t xml:space="preserve"> et al., 2021; </w:t>
      </w:r>
      <w:proofErr w:type="spellStart"/>
      <w:r>
        <w:t>Frühauf</w:t>
      </w:r>
      <w:proofErr w:type="spellEnd"/>
      <w:r>
        <w:t xml:space="preserve"> et al., 2019). However, studies involving neurodivergent individuals remain la</w:t>
      </w:r>
      <w:r>
        <w:t>rgely child-focused, typically within school or therapeutic intervention settings (Healy et al., 2013). In contrast, contemporary understandings of neurodivergence increasingly adopt strength-based and identity-affirming frameworks (Milton, 2012; Kapp et a</w:t>
      </w:r>
      <w:r>
        <w:t xml:space="preserve">l., 2013), acknowledging lived experience and self-identification as central to research ethics and relevance (Botha, 2021). Movement, and </w:t>
      </w:r>
      <w:proofErr w:type="gramStart"/>
      <w:r>
        <w:lastRenderedPageBreak/>
        <w:t>nature based</w:t>
      </w:r>
      <w:proofErr w:type="gramEnd"/>
      <w:r>
        <w:t xml:space="preserve"> interventions such as climbing are now gaining recognition as valid alternatives to traditional talking </w:t>
      </w:r>
      <w:r>
        <w:t xml:space="preserve">therapies, particularly for adult populations seeking non-verbal, embodied forms of self-regulation and connection (Bowen &amp; Neill, 2013; Carter &amp; Van </w:t>
      </w:r>
      <w:proofErr w:type="spellStart"/>
      <w:r>
        <w:t>Andel</w:t>
      </w:r>
      <w:proofErr w:type="spellEnd"/>
      <w:r>
        <w:t>, 2019). This research responds to that emerging shift, focusing specifically on the lived experience</w:t>
      </w:r>
      <w:r>
        <w:t>s of neurodivergent adults and situating climbing not solely as a therapy, but as a meaningful, identity linked practice.</w:t>
      </w:r>
    </w:p>
    <w:p w14:paraId="00000033" w14:textId="77777777" w:rsidR="00F27841" w:rsidRDefault="00A65E98">
      <w:pPr>
        <w:spacing w:before="240" w:after="240" w:line="360" w:lineRule="auto"/>
      </w:pPr>
      <w:r>
        <w:t xml:space="preserve">Given the rising number of neurodivergent individuals engaging with movement and </w:t>
      </w:r>
      <w:proofErr w:type="gramStart"/>
      <w:r>
        <w:t>nature based</w:t>
      </w:r>
      <w:proofErr w:type="gramEnd"/>
      <w:r>
        <w:t xml:space="preserve"> practices outside of formal therapy (Finnigan, 2024; Li et al., 2023), there is a pressing need for qualitative, participant-led research that centres their voice</w:t>
      </w:r>
      <w:r>
        <w:t>s. This study aims to explore those lived experiences and, in doing so, contribute to the development of more inclusive, embodied approaches within counselling and psychotherapy.</w:t>
      </w:r>
    </w:p>
    <w:p w14:paraId="00000034" w14:textId="77777777" w:rsidR="00F27841" w:rsidRDefault="00F27841">
      <w:pPr>
        <w:spacing w:before="240" w:after="240" w:line="360" w:lineRule="auto"/>
      </w:pPr>
    </w:p>
    <w:p w14:paraId="00000035" w14:textId="77777777" w:rsidR="00F27841" w:rsidRDefault="00A65E98">
      <w:pPr>
        <w:spacing w:before="280" w:line="360" w:lineRule="auto"/>
        <w:rPr>
          <w:b/>
        </w:rPr>
      </w:pPr>
      <w:r>
        <w:rPr>
          <w:b/>
        </w:rPr>
        <w:t xml:space="preserve">3. Methodology and Methods </w:t>
      </w:r>
    </w:p>
    <w:p w14:paraId="7DC8E7E1" w14:textId="77777777" w:rsidR="00FB7BCA" w:rsidRDefault="00FB7BCA">
      <w:pPr>
        <w:spacing w:before="280" w:line="360" w:lineRule="auto"/>
        <w:rPr>
          <w:b/>
        </w:rPr>
      </w:pPr>
    </w:p>
    <w:p w14:paraId="00000036" w14:textId="65E7843C" w:rsidR="00F27841" w:rsidRDefault="00A65E98">
      <w:pPr>
        <w:spacing w:before="280" w:line="360" w:lineRule="auto"/>
      </w:pPr>
      <w:r>
        <w:rPr>
          <w:b/>
        </w:rPr>
        <w:t>3.1 Methodology</w:t>
      </w:r>
    </w:p>
    <w:p w14:paraId="00000037" w14:textId="77777777" w:rsidR="00F27841" w:rsidRDefault="00A65E98">
      <w:pPr>
        <w:spacing w:before="240" w:after="240" w:line="360" w:lineRule="auto"/>
      </w:pPr>
      <w:r>
        <w:t>This study adopts a qualitative,</w:t>
      </w:r>
      <w:r>
        <w:t xml:space="preserve"> constructivist approach using Interpretative Phenomenological Analysis (IPA) to explore how neurodivergent adults experience the therapeutic benefits of climbing. IPA is grounded in phenomenology, hermeneutics, and </w:t>
      </w:r>
      <w:proofErr w:type="spellStart"/>
      <w:r>
        <w:t>idiographics</w:t>
      </w:r>
      <w:proofErr w:type="spellEnd"/>
      <w:r>
        <w:t xml:space="preserve"> (Smith et al., 2009; </w:t>
      </w:r>
      <w:proofErr w:type="spellStart"/>
      <w:r>
        <w:t>Pietki</w:t>
      </w:r>
      <w:r>
        <w:t>ewicz</w:t>
      </w:r>
      <w:proofErr w:type="spellEnd"/>
      <w:r>
        <w:t xml:space="preserve"> and Smith, 2014), making it well-suited to embodied, emotional, and identity-based research (</w:t>
      </w:r>
      <w:proofErr w:type="spellStart"/>
      <w:r>
        <w:t>Eatough</w:t>
      </w:r>
      <w:proofErr w:type="spellEnd"/>
      <w:r>
        <w:t xml:space="preserve"> &amp; Smith, 2008).</w:t>
      </w:r>
    </w:p>
    <w:p w14:paraId="00000038" w14:textId="77777777" w:rsidR="00F27841" w:rsidRDefault="00A65E98">
      <w:pPr>
        <w:spacing w:before="240" w:after="240" w:line="360" w:lineRule="auto"/>
      </w:pPr>
      <w:r>
        <w:t>A constructivist paradigm acknowledges that knowledge is co-created between researcher and participant (</w:t>
      </w:r>
      <w:proofErr w:type="spellStart"/>
      <w:r>
        <w:t>Pilarska</w:t>
      </w:r>
      <w:proofErr w:type="spellEnd"/>
      <w:r>
        <w:t xml:space="preserve">, 2021; Hays &amp; Wood, </w:t>
      </w:r>
      <w:r>
        <w:t xml:space="preserve">2011), aligning with my dual role as researcher and neurodivergent climber. IPA’s relevance is supported by studies exploring movement, emotion, and identity in neurodivergent contexts (Healy et al., 2013; van </w:t>
      </w:r>
      <w:proofErr w:type="spellStart"/>
      <w:r>
        <w:t>Manen</w:t>
      </w:r>
      <w:proofErr w:type="spellEnd"/>
      <w:r>
        <w:t>, 1997).</w:t>
      </w:r>
    </w:p>
    <w:p w14:paraId="00000039" w14:textId="77777777" w:rsidR="00F27841" w:rsidRDefault="00A65E98">
      <w:pPr>
        <w:spacing w:before="240" w:after="240" w:line="360" w:lineRule="auto"/>
      </w:pPr>
      <w:r>
        <w:t>Although well-suited to explorin</w:t>
      </w:r>
      <w:r>
        <w:t>g subjective and embodied experiences, IPA has limitations. As it focuses on small, homogenous samples this may limit transferability (</w:t>
      </w:r>
      <w:proofErr w:type="spellStart"/>
      <w:r>
        <w:t>Willig</w:t>
      </w:r>
      <w:proofErr w:type="spellEnd"/>
      <w:r>
        <w:t>, 2013), and its interpretative nature requires careful reflexivity to reduce bias (Morrow, 2005). I will address t</w:t>
      </w:r>
      <w:r>
        <w:t>his through reflexive journaling and supervision (Finlay, 2002; Lincoln &amp; Guba, 1985). Alternative approaches such as thematic analysis (Braun &amp; Clarke, 2006) and narrative inquiry (</w:t>
      </w:r>
      <w:proofErr w:type="spellStart"/>
      <w:r>
        <w:t>Riessman</w:t>
      </w:r>
      <w:proofErr w:type="spellEnd"/>
      <w:r>
        <w:t xml:space="preserve">, 2008) were considered. These offered less idiographic depth </w:t>
      </w:r>
      <w:r>
        <w:lastRenderedPageBreak/>
        <w:t xml:space="preserve">and </w:t>
      </w:r>
      <w:r>
        <w:t xml:space="preserve">alignment with the study’s aim to explore personal meaning-making. IPA’s emphasis on lived experience and co-construction of meaning made it the most appropriate choice. </w:t>
      </w:r>
    </w:p>
    <w:p w14:paraId="5A22B7B5" w14:textId="77777777" w:rsidR="00FB7BCA" w:rsidRDefault="00FB7BCA">
      <w:pPr>
        <w:spacing w:before="240" w:after="240" w:line="360" w:lineRule="auto"/>
        <w:rPr>
          <w:b/>
        </w:rPr>
      </w:pPr>
    </w:p>
    <w:p w14:paraId="0000003A" w14:textId="1F74AD22" w:rsidR="00F27841" w:rsidRDefault="00A65E98">
      <w:pPr>
        <w:spacing w:before="240" w:after="240" w:line="360" w:lineRule="auto"/>
        <w:rPr>
          <w:b/>
        </w:rPr>
      </w:pPr>
      <w:r>
        <w:rPr>
          <w:b/>
        </w:rPr>
        <w:t xml:space="preserve">3.2 Data Collection </w:t>
      </w:r>
    </w:p>
    <w:p w14:paraId="0000003B" w14:textId="77777777" w:rsidR="00F27841" w:rsidRDefault="00A65E98">
      <w:pPr>
        <w:spacing w:before="240" w:after="240" w:line="360" w:lineRule="auto"/>
      </w:pPr>
      <w:r>
        <w:t>Semi-structured interviews will be used to gather in-depth data,</w:t>
      </w:r>
      <w:r>
        <w:t xml:space="preserve"> allowing participants flexibility to express their experiences in their own terms (Edwards &amp; Holland, 2013). Each interview will last 45–60 minutes and take place online or in person, depending on accessibility and preference. With consent, interviews wil</w:t>
      </w:r>
      <w:r>
        <w:t>l be audio-recorded and transcribed verbatim. Participants will receive an information sheet and give verbal and written consent, with the option to withdraw up to transcription (Simons et al., 2022). After each interview, participants will be invited to r</w:t>
      </w:r>
      <w:r>
        <w:t>eview their transcript and offer feedback. This supports transparency and participant empowerment (</w:t>
      </w:r>
      <w:proofErr w:type="spellStart"/>
      <w:r>
        <w:t>DeJonckheere</w:t>
      </w:r>
      <w:proofErr w:type="spellEnd"/>
      <w:r>
        <w:t xml:space="preserve"> &amp; Vaughn, 2019; Morrow, 2005).</w:t>
      </w:r>
    </w:p>
    <w:p w14:paraId="0000003C" w14:textId="77777777" w:rsidR="00F27841" w:rsidRDefault="00A65E98">
      <w:pPr>
        <w:spacing w:before="240" w:after="240" w:line="360" w:lineRule="auto"/>
      </w:pPr>
      <w:r>
        <w:t xml:space="preserve">Challenges may include scheduling, sensory sensitivities, or communication preferences (Crane et al., 2019; Kapp </w:t>
      </w:r>
      <w:r>
        <w:t xml:space="preserve">et al., 2013). Some may prefer different formats or times due to anxiety or overstimulation (Milton, 2012; Healy et al., 2013). Self-identification without diagnosis may also influence how participants frame their experiences (Botha, 2021). I will address </w:t>
      </w:r>
      <w:r>
        <w:t>these issues through clear information, flexible arrangements, and responsive interview planning. Building trust while maintaining boundaries will be essential, especially given my insider role (Finlay, 2002).</w:t>
      </w:r>
    </w:p>
    <w:p w14:paraId="0000003D" w14:textId="77777777" w:rsidR="00F27841" w:rsidRDefault="00F27841">
      <w:pPr>
        <w:spacing w:before="240" w:after="240" w:line="360" w:lineRule="auto"/>
        <w:rPr>
          <w:b/>
        </w:rPr>
      </w:pPr>
    </w:p>
    <w:p w14:paraId="0000003E" w14:textId="77777777" w:rsidR="00F27841" w:rsidRDefault="00A65E98">
      <w:pPr>
        <w:spacing w:before="240" w:after="240" w:line="360" w:lineRule="auto"/>
      </w:pPr>
      <w:r>
        <w:rPr>
          <w:b/>
        </w:rPr>
        <w:t xml:space="preserve"> 3.3 Professional Role </w:t>
      </w:r>
    </w:p>
    <w:p w14:paraId="00000040" w14:textId="5A34B7C6" w:rsidR="00F27841" w:rsidRDefault="00A65E98">
      <w:pPr>
        <w:spacing w:before="240" w:after="240" w:line="360" w:lineRule="auto"/>
      </w:pPr>
      <w:r>
        <w:t>As a neurodivergent c</w:t>
      </w:r>
      <w:r>
        <w:t>limber and therapist, I occupy an insider–researcher position. This can bring strengths such as increased empathy, shared language, and an embodied understanding of both climbing and neurodivergent experience (Hays &amp; Wood, 2011; Kapp et al., 2013), potenti</w:t>
      </w:r>
      <w:r>
        <w:t xml:space="preserve">ally fostering trust and openness during interviews. However, this dual role also carries ethical and methodological challenges, including the risk of over-identification or bias (Finlay, 2002; Dwyer &amp; Buckle, 2009). I will mitigate this through reflexive </w:t>
      </w:r>
      <w:r>
        <w:t>journaling, regular supervision, and awareness of how my perspectives may shape interpretation (Smith et al., 2009; Morrow, 2005). Participants will not be personally known to me at recruitment. I will use existing networks and a snowball sampling strategy</w:t>
      </w:r>
      <w:r>
        <w:t>, where one participant may recommend others (</w:t>
      </w:r>
      <w:proofErr w:type="spellStart"/>
      <w:r>
        <w:t>Noy</w:t>
      </w:r>
      <w:proofErr w:type="spellEnd"/>
      <w:r>
        <w:t>, 2008; Simons et al., 2022). This supports ethical integrity by reducing dual relationships (</w:t>
      </w:r>
      <w:proofErr w:type="spellStart"/>
      <w:r>
        <w:t>Willig</w:t>
      </w:r>
      <w:proofErr w:type="spellEnd"/>
      <w:r>
        <w:t>, 2013).</w:t>
      </w:r>
    </w:p>
    <w:p w14:paraId="00000041" w14:textId="77777777" w:rsidR="00F27841" w:rsidRDefault="00F27841">
      <w:pPr>
        <w:spacing w:before="280" w:line="360" w:lineRule="auto"/>
      </w:pPr>
    </w:p>
    <w:p w14:paraId="00000042" w14:textId="77777777" w:rsidR="00F27841" w:rsidRDefault="00A65E98">
      <w:pPr>
        <w:spacing w:before="280" w:line="360" w:lineRule="auto"/>
      </w:pPr>
      <w:r>
        <w:rPr>
          <w:b/>
        </w:rPr>
        <w:t xml:space="preserve">3.4 Sample and Sampling Strategy </w:t>
      </w:r>
    </w:p>
    <w:p w14:paraId="00000043" w14:textId="77777777" w:rsidR="00F27841" w:rsidRDefault="00A65E98">
      <w:pPr>
        <w:spacing w:before="240" w:after="240" w:line="360" w:lineRule="auto"/>
      </w:pPr>
      <w:r>
        <w:t xml:space="preserve">This study will use purposive sampling to recruit adults who </w:t>
      </w:r>
      <w:r>
        <w:t xml:space="preserve">self-identify as neurodivergent and regularly engage in climbing. This approach suits IPA, which prioritises depth over breadth and seeks participants who can offer rich, relevant accounts of lived experience (Robinson, 2014; Smith et al., 2009). A sample </w:t>
      </w:r>
      <w:r>
        <w:t>of six to eight participants is proposed, aligning with IPA’s idiographic focus and supported by the concept of “information power,” which suggests smaller samples can yield meaningful data when relevance is high (</w:t>
      </w:r>
      <w:proofErr w:type="spellStart"/>
      <w:r>
        <w:t>Pietkiewicz</w:t>
      </w:r>
      <w:proofErr w:type="spellEnd"/>
      <w:r>
        <w:t xml:space="preserve"> &amp; Smith, 2014; </w:t>
      </w:r>
      <w:proofErr w:type="spellStart"/>
      <w:r>
        <w:t>Malterud</w:t>
      </w:r>
      <w:proofErr w:type="spellEnd"/>
      <w:r>
        <w:t xml:space="preserve"> et al.</w:t>
      </w:r>
      <w:r>
        <w:t xml:space="preserve">, 2016). Participants will be recruited on a voluntary basis through climbing gyms, neurodivergent networks, and social media. Interviews will take place online or in a quiet room at a well-established climbing centre. A study flyer will outline inclusion </w:t>
      </w:r>
      <w:r>
        <w:t>and exclusion criteria. Inclusion requires being over 18, identifying as neurodivergent, climbing twice monthly, and fluency in English. Those in psychological crisis or known to the researcher will be excluded. Participation is voluntary, with clear withd</w:t>
      </w:r>
      <w:r>
        <w:t xml:space="preserve">rawal options and signposting to support. </w:t>
      </w:r>
    </w:p>
    <w:p w14:paraId="2BC2A959" w14:textId="77777777" w:rsidR="00FB7BCA" w:rsidRDefault="00FB7BCA">
      <w:pPr>
        <w:spacing w:before="240" w:after="240" w:line="360" w:lineRule="auto"/>
        <w:rPr>
          <w:b/>
        </w:rPr>
      </w:pPr>
    </w:p>
    <w:p w14:paraId="00000044" w14:textId="6739B431" w:rsidR="00F27841" w:rsidRDefault="00A65E98">
      <w:pPr>
        <w:spacing w:before="240" w:after="240" w:line="360" w:lineRule="auto"/>
      </w:pPr>
      <w:r>
        <w:rPr>
          <w:b/>
        </w:rPr>
        <w:t xml:space="preserve">3.5 Data Analysis </w:t>
      </w:r>
    </w:p>
    <w:p w14:paraId="00000045" w14:textId="77777777" w:rsidR="00F27841" w:rsidRDefault="00A65E98">
      <w:pPr>
        <w:spacing w:before="240" w:after="240" w:line="360" w:lineRule="auto"/>
      </w:pPr>
      <w:r>
        <w:t xml:space="preserve">This study will use Interpretative Phenomenological Analysis (IPA) to explore how neurodivergent climbers make sense of their experiences. IPA, rooted in phenomenology, hermeneutics, and </w:t>
      </w:r>
      <w:proofErr w:type="spellStart"/>
      <w:r>
        <w:t>idiographics</w:t>
      </w:r>
      <w:proofErr w:type="spellEnd"/>
      <w:r>
        <w:t>, is particularly suited to capturing embodied, emotional</w:t>
      </w:r>
      <w:r>
        <w:t xml:space="preserve">, and identity-related experiences (Smith et al., 2009; </w:t>
      </w:r>
      <w:proofErr w:type="spellStart"/>
      <w:r>
        <w:t>Pietkiewicz</w:t>
      </w:r>
      <w:proofErr w:type="spellEnd"/>
      <w:r>
        <w:t xml:space="preserve"> &amp; Smith, 2014). It involves a double hermeneutic, where the researcher interprets how participants make sense of their world (</w:t>
      </w:r>
      <w:proofErr w:type="spellStart"/>
      <w:r>
        <w:t>Eatough</w:t>
      </w:r>
      <w:proofErr w:type="spellEnd"/>
      <w:r>
        <w:t xml:space="preserve"> &amp; Smith, 2008). Data will be analysed following Smith </w:t>
      </w:r>
      <w:r>
        <w:t>et al.'s (2009) steps: reading and re-reading, initial noting, developing emergent themes, exploring connections, and identifying cross-case patterns. The idiographic focus enables detailed analysis of each participant before seeking shared meaning. IPA is</w:t>
      </w:r>
      <w:r>
        <w:t xml:space="preserve"> especially appropriate for under-researched or marginalised groups (</w:t>
      </w:r>
      <w:proofErr w:type="spellStart"/>
      <w:r>
        <w:t>Willig</w:t>
      </w:r>
      <w:proofErr w:type="spellEnd"/>
      <w:r>
        <w:t xml:space="preserve">, 2013; van </w:t>
      </w:r>
      <w:proofErr w:type="spellStart"/>
      <w:r>
        <w:t>Manen</w:t>
      </w:r>
      <w:proofErr w:type="spellEnd"/>
      <w:r>
        <w:t>, 1997), offering layered insight into lived experience. Reflexive journaling and supervision will support transparency and reduce interpretative bias (Finlay, 2002</w:t>
      </w:r>
      <w:r>
        <w:t>; Morrow, 2005).</w:t>
      </w:r>
    </w:p>
    <w:p w14:paraId="00000046" w14:textId="77777777" w:rsidR="00F27841" w:rsidRDefault="00A65E98">
      <w:pPr>
        <w:spacing w:before="240" w:after="240" w:line="360" w:lineRule="auto"/>
      </w:pPr>
      <w:r>
        <w:t>Although IPA does not aim for generalisability and may overlook wider systemic factors, its depth and participant-centred focus make it well-suited to this study. Thematic analysis was considered as an alternative but prioritises theme gen</w:t>
      </w:r>
      <w:r>
        <w:t xml:space="preserve">eration over individual experience (Braun and Clarke, 2006). Narrative inquiry, while valuable for storytelling and identity work, </w:t>
      </w:r>
      <w:r>
        <w:lastRenderedPageBreak/>
        <w:t>was less aligned with the idiographic and interpretative focus of this research (</w:t>
      </w:r>
      <w:proofErr w:type="spellStart"/>
      <w:r>
        <w:t>Riessman</w:t>
      </w:r>
      <w:proofErr w:type="spellEnd"/>
      <w:r>
        <w:t>, 2008).</w:t>
      </w:r>
    </w:p>
    <w:p w14:paraId="11C2383B" w14:textId="77777777" w:rsidR="00FB7BCA" w:rsidRDefault="00FB7BCA">
      <w:pPr>
        <w:spacing w:before="240" w:after="240" w:line="360" w:lineRule="auto"/>
        <w:rPr>
          <w:b/>
        </w:rPr>
      </w:pPr>
    </w:p>
    <w:p w14:paraId="00000047" w14:textId="337B06D7" w:rsidR="00F27841" w:rsidRDefault="00A65E98">
      <w:pPr>
        <w:spacing w:before="240" w:after="240" w:line="360" w:lineRule="auto"/>
      </w:pPr>
      <w:r>
        <w:rPr>
          <w:b/>
        </w:rPr>
        <w:t xml:space="preserve">3.6 Trustworthiness </w:t>
      </w:r>
    </w:p>
    <w:p w14:paraId="00000048" w14:textId="77777777" w:rsidR="00F27841" w:rsidRDefault="00A65E98">
      <w:pPr>
        <w:spacing w:before="240" w:after="240" w:line="360" w:lineRule="auto"/>
      </w:pPr>
      <w:r>
        <w:t>To ens</w:t>
      </w:r>
      <w:r>
        <w:t xml:space="preserve">ure rigour, this study will follow Lincoln and Guba’s (1985) trustworthiness criteria: credibility, transferability, dependability, and confirmability. IPA requires deep engagement with participants’ meaning-making, supported by prolonged interaction with </w:t>
      </w:r>
      <w:r>
        <w:t>data, reflexive journaling, and supervision (Finlay, 2002; Smith et al., 2009). Reflexivity is key, especially given my dual role as researcher and neurodivergent climber. I will document assumptions and decisions throughout to enhance transparency (Morrow</w:t>
      </w:r>
      <w:r>
        <w:t>, 2005; Yardley, 2000). Member checking will be offered via transcript summaries, supporting trust and shared meaning-making.</w:t>
      </w:r>
    </w:p>
    <w:p w14:paraId="00000049" w14:textId="77777777" w:rsidR="00F27841" w:rsidRDefault="00A65E98">
      <w:pPr>
        <w:spacing w:before="240" w:after="240" w:line="360" w:lineRule="auto"/>
      </w:pPr>
      <w:r>
        <w:t>Although qualitative research is not statistically generalisable, transferability will be supported through rich, contextualised d</w:t>
      </w:r>
      <w:r>
        <w:t>escription (Levitt et al., 2017). A clear audit trail will be maintained, and NVivo software may support data organisation and dependability. While findings are context-specific, they may resonate with broader themes in climbing and mental health, particul</w:t>
      </w:r>
      <w:r>
        <w:t>arly for neurodivergent adults. Previous research with children and general populations shows consistent benefits such as emotional regulation and self-esteem (</w:t>
      </w:r>
      <w:proofErr w:type="gramStart"/>
      <w:r>
        <w:t>Healy,  et al.</w:t>
      </w:r>
      <w:proofErr w:type="gramEnd"/>
      <w:r>
        <w:t xml:space="preserve"> 2013; Lang et al., 2010; Engel et al., 2024). As climbing continues to grow and n</w:t>
      </w:r>
      <w:r>
        <w:t>eurodivergence is reframed, it is likely similar themes would emerge across future contexts (Milton, 2012; Botha, 2021).</w:t>
      </w:r>
    </w:p>
    <w:p w14:paraId="0000004A" w14:textId="77777777" w:rsidR="00F27841" w:rsidRDefault="00F27841">
      <w:pPr>
        <w:spacing w:line="360" w:lineRule="auto"/>
      </w:pPr>
    </w:p>
    <w:p w14:paraId="0000004B" w14:textId="77777777" w:rsidR="00F27841" w:rsidRDefault="00A65E98">
      <w:pPr>
        <w:spacing w:before="280" w:line="360" w:lineRule="auto"/>
        <w:rPr>
          <w:b/>
        </w:rPr>
      </w:pPr>
      <w:r>
        <w:rPr>
          <w:b/>
        </w:rPr>
        <w:t xml:space="preserve">4. Ethical Considerations </w:t>
      </w:r>
    </w:p>
    <w:p w14:paraId="0000004C" w14:textId="77777777" w:rsidR="00F27841" w:rsidRDefault="00A65E98">
      <w:pPr>
        <w:spacing w:before="240" w:after="240" w:line="360" w:lineRule="auto"/>
      </w:pPr>
      <w:r>
        <w:t>This study will adhere to the British Association for Counselling and Psychotherapy (BACP, 2018; 2019) Ethi</w:t>
      </w:r>
      <w:r>
        <w:t>cal Frameworks and the University of South Wales Code of Research Good Practice (USW, 2021). Ethical integrity is essential, particularly given the emotive and identity-based nature of this research. Participants will receive detailed information sheets an</w:t>
      </w:r>
      <w:r>
        <w:t>d give informed consent verbally and in writing. They will be reminded that consent is ongoing and may be withdrawn at any point before transcription (Simons et al., 2022). Interviews may involve emotionally charged content. While this is not a therapeutic</w:t>
      </w:r>
      <w:r>
        <w:t xml:space="preserve"> intervention, care will be taken to ensure emotional safety, including active listening, offering breaks, and signposting to </w:t>
      </w:r>
      <w:proofErr w:type="spellStart"/>
      <w:r>
        <w:t>well being</w:t>
      </w:r>
      <w:proofErr w:type="spellEnd"/>
      <w:r>
        <w:t xml:space="preserve"> support if needed (</w:t>
      </w:r>
      <w:proofErr w:type="spellStart"/>
      <w:r>
        <w:t>Rizq</w:t>
      </w:r>
      <w:proofErr w:type="spellEnd"/>
      <w:r>
        <w:t xml:space="preserve">, 2008; </w:t>
      </w:r>
      <w:proofErr w:type="spellStart"/>
      <w:r>
        <w:t>DeJonckheere</w:t>
      </w:r>
      <w:proofErr w:type="spellEnd"/>
      <w:r>
        <w:t xml:space="preserve"> &amp; </w:t>
      </w:r>
      <w:r>
        <w:lastRenderedPageBreak/>
        <w:t>Vaughn, 2019). Participants will be invited to offer feedback post-interv</w:t>
      </w:r>
      <w:r>
        <w:t>iew and review their transcript to ensure accuracy and shared meaning-making (Morrow, 2005). Recruitment will be on a voluntary basis.</w:t>
      </w:r>
    </w:p>
    <w:p w14:paraId="0000004D" w14:textId="77777777" w:rsidR="00F27841" w:rsidRDefault="00A65E98">
      <w:pPr>
        <w:spacing w:before="240" w:after="240" w:line="360" w:lineRule="auto"/>
      </w:pPr>
      <w:r>
        <w:t>As a neurodivergent climber and therapist, I hold an insider-researcher position. While this may support rapport (Kapp et</w:t>
      </w:r>
      <w:r>
        <w:t xml:space="preserve"> al., 2013), it also raises concerns around bias and blurred boundaries (Finlay, 2002; Morrow, 2005). To mitigate these, I will engage in reflexive journaling, research supervision, and remain mindful of boundaries (</w:t>
      </w:r>
      <w:proofErr w:type="spellStart"/>
      <w:r>
        <w:t>Rizq</w:t>
      </w:r>
      <w:proofErr w:type="spellEnd"/>
      <w:r>
        <w:t xml:space="preserve">, 2008; </w:t>
      </w:r>
      <w:proofErr w:type="spellStart"/>
      <w:r>
        <w:t>Bager-Charleson</w:t>
      </w:r>
      <w:proofErr w:type="spellEnd"/>
      <w:r>
        <w:t xml:space="preserve"> et al., 2018</w:t>
      </w:r>
      <w:r>
        <w:t>). Anonymity and confidentiality will be upheld. Data will be stored on encrypted drives and destroyed after transcription. Pseudonyms will be used, and identifying data removed. These procedures follow GDPR (UK Government, 2018) and protect participant pr</w:t>
      </w:r>
      <w:r>
        <w:t>ivacy (Orb et al., 2001).</w:t>
      </w:r>
    </w:p>
    <w:p w14:paraId="0000004E" w14:textId="77777777" w:rsidR="00F27841" w:rsidRDefault="00A65E98">
      <w:pPr>
        <w:spacing w:before="240" w:after="240" w:line="360" w:lineRule="auto"/>
      </w:pPr>
      <w:r>
        <w:t xml:space="preserve">This research recognises power imbalances in qualitative work. By </w:t>
      </w:r>
      <w:proofErr w:type="spellStart"/>
      <w:r>
        <w:t>centering</w:t>
      </w:r>
      <w:proofErr w:type="spellEnd"/>
      <w:r>
        <w:t xml:space="preserve"> participant voices, offering flexible interview formats, and engaging in reflexivity, the study aims to uphold autonomy, respect, and justice (Yardley, 2000; Levitt et al., 2017; T</w:t>
      </w:r>
      <w:r>
        <w:t>racy, 2010).</w:t>
      </w:r>
    </w:p>
    <w:p w14:paraId="0000004F" w14:textId="77777777" w:rsidR="00F27841" w:rsidRDefault="00F27841">
      <w:pPr>
        <w:spacing w:before="240" w:after="240" w:line="360" w:lineRule="auto"/>
      </w:pPr>
    </w:p>
    <w:p w14:paraId="00000050" w14:textId="77777777" w:rsidR="00F27841" w:rsidRDefault="00F27841">
      <w:pPr>
        <w:pStyle w:val="Heading3"/>
        <w:keepNext w:val="0"/>
        <w:keepLines w:val="0"/>
        <w:spacing w:before="280" w:line="360" w:lineRule="auto"/>
        <w:rPr>
          <w:rFonts w:ascii="Calibri" w:eastAsia="Calibri" w:hAnsi="Calibri" w:cs="Calibri"/>
          <w:b/>
          <w:color w:val="000000"/>
          <w:sz w:val="22"/>
          <w:szCs w:val="22"/>
        </w:rPr>
      </w:pPr>
      <w:bookmarkStart w:id="0" w:name="_3eus807uah6o" w:colFirst="0" w:colLast="0"/>
      <w:bookmarkEnd w:id="0"/>
    </w:p>
    <w:p w14:paraId="00000051" w14:textId="77777777" w:rsidR="00F27841" w:rsidRDefault="00F27841">
      <w:pPr>
        <w:pStyle w:val="Heading3"/>
        <w:keepNext w:val="0"/>
        <w:keepLines w:val="0"/>
        <w:spacing w:before="280" w:line="360" w:lineRule="auto"/>
        <w:rPr>
          <w:rFonts w:ascii="Calibri" w:eastAsia="Calibri" w:hAnsi="Calibri" w:cs="Calibri"/>
          <w:b/>
          <w:color w:val="000000"/>
          <w:sz w:val="22"/>
          <w:szCs w:val="22"/>
        </w:rPr>
      </w:pPr>
      <w:bookmarkStart w:id="1" w:name="_uj573gyqldt" w:colFirst="0" w:colLast="0"/>
      <w:bookmarkEnd w:id="1"/>
    </w:p>
    <w:p w14:paraId="00000052" w14:textId="77777777" w:rsidR="00F27841" w:rsidRDefault="00F27841">
      <w:pPr>
        <w:pStyle w:val="Heading3"/>
        <w:keepNext w:val="0"/>
        <w:keepLines w:val="0"/>
        <w:spacing w:before="280" w:line="360" w:lineRule="auto"/>
        <w:rPr>
          <w:rFonts w:ascii="Calibri" w:eastAsia="Calibri" w:hAnsi="Calibri" w:cs="Calibri"/>
          <w:b/>
          <w:color w:val="000000"/>
          <w:sz w:val="22"/>
          <w:szCs w:val="22"/>
        </w:rPr>
      </w:pPr>
      <w:bookmarkStart w:id="2" w:name="_wno1y9c4vvo8" w:colFirst="0" w:colLast="0"/>
      <w:bookmarkEnd w:id="2"/>
    </w:p>
    <w:p w14:paraId="00000053" w14:textId="77777777" w:rsidR="00F27841" w:rsidRDefault="00F27841">
      <w:pPr>
        <w:pStyle w:val="Heading3"/>
        <w:keepNext w:val="0"/>
        <w:keepLines w:val="0"/>
        <w:spacing w:before="280" w:line="360" w:lineRule="auto"/>
        <w:rPr>
          <w:rFonts w:ascii="Calibri" w:eastAsia="Calibri" w:hAnsi="Calibri" w:cs="Calibri"/>
          <w:b/>
          <w:color w:val="000000"/>
          <w:sz w:val="22"/>
          <w:szCs w:val="22"/>
        </w:rPr>
      </w:pPr>
      <w:bookmarkStart w:id="3" w:name="_se0ja82qgwzl" w:colFirst="0" w:colLast="0"/>
      <w:bookmarkEnd w:id="3"/>
    </w:p>
    <w:p w14:paraId="00000054" w14:textId="77777777" w:rsidR="00F27841" w:rsidRDefault="00F27841">
      <w:pPr>
        <w:pStyle w:val="Heading3"/>
        <w:keepNext w:val="0"/>
        <w:keepLines w:val="0"/>
        <w:spacing w:before="280" w:line="360" w:lineRule="auto"/>
        <w:rPr>
          <w:rFonts w:ascii="Calibri" w:eastAsia="Calibri" w:hAnsi="Calibri" w:cs="Calibri"/>
          <w:b/>
          <w:color w:val="000000"/>
          <w:sz w:val="22"/>
          <w:szCs w:val="22"/>
        </w:rPr>
      </w:pPr>
      <w:bookmarkStart w:id="4" w:name="_1jm1pih44s1r" w:colFirst="0" w:colLast="0"/>
      <w:bookmarkEnd w:id="4"/>
    </w:p>
    <w:p w14:paraId="00000055" w14:textId="77777777" w:rsidR="00F27841" w:rsidRDefault="00F27841">
      <w:pPr>
        <w:pStyle w:val="Heading3"/>
        <w:keepNext w:val="0"/>
        <w:keepLines w:val="0"/>
        <w:spacing w:before="280" w:line="360" w:lineRule="auto"/>
        <w:rPr>
          <w:rFonts w:ascii="Calibri" w:eastAsia="Calibri" w:hAnsi="Calibri" w:cs="Calibri"/>
          <w:b/>
          <w:color w:val="000000"/>
          <w:sz w:val="22"/>
          <w:szCs w:val="22"/>
        </w:rPr>
      </w:pPr>
      <w:bookmarkStart w:id="5" w:name="_afiygbcnc37i" w:colFirst="0" w:colLast="0"/>
      <w:bookmarkEnd w:id="5"/>
    </w:p>
    <w:p w14:paraId="00000056" w14:textId="77777777" w:rsidR="00F27841" w:rsidRDefault="00F27841">
      <w:pPr>
        <w:pStyle w:val="Heading3"/>
        <w:keepNext w:val="0"/>
        <w:keepLines w:val="0"/>
        <w:spacing w:before="280" w:line="360" w:lineRule="auto"/>
        <w:rPr>
          <w:rFonts w:ascii="Calibri" w:eastAsia="Calibri" w:hAnsi="Calibri" w:cs="Calibri"/>
          <w:b/>
          <w:color w:val="000000"/>
          <w:sz w:val="22"/>
          <w:szCs w:val="22"/>
        </w:rPr>
      </w:pPr>
      <w:bookmarkStart w:id="6" w:name="_no2fe2mde2z3" w:colFirst="0" w:colLast="0"/>
      <w:bookmarkEnd w:id="6"/>
    </w:p>
    <w:p w14:paraId="00000057" w14:textId="77777777" w:rsidR="00F27841" w:rsidRDefault="00F27841">
      <w:pPr>
        <w:pStyle w:val="Heading3"/>
        <w:keepNext w:val="0"/>
        <w:keepLines w:val="0"/>
        <w:spacing w:before="280" w:line="360" w:lineRule="auto"/>
        <w:rPr>
          <w:rFonts w:ascii="Calibri" w:eastAsia="Calibri" w:hAnsi="Calibri" w:cs="Calibri"/>
          <w:b/>
          <w:color w:val="000000"/>
          <w:sz w:val="22"/>
          <w:szCs w:val="22"/>
        </w:rPr>
      </w:pPr>
      <w:bookmarkStart w:id="7" w:name="_52rzsvp3vner" w:colFirst="0" w:colLast="0"/>
      <w:bookmarkEnd w:id="7"/>
    </w:p>
    <w:p w14:paraId="00000058" w14:textId="77777777" w:rsidR="00F27841" w:rsidRDefault="00F27841">
      <w:pPr>
        <w:pStyle w:val="Heading3"/>
        <w:keepNext w:val="0"/>
        <w:keepLines w:val="0"/>
        <w:spacing w:before="280" w:line="360" w:lineRule="auto"/>
        <w:rPr>
          <w:rFonts w:ascii="Calibri" w:eastAsia="Calibri" w:hAnsi="Calibri" w:cs="Calibri"/>
          <w:b/>
          <w:color w:val="000000"/>
          <w:sz w:val="22"/>
          <w:szCs w:val="22"/>
        </w:rPr>
      </w:pPr>
      <w:bookmarkStart w:id="8" w:name="_u3qlcoa4o1qr" w:colFirst="0" w:colLast="0"/>
      <w:bookmarkEnd w:id="8"/>
    </w:p>
    <w:p w14:paraId="00000059" w14:textId="77777777" w:rsidR="00F27841" w:rsidRDefault="00F27841">
      <w:pPr>
        <w:pStyle w:val="Heading3"/>
        <w:keepNext w:val="0"/>
        <w:keepLines w:val="0"/>
        <w:spacing w:before="280" w:line="360" w:lineRule="auto"/>
        <w:rPr>
          <w:rFonts w:ascii="Calibri" w:eastAsia="Calibri" w:hAnsi="Calibri" w:cs="Calibri"/>
          <w:b/>
          <w:color w:val="000000"/>
          <w:sz w:val="22"/>
          <w:szCs w:val="22"/>
        </w:rPr>
      </w:pPr>
      <w:bookmarkStart w:id="9" w:name="_vtue90ezzio5" w:colFirst="0" w:colLast="0"/>
      <w:bookmarkEnd w:id="9"/>
    </w:p>
    <w:p w14:paraId="41C7D125" w14:textId="77777777" w:rsidR="00FB7BCA" w:rsidRDefault="00FB7BCA">
      <w:pPr>
        <w:pStyle w:val="Heading3"/>
        <w:keepNext w:val="0"/>
        <w:keepLines w:val="0"/>
        <w:spacing w:before="280" w:line="360" w:lineRule="auto"/>
        <w:rPr>
          <w:rFonts w:ascii="Calibri" w:eastAsia="Calibri" w:hAnsi="Calibri" w:cs="Calibri"/>
          <w:b/>
          <w:color w:val="000000"/>
          <w:sz w:val="22"/>
          <w:szCs w:val="22"/>
        </w:rPr>
      </w:pPr>
      <w:bookmarkStart w:id="10" w:name="_xi1ay08spoxs" w:colFirst="0" w:colLast="0"/>
      <w:bookmarkStart w:id="11" w:name="_1s515em8m8mh" w:colFirst="0" w:colLast="0"/>
      <w:bookmarkStart w:id="12" w:name="_s4h03af9i0qq" w:colFirst="0" w:colLast="0"/>
      <w:bookmarkStart w:id="13" w:name="_patejddnowy5" w:colFirst="0" w:colLast="0"/>
      <w:bookmarkEnd w:id="10"/>
      <w:bookmarkEnd w:id="11"/>
      <w:bookmarkEnd w:id="12"/>
      <w:bookmarkEnd w:id="13"/>
    </w:p>
    <w:p w14:paraId="0000005D" w14:textId="62F3E5E8" w:rsidR="00F27841" w:rsidRPr="00FB7BCA" w:rsidRDefault="00A65E98">
      <w:pPr>
        <w:pStyle w:val="Heading3"/>
        <w:keepNext w:val="0"/>
        <w:keepLines w:val="0"/>
        <w:spacing w:before="280" w:line="360" w:lineRule="auto"/>
        <w:rPr>
          <w:rFonts w:eastAsia="Calibri"/>
          <w:b/>
          <w:color w:val="000000"/>
          <w:sz w:val="22"/>
          <w:szCs w:val="22"/>
        </w:rPr>
      </w:pPr>
      <w:r w:rsidRPr="00FB7BCA">
        <w:rPr>
          <w:rFonts w:eastAsia="Calibri"/>
          <w:b/>
          <w:color w:val="000000"/>
          <w:sz w:val="22"/>
          <w:szCs w:val="22"/>
        </w:rPr>
        <w:lastRenderedPageBreak/>
        <w:t>Appendix – Interview Schedule</w:t>
      </w:r>
    </w:p>
    <w:p w14:paraId="0000005E" w14:textId="77777777" w:rsidR="00F27841" w:rsidRPr="00FB7BCA" w:rsidRDefault="00A65E98">
      <w:pPr>
        <w:numPr>
          <w:ilvl w:val="0"/>
          <w:numId w:val="1"/>
        </w:numPr>
        <w:spacing w:before="240" w:line="360" w:lineRule="auto"/>
        <w:rPr>
          <w:rFonts w:eastAsia="Calibri"/>
        </w:rPr>
      </w:pPr>
      <w:r w:rsidRPr="00FB7BCA">
        <w:rPr>
          <w:rFonts w:eastAsia="Calibri"/>
          <w:b/>
        </w:rPr>
        <w:t>Could you tell me a bit about how you got into climbing?</w:t>
      </w:r>
      <w:r w:rsidRPr="00FB7BCA">
        <w:rPr>
          <w:rFonts w:eastAsia="Calibri"/>
          <w:b/>
        </w:rPr>
        <w:br/>
      </w:r>
      <w:r w:rsidRPr="00FB7BCA">
        <w:rPr>
          <w:rFonts w:eastAsia="Calibri"/>
        </w:rPr>
        <w:t xml:space="preserve"> </w:t>
      </w:r>
      <w:r w:rsidRPr="00FB7BCA">
        <w:rPr>
          <w:rFonts w:eastAsia="Calibri"/>
          <w:i/>
        </w:rPr>
        <w:t>(Follow-up: What initially drew you to it?)</w:t>
      </w:r>
      <w:r w:rsidRPr="00FB7BCA">
        <w:rPr>
          <w:rFonts w:eastAsia="Calibri"/>
          <w:i/>
        </w:rPr>
        <w:br/>
      </w:r>
    </w:p>
    <w:p w14:paraId="0000005F" w14:textId="77777777" w:rsidR="00F27841" w:rsidRPr="00FB7BCA" w:rsidRDefault="00A65E98">
      <w:pPr>
        <w:numPr>
          <w:ilvl w:val="0"/>
          <w:numId w:val="1"/>
        </w:numPr>
        <w:spacing w:line="360" w:lineRule="auto"/>
        <w:rPr>
          <w:rFonts w:eastAsia="Calibri"/>
        </w:rPr>
      </w:pPr>
      <w:r w:rsidRPr="00FB7BCA">
        <w:rPr>
          <w:rFonts w:eastAsia="Calibri"/>
          <w:b/>
        </w:rPr>
        <w:t>Can you describe what it feels like, for you, when you're climbing?</w:t>
      </w:r>
      <w:r w:rsidRPr="00FB7BCA">
        <w:rPr>
          <w:rFonts w:eastAsia="Calibri"/>
          <w:b/>
        </w:rPr>
        <w:br/>
      </w:r>
      <w:r w:rsidRPr="00FB7BCA">
        <w:rPr>
          <w:rFonts w:eastAsia="Calibri"/>
        </w:rPr>
        <w:t xml:space="preserve"> </w:t>
      </w:r>
      <w:r w:rsidRPr="00FB7BCA">
        <w:rPr>
          <w:rFonts w:eastAsia="Calibri"/>
          <w:i/>
        </w:rPr>
        <w:t>(Prompts: emotionally, phys</w:t>
      </w:r>
      <w:r w:rsidRPr="00FB7BCA">
        <w:rPr>
          <w:rFonts w:eastAsia="Calibri"/>
          <w:i/>
        </w:rPr>
        <w:t>ically, socially)</w:t>
      </w:r>
      <w:r w:rsidRPr="00FB7BCA">
        <w:rPr>
          <w:rFonts w:eastAsia="Calibri"/>
          <w:i/>
        </w:rPr>
        <w:br/>
      </w:r>
    </w:p>
    <w:p w14:paraId="00000060" w14:textId="77777777" w:rsidR="00F27841" w:rsidRPr="00FB7BCA" w:rsidRDefault="00A65E98">
      <w:pPr>
        <w:numPr>
          <w:ilvl w:val="0"/>
          <w:numId w:val="1"/>
        </w:numPr>
        <w:spacing w:line="360" w:lineRule="auto"/>
        <w:rPr>
          <w:rFonts w:eastAsia="Calibri"/>
        </w:rPr>
      </w:pPr>
      <w:r w:rsidRPr="00FB7BCA">
        <w:rPr>
          <w:rFonts w:eastAsia="Calibri"/>
          <w:b/>
        </w:rPr>
        <w:t>How does climbing impact your mental health or general well-being?</w:t>
      </w:r>
      <w:r w:rsidRPr="00FB7BCA">
        <w:rPr>
          <w:rFonts w:eastAsia="Calibri"/>
          <w:b/>
        </w:rPr>
        <w:br/>
      </w:r>
      <w:r w:rsidRPr="00FB7BCA">
        <w:rPr>
          <w:rFonts w:eastAsia="Calibri"/>
        </w:rPr>
        <w:t xml:space="preserve"> </w:t>
      </w:r>
      <w:r w:rsidRPr="00FB7BCA">
        <w:rPr>
          <w:rFonts w:eastAsia="Calibri"/>
          <w:i/>
        </w:rPr>
        <w:t>(Follow-up: Are there specific moments or experiences that stand out?)</w:t>
      </w:r>
      <w:r w:rsidRPr="00FB7BCA">
        <w:rPr>
          <w:rFonts w:eastAsia="Calibri"/>
          <w:i/>
        </w:rPr>
        <w:br/>
      </w:r>
    </w:p>
    <w:p w14:paraId="00000061" w14:textId="77777777" w:rsidR="00F27841" w:rsidRPr="00FB7BCA" w:rsidRDefault="00A65E98">
      <w:pPr>
        <w:numPr>
          <w:ilvl w:val="0"/>
          <w:numId w:val="1"/>
        </w:numPr>
        <w:spacing w:line="360" w:lineRule="auto"/>
        <w:rPr>
          <w:rFonts w:eastAsia="Calibri"/>
        </w:rPr>
      </w:pPr>
      <w:r w:rsidRPr="00FB7BCA">
        <w:rPr>
          <w:rFonts w:eastAsia="Calibri"/>
          <w:b/>
        </w:rPr>
        <w:t>Do you think your experiences of climbing are shaped by being neurodivergent?</w:t>
      </w:r>
      <w:r w:rsidRPr="00FB7BCA">
        <w:rPr>
          <w:rFonts w:eastAsia="Calibri"/>
          <w:b/>
        </w:rPr>
        <w:br/>
      </w:r>
      <w:r w:rsidRPr="00FB7BCA">
        <w:rPr>
          <w:rFonts w:eastAsia="Calibri"/>
        </w:rPr>
        <w:t xml:space="preserve"> </w:t>
      </w:r>
      <w:r w:rsidRPr="00FB7BCA">
        <w:rPr>
          <w:rFonts w:eastAsia="Calibri"/>
          <w:i/>
        </w:rPr>
        <w:t>(Prompts: Do senso</w:t>
      </w:r>
      <w:r w:rsidRPr="00FB7BCA">
        <w:rPr>
          <w:rFonts w:eastAsia="Calibri"/>
          <w:i/>
        </w:rPr>
        <w:t>ry aspects, focus, communication, or social environments play a role?)</w:t>
      </w:r>
      <w:r w:rsidRPr="00FB7BCA">
        <w:rPr>
          <w:rFonts w:eastAsia="Calibri"/>
          <w:i/>
        </w:rPr>
        <w:br/>
      </w:r>
    </w:p>
    <w:p w14:paraId="00000062" w14:textId="77777777" w:rsidR="00F27841" w:rsidRPr="00FB7BCA" w:rsidRDefault="00A65E98">
      <w:pPr>
        <w:numPr>
          <w:ilvl w:val="0"/>
          <w:numId w:val="1"/>
        </w:numPr>
        <w:spacing w:after="240" w:line="360" w:lineRule="auto"/>
        <w:rPr>
          <w:rFonts w:eastAsia="Calibri"/>
        </w:rPr>
      </w:pPr>
      <w:r w:rsidRPr="00FB7BCA">
        <w:rPr>
          <w:rFonts w:eastAsia="Calibri"/>
          <w:b/>
        </w:rPr>
        <w:t>Have you found anything challenging about climbing in relation to being neurodivergent?</w:t>
      </w:r>
      <w:r w:rsidRPr="00FB7BCA">
        <w:rPr>
          <w:rFonts w:eastAsia="Calibri"/>
          <w:b/>
        </w:rPr>
        <w:br/>
      </w:r>
      <w:r w:rsidRPr="00FB7BCA">
        <w:rPr>
          <w:rFonts w:eastAsia="Calibri"/>
        </w:rPr>
        <w:t xml:space="preserve"> </w:t>
      </w:r>
      <w:r w:rsidRPr="00FB7BCA">
        <w:rPr>
          <w:rFonts w:eastAsia="Calibri"/>
          <w:i/>
        </w:rPr>
        <w:t>(Prompt: Are there any barriers, misunderstandings, or difficult experiences?)</w:t>
      </w:r>
    </w:p>
    <w:p w14:paraId="00000063" w14:textId="77777777" w:rsidR="00F27841" w:rsidRPr="00FB7BCA" w:rsidRDefault="00F27841">
      <w:pPr>
        <w:spacing w:before="240" w:after="240" w:line="360" w:lineRule="auto"/>
        <w:ind w:left="720"/>
        <w:rPr>
          <w:rFonts w:eastAsia="Calibri"/>
          <w:i/>
        </w:rPr>
      </w:pPr>
    </w:p>
    <w:p w14:paraId="00000064" w14:textId="77777777" w:rsidR="00F27841" w:rsidRPr="00FB7BCA" w:rsidRDefault="00A65E98">
      <w:pPr>
        <w:numPr>
          <w:ilvl w:val="0"/>
          <w:numId w:val="1"/>
        </w:numPr>
        <w:spacing w:before="240" w:line="360" w:lineRule="auto"/>
        <w:rPr>
          <w:rFonts w:eastAsia="Calibri"/>
        </w:rPr>
      </w:pPr>
      <w:r w:rsidRPr="00FB7BCA">
        <w:rPr>
          <w:rFonts w:eastAsia="Calibri"/>
          <w:b/>
        </w:rPr>
        <w:t>Have you ever felt a sense of support, community, or connection through climbing?</w:t>
      </w:r>
      <w:r w:rsidRPr="00FB7BCA">
        <w:rPr>
          <w:rFonts w:eastAsia="Calibri"/>
          <w:b/>
        </w:rPr>
        <w:br/>
      </w:r>
      <w:r w:rsidRPr="00FB7BCA">
        <w:rPr>
          <w:rFonts w:eastAsia="Calibri"/>
        </w:rPr>
        <w:t xml:space="preserve"> </w:t>
      </w:r>
      <w:r w:rsidRPr="00FB7BCA">
        <w:rPr>
          <w:rFonts w:eastAsia="Calibri"/>
          <w:i/>
        </w:rPr>
        <w:t>(Follow-up: What contributes to that feeling, if so?)</w:t>
      </w:r>
      <w:r w:rsidRPr="00FB7BCA">
        <w:rPr>
          <w:rFonts w:eastAsia="Calibri"/>
          <w:i/>
        </w:rPr>
        <w:br/>
      </w:r>
    </w:p>
    <w:p w14:paraId="00000065" w14:textId="77777777" w:rsidR="00F27841" w:rsidRPr="00FB7BCA" w:rsidRDefault="00A65E98">
      <w:pPr>
        <w:numPr>
          <w:ilvl w:val="0"/>
          <w:numId w:val="1"/>
        </w:numPr>
        <w:spacing w:after="240" w:line="360" w:lineRule="auto"/>
        <w:rPr>
          <w:rFonts w:eastAsia="Calibri"/>
        </w:rPr>
      </w:pPr>
      <w:r w:rsidRPr="00FB7BCA">
        <w:rPr>
          <w:rFonts w:eastAsia="Calibri"/>
          <w:b/>
        </w:rPr>
        <w:t>Is there anything else you’d like to share about your experience of climbing and mental health?</w:t>
      </w:r>
    </w:p>
    <w:p w14:paraId="00000066" w14:textId="77777777" w:rsidR="00F27841" w:rsidRPr="00FB7BCA" w:rsidRDefault="00F27841">
      <w:pPr>
        <w:spacing w:before="240" w:after="240" w:line="360" w:lineRule="auto"/>
        <w:rPr>
          <w:rFonts w:eastAsia="Calibri"/>
          <w:b/>
        </w:rPr>
      </w:pPr>
    </w:p>
    <w:p w14:paraId="00000067" w14:textId="77777777" w:rsidR="00F27841" w:rsidRPr="00FB7BCA" w:rsidRDefault="00F27841">
      <w:pPr>
        <w:spacing w:before="240" w:after="240" w:line="360" w:lineRule="auto"/>
        <w:rPr>
          <w:rFonts w:eastAsia="Calibri"/>
          <w:b/>
        </w:rPr>
      </w:pPr>
    </w:p>
    <w:p w14:paraId="00000068" w14:textId="77777777" w:rsidR="00F27841" w:rsidRPr="00FB7BCA" w:rsidRDefault="00F27841">
      <w:pPr>
        <w:spacing w:before="240" w:after="240" w:line="360" w:lineRule="auto"/>
        <w:rPr>
          <w:rFonts w:eastAsia="Calibri"/>
          <w:b/>
        </w:rPr>
      </w:pPr>
    </w:p>
    <w:p w14:paraId="00000069" w14:textId="77777777" w:rsidR="00F27841" w:rsidRPr="00FB7BCA" w:rsidRDefault="00F27841">
      <w:pPr>
        <w:spacing w:before="240" w:after="240" w:line="360" w:lineRule="auto"/>
        <w:rPr>
          <w:rFonts w:eastAsia="Calibri"/>
          <w:b/>
        </w:rPr>
      </w:pPr>
    </w:p>
    <w:p w14:paraId="0000006A" w14:textId="77777777" w:rsidR="00F27841" w:rsidRPr="00FB7BCA" w:rsidRDefault="00F27841">
      <w:pPr>
        <w:spacing w:before="240" w:after="240" w:line="360" w:lineRule="auto"/>
        <w:rPr>
          <w:rFonts w:eastAsia="Calibri"/>
          <w:b/>
        </w:rPr>
      </w:pPr>
    </w:p>
    <w:p w14:paraId="2918DFA1" w14:textId="77777777" w:rsidR="00FB7BCA" w:rsidRDefault="00FB7BCA">
      <w:pPr>
        <w:spacing w:before="240" w:after="240" w:line="360" w:lineRule="auto"/>
        <w:rPr>
          <w:rFonts w:eastAsia="Calibri"/>
          <w:b/>
        </w:rPr>
      </w:pPr>
    </w:p>
    <w:p w14:paraId="0000006D" w14:textId="01B57367" w:rsidR="00F27841" w:rsidRPr="00FB7BCA" w:rsidRDefault="00A65E98">
      <w:pPr>
        <w:spacing w:before="240" w:after="240" w:line="360" w:lineRule="auto"/>
        <w:rPr>
          <w:rFonts w:eastAsia="Calibri"/>
          <w:b/>
        </w:rPr>
      </w:pPr>
      <w:bookmarkStart w:id="14" w:name="_GoBack"/>
      <w:bookmarkEnd w:id="14"/>
      <w:r w:rsidRPr="00FB7BCA">
        <w:rPr>
          <w:rFonts w:eastAsia="Calibri"/>
          <w:b/>
        </w:rPr>
        <w:lastRenderedPageBreak/>
        <w:t>Reference List</w:t>
      </w:r>
    </w:p>
    <w:p w14:paraId="0000006E" w14:textId="77777777" w:rsidR="00F27841" w:rsidRPr="00FB7BCA" w:rsidRDefault="00F27841">
      <w:pPr>
        <w:spacing w:before="240" w:after="240" w:line="360" w:lineRule="auto"/>
        <w:rPr>
          <w:b/>
        </w:rPr>
      </w:pPr>
    </w:p>
    <w:p w14:paraId="0000006F" w14:textId="77777777" w:rsidR="00F27841" w:rsidRPr="00FB7BCA" w:rsidRDefault="00A65E98">
      <w:pPr>
        <w:spacing w:line="360" w:lineRule="auto"/>
      </w:pPr>
      <w:r w:rsidRPr="00FB7BCA">
        <w:t xml:space="preserve">ABC (2023) </w:t>
      </w:r>
      <w:r w:rsidRPr="00FB7BCA">
        <w:rPr>
          <w:i/>
        </w:rPr>
        <w:t>State of the Climbing Industry Report</w:t>
      </w:r>
      <w:r w:rsidRPr="00FB7BCA">
        <w:t>. Association of British Climbing Walls.</w:t>
      </w:r>
      <w:r w:rsidRPr="00FB7BCA">
        <w:br/>
      </w:r>
    </w:p>
    <w:p w14:paraId="00000070" w14:textId="77777777" w:rsidR="00F27841" w:rsidRPr="00FB7BCA" w:rsidRDefault="00A65E98">
      <w:pPr>
        <w:spacing w:line="360" w:lineRule="auto"/>
      </w:pPr>
      <w:r w:rsidRPr="00FB7BCA">
        <w:t xml:space="preserve">BACP (2018) </w:t>
      </w:r>
      <w:r w:rsidRPr="00FB7BCA">
        <w:rPr>
          <w:i/>
        </w:rPr>
        <w:t>Ethical Framework for the Counselling Professions</w:t>
      </w:r>
      <w:r w:rsidRPr="00FB7BCA">
        <w:t>. Lutterworth: BACP.</w:t>
      </w:r>
      <w:r w:rsidRPr="00FB7BCA">
        <w:br/>
      </w:r>
    </w:p>
    <w:p w14:paraId="00000071" w14:textId="77777777" w:rsidR="00F27841" w:rsidRPr="00FB7BCA" w:rsidRDefault="00A65E98">
      <w:pPr>
        <w:spacing w:line="360" w:lineRule="auto"/>
      </w:pPr>
      <w:r w:rsidRPr="00FB7BCA">
        <w:t xml:space="preserve">BACP (2019) </w:t>
      </w:r>
      <w:r w:rsidRPr="00FB7BCA">
        <w:rPr>
          <w:i/>
        </w:rPr>
        <w:t>Good Practice in Action 040: Research Ethics</w:t>
      </w:r>
      <w:r w:rsidRPr="00FB7BCA">
        <w:t>. Lutterworth: BACP.</w:t>
      </w:r>
      <w:r w:rsidRPr="00FB7BCA">
        <w:br/>
      </w:r>
    </w:p>
    <w:p w14:paraId="00000072" w14:textId="77777777" w:rsidR="00F27841" w:rsidRPr="00FB7BCA" w:rsidRDefault="00A65E98">
      <w:pPr>
        <w:spacing w:line="360" w:lineRule="auto"/>
      </w:pPr>
      <w:proofErr w:type="spellStart"/>
      <w:r w:rsidRPr="00FB7BCA">
        <w:t>Bage</w:t>
      </w:r>
      <w:r w:rsidRPr="00FB7BCA">
        <w:t>r-Charleson</w:t>
      </w:r>
      <w:proofErr w:type="spellEnd"/>
      <w:r w:rsidRPr="00FB7BCA">
        <w:t xml:space="preserve">, S., du Plock, S. and </w:t>
      </w:r>
      <w:proofErr w:type="spellStart"/>
      <w:r w:rsidRPr="00FB7BCA">
        <w:t>McBeath</w:t>
      </w:r>
      <w:proofErr w:type="spellEnd"/>
      <w:r w:rsidRPr="00FB7BCA">
        <w:t xml:space="preserve">, A.G. (2018) ‘“Therapists have a lot to add to the field of research, but many don’t make it there”: A narrative thematic inquiry into counsellors’ and psychotherapists’ embodied engagement with research’, </w:t>
      </w:r>
      <w:r w:rsidRPr="00FB7BCA">
        <w:rPr>
          <w:i/>
        </w:rPr>
        <w:t xml:space="preserve">Journal </w:t>
      </w:r>
      <w:r w:rsidRPr="00FB7BCA">
        <w:rPr>
          <w:i/>
        </w:rPr>
        <w:t>for Language and Psychoanalysis</w:t>
      </w:r>
      <w:r w:rsidRPr="00FB7BCA">
        <w:t>, 7(1), pp. 4–22.</w:t>
      </w:r>
    </w:p>
    <w:p w14:paraId="00000073" w14:textId="77777777" w:rsidR="00F27841" w:rsidRPr="00FB7BCA" w:rsidRDefault="00F27841">
      <w:pPr>
        <w:spacing w:line="360" w:lineRule="auto"/>
      </w:pPr>
    </w:p>
    <w:p w14:paraId="00000074" w14:textId="77777777" w:rsidR="00F27841" w:rsidRPr="00FB7BCA" w:rsidRDefault="00A65E98">
      <w:pPr>
        <w:spacing w:line="360" w:lineRule="auto"/>
      </w:pPr>
      <w:r w:rsidRPr="00FB7BCA">
        <w:t xml:space="preserve">Bandura, A. (1997) </w:t>
      </w:r>
      <w:r w:rsidRPr="00FB7BCA">
        <w:rPr>
          <w:i/>
        </w:rPr>
        <w:t>Self-Efficacy: The Exercise of Control</w:t>
      </w:r>
      <w:r w:rsidRPr="00FB7BCA">
        <w:t>. New York: W.H. Freeman.</w:t>
      </w:r>
      <w:r w:rsidRPr="00FB7BCA">
        <w:br/>
      </w:r>
    </w:p>
    <w:p w14:paraId="00000075" w14:textId="77777777" w:rsidR="00F27841" w:rsidRPr="00FB7BCA" w:rsidRDefault="00A65E98">
      <w:pPr>
        <w:spacing w:line="360" w:lineRule="auto"/>
      </w:pPr>
      <w:r w:rsidRPr="00FB7BCA">
        <w:t xml:space="preserve">Biddle, S.J.H., </w:t>
      </w:r>
      <w:proofErr w:type="spellStart"/>
      <w:r w:rsidRPr="00FB7BCA">
        <w:t>Ciaccioni</w:t>
      </w:r>
      <w:proofErr w:type="spellEnd"/>
      <w:r w:rsidRPr="00FB7BCA">
        <w:t>, S., Thomas, G. and Vergeer, I. (2019) ‘Physical activity and mental health in children and adol</w:t>
      </w:r>
      <w:r w:rsidRPr="00FB7BCA">
        <w:t xml:space="preserve">escents: An updated review of reviews and an analysis of causality’, </w:t>
      </w:r>
      <w:r w:rsidRPr="00FB7BCA">
        <w:rPr>
          <w:i/>
        </w:rPr>
        <w:t>Psychology of Sport and Exercise</w:t>
      </w:r>
      <w:r w:rsidRPr="00FB7BCA">
        <w:t>, 42, pp. 146–155.</w:t>
      </w:r>
    </w:p>
    <w:p w14:paraId="00000076" w14:textId="77777777" w:rsidR="00F27841" w:rsidRPr="00FB7BCA" w:rsidRDefault="00F27841">
      <w:pPr>
        <w:spacing w:line="360" w:lineRule="auto"/>
      </w:pPr>
    </w:p>
    <w:p w14:paraId="00000077" w14:textId="77777777" w:rsidR="00F27841" w:rsidRPr="00FB7BCA" w:rsidRDefault="00A65E98">
      <w:pPr>
        <w:spacing w:line="360" w:lineRule="auto"/>
      </w:pPr>
      <w:r w:rsidRPr="00FB7BCA">
        <w:t xml:space="preserve">Botha, M. (2021) ‘Autism and masking: How and why people do it, and the impact it can have’, </w:t>
      </w:r>
      <w:r w:rsidRPr="00FB7BCA">
        <w:rPr>
          <w:i/>
        </w:rPr>
        <w:t>Autism in Adulthood</w:t>
      </w:r>
      <w:r w:rsidRPr="00FB7BCA">
        <w:t xml:space="preserve">, 3(1), pp. 52–59. </w:t>
      </w:r>
      <w:hyperlink r:id="rId7">
        <w:r w:rsidRPr="00FB7BCA">
          <w:t>https://doi.org/10.1089/aut.2020.0071</w:t>
        </w:r>
      </w:hyperlink>
    </w:p>
    <w:p w14:paraId="00000078" w14:textId="77777777" w:rsidR="00F27841" w:rsidRPr="00FB7BCA" w:rsidRDefault="00A65E98">
      <w:pPr>
        <w:spacing w:before="240" w:after="240" w:line="360" w:lineRule="auto"/>
      </w:pPr>
      <w:r w:rsidRPr="00FB7BCA">
        <w:t xml:space="preserve">Bowen, D.J. and Neill, J.T. (2013) ‘A meta-analysis of adventure therapy outcomes and moderators’, </w:t>
      </w:r>
      <w:r w:rsidRPr="00FB7BCA">
        <w:rPr>
          <w:i/>
        </w:rPr>
        <w:t>The Open Psychology Journal</w:t>
      </w:r>
      <w:r w:rsidRPr="00FB7BCA">
        <w:t>, 6, pp. 28–53.</w:t>
      </w:r>
    </w:p>
    <w:p w14:paraId="00000079" w14:textId="77777777" w:rsidR="00F27841" w:rsidRPr="00FB7BCA" w:rsidRDefault="00A65E98">
      <w:pPr>
        <w:spacing w:before="240" w:after="240" w:line="360" w:lineRule="auto"/>
      </w:pPr>
      <w:r w:rsidRPr="00FB7BCA">
        <w:t>Braun, V. and Clarke, V</w:t>
      </w:r>
      <w:r w:rsidRPr="00FB7BCA">
        <w:t xml:space="preserve">. (2006) ‘Using thematic analysis in psychology’, </w:t>
      </w:r>
      <w:r w:rsidRPr="00FB7BCA">
        <w:rPr>
          <w:i/>
        </w:rPr>
        <w:t>Qualitative Research in Psychology</w:t>
      </w:r>
      <w:r w:rsidRPr="00FB7BCA">
        <w:t>, 3(2), pp. 77–101. Available at: https://doi.org/10.1191/1478088706qp063oa.</w:t>
      </w:r>
    </w:p>
    <w:p w14:paraId="0000007A" w14:textId="77777777" w:rsidR="00F27841" w:rsidRPr="00FB7BCA" w:rsidRDefault="00A65E98">
      <w:pPr>
        <w:spacing w:before="240" w:after="240" w:line="360" w:lineRule="auto"/>
      </w:pPr>
      <w:r w:rsidRPr="00FB7BCA">
        <w:t xml:space="preserve">Carter, M.J. and Van </w:t>
      </w:r>
      <w:proofErr w:type="spellStart"/>
      <w:r w:rsidRPr="00FB7BCA">
        <w:t>Andel</w:t>
      </w:r>
      <w:proofErr w:type="spellEnd"/>
      <w:r w:rsidRPr="00FB7BCA">
        <w:t xml:space="preserve">, G.E. (2019) </w:t>
      </w:r>
      <w:r w:rsidRPr="00FB7BCA">
        <w:rPr>
          <w:i/>
        </w:rPr>
        <w:t>Therapeutic Recreation: A Practical Approach</w:t>
      </w:r>
      <w:r w:rsidRPr="00FB7BCA">
        <w:t>. 5th ed. L</w:t>
      </w:r>
      <w:r w:rsidRPr="00FB7BCA">
        <w:t>ong Grove, IL: Waveland Press.</w:t>
      </w:r>
    </w:p>
    <w:p w14:paraId="0000007B" w14:textId="77777777" w:rsidR="00F27841" w:rsidRPr="00FB7BCA" w:rsidRDefault="00F27841">
      <w:pPr>
        <w:spacing w:line="360" w:lineRule="auto"/>
      </w:pPr>
    </w:p>
    <w:p w14:paraId="0000007C" w14:textId="77777777" w:rsidR="00F27841" w:rsidRPr="00FB7BCA" w:rsidRDefault="00A65E98">
      <w:pPr>
        <w:spacing w:line="360" w:lineRule="auto"/>
      </w:pPr>
      <w:r w:rsidRPr="00FB7BCA">
        <w:t xml:space="preserve">Crane, L., Adams, F., Harper, G., Welch, J. and </w:t>
      </w:r>
      <w:proofErr w:type="spellStart"/>
      <w:r w:rsidRPr="00FB7BCA">
        <w:t>Pellicano</w:t>
      </w:r>
      <w:proofErr w:type="spellEnd"/>
      <w:r w:rsidRPr="00FB7BCA">
        <w:t xml:space="preserve">, E. (2019) ‘“Something needs to change”: Mental health experiences of young autistic adults in England’, </w:t>
      </w:r>
      <w:r w:rsidRPr="00FB7BCA">
        <w:rPr>
          <w:i/>
        </w:rPr>
        <w:t>Autism</w:t>
      </w:r>
      <w:r w:rsidRPr="00FB7BCA">
        <w:t>, 23(2), pp. 477–493.</w:t>
      </w:r>
      <w:r w:rsidRPr="00FB7BCA">
        <w:br/>
      </w:r>
    </w:p>
    <w:p w14:paraId="0000007D" w14:textId="77777777" w:rsidR="00F27841" w:rsidRPr="00FB7BCA" w:rsidRDefault="00A65E98">
      <w:pPr>
        <w:spacing w:line="360" w:lineRule="auto"/>
      </w:pPr>
      <w:proofErr w:type="spellStart"/>
      <w:r w:rsidRPr="00FB7BCA">
        <w:lastRenderedPageBreak/>
        <w:t>DeJonckheere</w:t>
      </w:r>
      <w:proofErr w:type="spellEnd"/>
      <w:r w:rsidRPr="00FB7BCA">
        <w:t xml:space="preserve">, M. and Vaughn, L.M. (2019) ‘Semi-structured interviewing in primary care research: a balance of relationship and rigour’, </w:t>
      </w:r>
      <w:r w:rsidRPr="00FB7BCA">
        <w:rPr>
          <w:i/>
        </w:rPr>
        <w:t>Family Medicine and Community Health</w:t>
      </w:r>
      <w:r w:rsidRPr="00FB7BCA">
        <w:t>, 7(2), e000057.</w:t>
      </w:r>
      <w:hyperlink r:id="rId8">
        <w:r w:rsidRPr="00FB7BCA">
          <w:t xml:space="preserve"> </w:t>
        </w:r>
      </w:hyperlink>
      <w:hyperlink r:id="rId9">
        <w:r w:rsidRPr="00FB7BCA">
          <w:t>https://doi.org/10.1136/fmch-2018-000057</w:t>
        </w:r>
      </w:hyperlink>
    </w:p>
    <w:p w14:paraId="0000007E" w14:textId="77777777" w:rsidR="00F27841" w:rsidRPr="00FB7BCA" w:rsidRDefault="00F27841">
      <w:pPr>
        <w:spacing w:line="360" w:lineRule="auto"/>
      </w:pPr>
    </w:p>
    <w:p w14:paraId="0000007F" w14:textId="77777777" w:rsidR="00F27841" w:rsidRPr="00FB7BCA" w:rsidRDefault="00A65E98">
      <w:pPr>
        <w:spacing w:line="360" w:lineRule="auto"/>
        <w:rPr>
          <w:color w:val="1155CC"/>
        </w:rPr>
      </w:pPr>
      <w:r w:rsidRPr="00FB7BCA">
        <w:t xml:space="preserve">Dwyer, S.C. and Buckle, J.L. (2009) ‘The space between: On being an insider-outsider in qualitative research’, </w:t>
      </w:r>
      <w:r w:rsidRPr="00FB7BCA">
        <w:rPr>
          <w:i/>
        </w:rPr>
        <w:t>International Journal of Qualitative Methods</w:t>
      </w:r>
      <w:r w:rsidRPr="00FB7BCA">
        <w:t>, 8(1)</w:t>
      </w:r>
      <w:r w:rsidRPr="00FB7BCA">
        <w:t>, pp. 54–63. Available at: https://doi.org/10.1177/160940690900800105.</w:t>
      </w:r>
      <w:r w:rsidRPr="00FB7BCA">
        <w:br/>
      </w:r>
      <w:hyperlink r:id="rId10">
        <w:r w:rsidRPr="00FB7BCA">
          <w:rPr>
            <w:color w:val="1155CC"/>
          </w:rPr>
          <w:br/>
        </w:r>
      </w:hyperlink>
    </w:p>
    <w:p w14:paraId="00000080" w14:textId="77777777" w:rsidR="00F27841" w:rsidRPr="00FB7BCA" w:rsidRDefault="00A65E98">
      <w:pPr>
        <w:spacing w:line="360" w:lineRule="auto"/>
      </w:pPr>
      <w:proofErr w:type="spellStart"/>
      <w:r w:rsidRPr="00FB7BCA">
        <w:t>Eatough</w:t>
      </w:r>
      <w:proofErr w:type="spellEnd"/>
      <w:r w:rsidRPr="00FB7BCA">
        <w:t xml:space="preserve">, V. and Smith, J.A. (2008) ‘Interpretative Phenomenological Analysis’, in </w:t>
      </w:r>
      <w:proofErr w:type="spellStart"/>
      <w:r w:rsidRPr="00FB7BCA">
        <w:t>Willig</w:t>
      </w:r>
      <w:proofErr w:type="spellEnd"/>
      <w:r w:rsidRPr="00FB7BCA">
        <w:t>, C. and Stainton-Rogers, W. (eds.)</w:t>
      </w:r>
      <w:r w:rsidRPr="00FB7BCA">
        <w:t xml:space="preserve"> </w:t>
      </w:r>
      <w:r w:rsidRPr="00FB7BCA">
        <w:rPr>
          <w:i/>
        </w:rPr>
        <w:t>The SAGE Handbook of Qualitative Research in Psychology</w:t>
      </w:r>
      <w:r w:rsidRPr="00FB7BCA">
        <w:t>. London: SAGE, pp. 179–194.</w:t>
      </w:r>
    </w:p>
    <w:p w14:paraId="00000081" w14:textId="77777777" w:rsidR="00F27841" w:rsidRPr="00FB7BCA" w:rsidRDefault="00F27841">
      <w:pPr>
        <w:spacing w:line="360" w:lineRule="auto"/>
      </w:pPr>
    </w:p>
    <w:p w14:paraId="00000082" w14:textId="77777777" w:rsidR="00F27841" w:rsidRPr="00FB7BCA" w:rsidRDefault="00A65E98">
      <w:pPr>
        <w:spacing w:before="240" w:after="240" w:line="360" w:lineRule="auto"/>
      </w:pPr>
      <w:r w:rsidRPr="00FB7BCA">
        <w:t xml:space="preserve">Engel, F.A., Ackermann, A., </w:t>
      </w:r>
      <w:proofErr w:type="spellStart"/>
      <w:r w:rsidRPr="00FB7BCA">
        <w:t>Carius</w:t>
      </w:r>
      <w:proofErr w:type="spellEnd"/>
      <w:r w:rsidRPr="00FB7BCA">
        <w:t xml:space="preserve">, D. and </w:t>
      </w:r>
      <w:proofErr w:type="spellStart"/>
      <w:r w:rsidRPr="00FB7BCA">
        <w:t>Strüder</w:t>
      </w:r>
      <w:proofErr w:type="spellEnd"/>
      <w:r w:rsidRPr="00FB7BCA">
        <w:t xml:space="preserve">, H.K. (2024) ‘Effects of indoor climbing on affective states, attention, and anxiety: a randomized controlled trial’, </w:t>
      </w:r>
      <w:r w:rsidRPr="00FB7BCA">
        <w:rPr>
          <w:i/>
        </w:rPr>
        <w:t>Frontiers in Psychology</w:t>
      </w:r>
      <w:r w:rsidRPr="00FB7BCA">
        <w:t>, 15, 11883046. https://doi.org/10.3389/fpsyg.2024.11883046</w:t>
      </w:r>
    </w:p>
    <w:p w14:paraId="00000083" w14:textId="77777777" w:rsidR="00F27841" w:rsidRPr="00FB7BCA" w:rsidRDefault="00A65E98">
      <w:pPr>
        <w:spacing w:line="360" w:lineRule="auto"/>
      </w:pPr>
      <w:r w:rsidRPr="00FB7BCA">
        <w:t xml:space="preserve">Edwards, R. and Holland, J. (2013) </w:t>
      </w:r>
      <w:r w:rsidRPr="00FB7BCA">
        <w:rPr>
          <w:i/>
        </w:rPr>
        <w:t>What is Qualitative Interviewing?</w:t>
      </w:r>
      <w:r w:rsidRPr="00FB7BCA">
        <w:t xml:space="preserve"> London: Bloomsbury.</w:t>
      </w:r>
    </w:p>
    <w:p w14:paraId="00000084" w14:textId="77777777" w:rsidR="00F27841" w:rsidRPr="00FB7BCA" w:rsidRDefault="00A65E98">
      <w:pPr>
        <w:spacing w:line="360" w:lineRule="auto"/>
      </w:pPr>
      <w:r w:rsidRPr="00FB7BCA">
        <w:br/>
      </w:r>
    </w:p>
    <w:p w14:paraId="00000085" w14:textId="77777777" w:rsidR="00F27841" w:rsidRPr="00FB7BCA" w:rsidRDefault="00A65E98">
      <w:pPr>
        <w:spacing w:line="360" w:lineRule="auto"/>
      </w:pPr>
      <w:r w:rsidRPr="00FB7BCA">
        <w:t xml:space="preserve">Finlay, L. (2002) ‘“Outing” the researcher: The provenance, process, and practice </w:t>
      </w:r>
      <w:r w:rsidRPr="00FB7BCA">
        <w:t xml:space="preserve">of reflexivity’, </w:t>
      </w:r>
      <w:r w:rsidRPr="00FB7BCA">
        <w:rPr>
          <w:i/>
        </w:rPr>
        <w:t>Qualitative Health Research</w:t>
      </w:r>
      <w:r w:rsidRPr="00FB7BCA">
        <w:t>, 12(4), pp. 531–545.</w:t>
      </w:r>
      <w:r w:rsidRPr="00FB7BCA">
        <w:br/>
      </w:r>
    </w:p>
    <w:p w14:paraId="00000086" w14:textId="77777777" w:rsidR="00F27841" w:rsidRPr="00FB7BCA" w:rsidRDefault="00A65E98">
      <w:pPr>
        <w:spacing w:line="360" w:lineRule="auto"/>
      </w:pPr>
      <w:r w:rsidRPr="00FB7BCA">
        <w:t xml:space="preserve">Finlay, L. (2008) ‘A dance between the reduction and reflexivity: Explicating the “phenomenological psychological attitude”’, </w:t>
      </w:r>
      <w:r w:rsidRPr="00FB7BCA">
        <w:rPr>
          <w:i/>
        </w:rPr>
        <w:t>Journal of Phenomenological Psychology</w:t>
      </w:r>
      <w:r w:rsidRPr="00FB7BCA">
        <w:t>, 39(1), pp. 1–32.</w:t>
      </w:r>
      <w:r w:rsidRPr="00FB7BCA">
        <w:br/>
      </w:r>
    </w:p>
    <w:p w14:paraId="00000087" w14:textId="77777777" w:rsidR="00F27841" w:rsidRPr="00FB7BCA" w:rsidRDefault="00A65E98">
      <w:pPr>
        <w:spacing w:line="360" w:lineRule="auto"/>
      </w:pPr>
      <w:r w:rsidRPr="00FB7BCA">
        <w:t>Finni</w:t>
      </w:r>
      <w:r w:rsidRPr="00FB7BCA">
        <w:t xml:space="preserve">gan, E. (2024) ‘Nature-based interventions and neurodivergence: A qualitative study’, </w:t>
      </w:r>
      <w:r w:rsidRPr="00FB7BCA">
        <w:rPr>
          <w:i/>
        </w:rPr>
        <w:t>Ecopsychology Review</w:t>
      </w:r>
      <w:r w:rsidRPr="00FB7BCA">
        <w:t>, 15(1), pp. 22–35.</w:t>
      </w:r>
    </w:p>
    <w:p w14:paraId="00000088" w14:textId="77777777" w:rsidR="00F27841" w:rsidRPr="00FB7BCA" w:rsidRDefault="00F27841">
      <w:pPr>
        <w:spacing w:line="360" w:lineRule="auto"/>
      </w:pPr>
    </w:p>
    <w:p w14:paraId="00000089" w14:textId="77777777" w:rsidR="00F27841" w:rsidRPr="00FB7BCA" w:rsidRDefault="00A65E98">
      <w:pPr>
        <w:spacing w:line="360" w:lineRule="auto"/>
      </w:pPr>
      <w:proofErr w:type="spellStart"/>
      <w:r w:rsidRPr="00FB7BCA">
        <w:t>Frühauf</w:t>
      </w:r>
      <w:proofErr w:type="spellEnd"/>
      <w:r w:rsidRPr="00FB7BCA">
        <w:t xml:space="preserve">, A., </w:t>
      </w:r>
      <w:proofErr w:type="spellStart"/>
      <w:r w:rsidRPr="00FB7BCA">
        <w:t>Sevecke</w:t>
      </w:r>
      <w:proofErr w:type="spellEnd"/>
      <w:r w:rsidRPr="00FB7BCA">
        <w:t>, K. and Kopp, M. (2019) ‘Current state of the scientific literature on effects of therapeutic climbing on me</w:t>
      </w:r>
      <w:r w:rsidRPr="00FB7BCA">
        <w:t xml:space="preserve">ntal health—Conclusion: A lot to do’, </w:t>
      </w:r>
      <w:proofErr w:type="spellStart"/>
      <w:r w:rsidRPr="00FB7BCA">
        <w:rPr>
          <w:i/>
        </w:rPr>
        <w:t>Neuropsychiatrie</w:t>
      </w:r>
      <w:proofErr w:type="spellEnd"/>
      <w:r w:rsidRPr="00FB7BCA">
        <w:t>, 33(1), pp. 1–7.</w:t>
      </w:r>
      <w:r w:rsidRPr="00FB7BCA">
        <w:br/>
      </w:r>
    </w:p>
    <w:p w14:paraId="0000008A" w14:textId="77777777" w:rsidR="00F27841" w:rsidRPr="00FB7BCA" w:rsidRDefault="00A65E98">
      <w:pPr>
        <w:spacing w:line="360" w:lineRule="auto"/>
      </w:pPr>
      <w:r w:rsidRPr="00FB7BCA">
        <w:t xml:space="preserve">Healy, S., </w:t>
      </w:r>
      <w:proofErr w:type="spellStart"/>
      <w:r w:rsidRPr="00FB7BCA">
        <w:t>Msetfi</w:t>
      </w:r>
      <w:proofErr w:type="spellEnd"/>
      <w:r w:rsidRPr="00FB7BCA">
        <w:t xml:space="preserve">, R. and Gallagher, S. (2013) ‘“Happy and a bit nervous”: The experiences of children with autism in physical education’, </w:t>
      </w:r>
      <w:r w:rsidRPr="00FB7BCA">
        <w:rPr>
          <w:i/>
        </w:rPr>
        <w:t>British Journal of Learning Disabilities</w:t>
      </w:r>
      <w:r w:rsidRPr="00FB7BCA">
        <w:t>, 41</w:t>
      </w:r>
      <w:r w:rsidRPr="00FB7BCA">
        <w:t xml:space="preserve">(3), </w:t>
      </w:r>
      <w:r w:rsidRPr="00FB7BCA">
        <w:lastRenderedPageBreak/>
        <w:t>pp. 222–228.</w:t>
      </w:r>
      <w:r w:rsidRPr="00FB7BCA">
        <w:br/>
      </w:r>
    </w:p>
    <w:p w14:paraId="0000008B" w14:textId="77777777" w:rsidR="00F27841" w:rsidRPr="00FB7BCA" w:rsidRDefault="00A65E98">
      <w:pPr>
        <w:spacing w:line="360" w:lineRule="auto"/>
      </w:pPr>
      <w:r w:rsidRPr="00FB7BCA">
        <w:t xml:space="preserve">Hays, D.G. and Wood, C. (2011) ‘Infusing qualitative traditions in counselling research designs’, </w:t>
      </w:r>
      <w:r w:rsidRPr="00FB7BCA">
        <w:rPr>
          <w:i/>
        </w:rPr>
        <w:t xml:space="preserve">Journal of </w:t>
      </w:r>
      <w:proofErr w:type="spellStart"/>
      <w:r w:rsidRPr="00FB7BCA">
        <w:rPr>
          <w:i/>
        </w:rPr>
        <w:t>Counseling</w:t>
      </w:r>
      <w:proofErr w:type="spellEnd"/>
      <w:r w:rsidRPr="00FB7BCA">
        <w:rPr>
          <w:i/>
        </w:rPr>
        <w:t xml:space="preserve"> and Development</w:t>
      </w:r>
      <w:r w:rsidRPr="00FB7BCA">
        <w:t>, 89(3), pp. 288–295.</w:t>
      </w:r>
      <w:r w:rsidRPr="00FB7BCA">
        <w:br/>
      </w:r>
    </w:p>
    <w:p w14:paraId="0000008C" w14:textId="77777777" w:rsidR="00F27841" w:rsidRPr="00FB7BCA" w:rsidRDefault="00A65E98">
      <w:pPr>
        <w:spacing w:line="360" w:lineRule="auto"/>
      </w:pPr>
      <w:r w:rsidRPr="00FB7BCA">
        <w:t xml:space="preserve">Kapp, S.K., Gillespie-Lynch, K., Sherman, L.E. and </w:t>
      </w:r>
      <w:proofErr w:type="spellStart"/>
      <w:r w:rsidRPr="00FB7BCA">
        <w:t>Hutman</w:t>
      </w:r>
      <w:proofErr w:type="spellEnd"/>
      <w:r w:rsidRPr="00FB7BCA">
        <w:t xml:space="preserve">, T. (2013) ‘Deficit, </w:t>
      </w:r>
      <w:r w:rsidRPr="00FB7BCA">
        <w:t xml:space="preserve">difference, or both? Autism and neurodiversity’, </w:t>
      </w:r>
      <w:r w:rsidRPr="00FB7BCA">
        <w:rPr>
          <w:i/>
        </w:rPr>
        <w:t>Developmental Psychology</w:t>
      </w:r>
      <w:r w:rsidRPr="00FB7BCA">
        <w:t>, 49(1), pp. 59–71.</w:t>
      </w:r>
      <w:r w:rsidRPr="00FB7BCA">
        <w:br/>
      </w:r>
    </w:p>
    <w:p w14:paraId="0000008D" w14:textId="77777777" w:rsidR="00F27841" w:rsidRPr="00FB7BCA" w:rsidRDefault="00A65E98">
      <w:pPr>
        <w:spacing w:line="360" w:lineRule="auto"/>
      </w:pPr>
      <w:r w:rsidRPr="00FB7BCA">
        <w:t xml:space="preserve">Lang, R., </w:t>
      </w:r>
      <w:proofErr w:type="spellStart"/>
      <w:r w:rsidRPr="00FB7BCA">
        <w:t>Koegel</w:t>
      </w:r>
      <w:proofErr w:type="spellEnd"/>
      <w:r w:rsidRPr="00FB7BCA">
        <w:t xml:space="preserve">, L.K., Ashbaugh, K., </w:t>
      </w:r>
      <w:proofErr w:type="spellStart"/>
      <w:r w:rsidRPr="00FB7BCA">
        <w:t>Regester</w:t>
      </w:r>
      <w:proofErr w:type="spellEnd"/>
      <w:r w:rsidRPr="00FB7BCA">
        <w:t xml:space="preserve">, A., </w:t>
      </w:r>
      <w:proofErr w:type="spellStart"/>
      <w:r w:rsidRPr="00FB7BCA">
        <w:t>Ence</w:t>
      </w:r>
      <w:proofErr w:type="spellEnd"/>
      <w:r w:rsidRPr="00FB7BCA">
        <w:t xml:space="preserve">, W. and Smith, W. (2010) ‘Physical exercise and individuals with autism spectrum disorders: A systematic </w:t>
      </w:r>
      <w:r w:rsidRPr="00FB7BCA">
        <w:t xml:space="preserve">review’, </w:t>
      </w:r>
      <w:r w:rsidRPr="00FB7BCA">
        <w:rPr>
          <w:i/>
        </w:rPr>
        <w:t>Research in Autism Spectrum Disorders</w:t>
      </w:r>
      <w:r w:rsidRPr="00FB7BCA">
        <w:t>, 4(4), pp. 565–576.</w:t>
      </w:r>
      <w:r w:rsidRPr="00FB7BCA">
        <w:br/>
      </w:r>
    </w:p>
    <w:p w14:paraId="0000008E" w14:textId="77777777" w:rsidR="00F27841" w:rsidRPr="00FB7BCA" w:rsidRDefault="00A65E98">
      <w:pPr>
        <w:spacing w:line="360" w:lineRule="auto"/>
      </w:pPr>
      <w:r w:rsidRPr="00FB7BCA">
        <w:t xml:space="preserve">Levitt, H.M., </w:t>
      </w:r>
      <w:proofErr w:type="spellStart"/>
      <w:r w:rsidRPr="00FB7BCA">
        <w:t>Motulsky</w:t>
      </w:r>
      <w:proofErr w:type="spellEnd"/>
      <w:r w:rsidRPr="00FB7BCA">
        <w:t xml:space="preserve">, S.L., Wertz, F.J., Morrow, S.L. and </w:t>
      </w:r>
      <w:proofErr w:type="spellStart"/>
      <w:r w:rsidRPr="00FB7BCA">
        <w:t>Ponterotto</w:t>
      </w:r>
      <w:proofErr w:type="spellEnd"/>
      <w:r w:rsidRPr="00FB7BCA">
        <w:t>, J.G. (2017) ‘Recommendations for designing and reviewing qualitative research in psychology: Promoting methodologica</w:t>
      </w:r>
      <w:r w:rsidRPr="00FB7BCA">
        <w:t xml:space="preserve">l integrity’, </w:t>
      </w:r>
      <w:r w:rsidRPr="00FB7BCA">
        <w:rPr>
          <w:i/>
        </w:rPr>
        <w:t>Qualitative Psychology</w:t>
      </w:r>
      <w:r w:rsidRPr="00FB7BCA">
        <w:t>, 4(1), pp. 2–22.</w:t>
      </w:r>
      <w:r w:rsidRPr="00FB7BCA">
        <w:br/>
      </w:r>
    </w:p>
    <w:p w14:paraId="0000008F" w14:textId="77777777" w:rsidR="00F27841" w:rsidRPr="00FB7BCA" w:rsidRDefault="00A65E98">
      <w:pPr>
        <w:spacing w:before="240" w:after="240" w:line="360" w:lineRule="auto"/>
      </w:pPr>
      <w:r w:rsidRPr="00FB7BCA">
        <w:t xml:space="preserve">Li, Y., Finnigan, E., and Smith, J. (2023) ‘Climbing as a therapeutic practice: Exploring neurodivergent experiences’, </w:t>
      </w:r>
      <w:r w:rsidRPr="00FB7BCA">
        <w:rPr>
          <w:i/>
        </w:rPr>
        <w:t>Journal of Outdoor Therapy</w:t>
      </w:r>
      <w:r w:rsidRPr="00FB7BCA">
        <w:t>, 12(2), pp. 45–59.</w:t>
      </w:r>
    </w:p>
    <w:p w14:paraId="00000090" w14:textId="77777777" w:rsidR="00F27841" w:rsidRPr="00FB7BCA" w:rsidRDefault="00A65E98">
      <w:pPr>
        <w:spacing w:line="360" w:lineRule="auto"/>
      </w:pPr>
      <w:r w:rsidRPr="00FB7BCA">
        <w:t xml:space="preserve">Lincoln, Y.S. and Guba, E.G. (1985) </w:t>
      </w:r>
      <w:r w:rsidRPr="00FB7BCA">
        <w:rPr>
          <w:i/>
        </w:rPr>
        <w:t>Naturalistic Inquiry</w:t>
      </w:r>
      <w:r w:rsidRPr="00FB7BCA">
        <w:t>. Beverly Hills: SAGE Publications.</w:t>
      </w:r>
      <w:r w:rsidRPr="00FB7BCA">
        <w:br/>
      </w:r>
    </w:p>
    <w:p w14:paraId="00000091" w14:textId="77777777" w:rsidR="00F27841" w:rsidRPr="00FB7BCA" w:rsidRDefault="00A65E98">
      <w:pPr>
        <w:spacing w:line="360" w:lineRule="auto"/>
      </w:pPr>
      <w:proofErr w:type="spellStart"/>
      <w:r w:rsidRPr="00FB7BCA">
        <w:t>Luttenberger</w:t>
      </w:r>
      <w:proofErr w:type="spellEnd"/>
      <w:r w:rsidRPr="00FB7BCA">
        <w:t xml:space="preserve">, K., </w:t>
      </w:r>
      <w:proofErr w:type="spellStart"/>
      <w:r w:rsidRPr="00FB7BCA">
        <w:t>Stelzer</w:t>
      </w:r>
      <w:proofErr w:type="spellEnd"/>
      <w:r w:rsidRPr="00FB7BCA">
        <w:t xml:space="preserve">, L., </w:t>
      </w:r>
      <w:proofErr w:type="spellStart"/>
      <w:r w:rsidRPr="00FB7BCA">
        <w:t>Forst</w:t>
      </w:r>
      <w:proofErr w:type="spellEnd"/>
      <w:r w:rsidRPr="00FB7BCA">
        <w:t xml:space="preserve">, S., </w:t>
      </w:r>
      <w:proofErr w:type="spellStart"/>
      <w:r w:rsidRPr="00FB7BCA">
        <w:t>Schopper</w:t>
      </w:r>
      <w:proofErr w:type="spellEnd"/>
      <w:r w:rsidRPr="00FB7BCA">
        <w:t xml:space="preserve">, M., </w:t>
      </w:r>
      <w:proofErr w:type="spellStart"/>
      <w:r w:rsidRPr="00FB7BCA">
        <w:t>Kornhuber</w:t>
      </w:r>
      <w:proofErr w:type="spellEnd"/>
      <w:r w:rsidRPr="00FB7BCA">
        <w:t xml:space="preserve">, J. and Book, S. (2015) ‘Indoor rock climbing (bouldering) as a new treatment for depression: A randomized controlled trial’, </w:t>
      </w:r>
      <w:r w:rsidRPr="00FB7BCA">
        <w:rPr>
          <w:i/>
        </w:rPr>
        <w:t>BMC Psy</w:t>
      </w:r>
      <w:r w:rsidRPr="00FB7BCA">
        <w:rPr>
          <w:i/>
        </w:rPr>
        <w:t>chiatry</w:t>
      </w:r>
      <w:r w:rsidRPr="00FB7BCA">
        <w:t>, 15(1), p. 201.</w:t>
      </w:r>
      <w:r w:rsidRPr="00FB7BCA">
        <w:br/>
      </w:r>
    </w:p>
    <w:p w14:paraId="00000092" w14:textId="77777777" w:rsidR="00F27841" w:rsidRPr="00FB7BCA" w:rsidRDefault="00A65E98">
      <w:pPr>
        <w:spacing w:line="360" w:lineRule="auto"/>
        <w:rPr>
          <w:color w:val="1155CC"/>
        </w:rPr>
      </w:pPr>
      <w:proofErr w:type="spellStart"/>
      <w:r w:rsidRPr="00FB7BCA">
        <w:t>Malterud</w:t>
      </w:r>
      <w:proofErr w:type="spellEnd"/>
      <w:r w:rsidRPr="00FB7BCA">
        <w:t xml:space="preserve">, K., </w:t>
      </w:r>
      <w:proofErr w:type="spellStart"/>
      <w:r w:rsidRPr="00FB7BCA">
        <w:t>Siersma</w:t>
      </w:r>
      <w:proofErr w:type="spellEnd"/>
      <w:r w:rsidRPr="00FB7BCA">
        <w:t xml:space="preserve">, V.D. and </w:t>
      </w:r>
      <w:proofErr w:type="spellStart"/>
      <w:r w:rsidRPr="00FB7BCA">
        <w:t>Guassora</w:t>
      </w:r>
      <w:proofErr w:type="spellEnd"/>
      <w:r w:rsidRPr="00FB7BCA">
        <w:t xml:space="preserve">, A.D. (2016) ‘Sample size in qualitative interview studies: Guided by information power’, </w:t>
      </w:r>
      <w:r w:rsidRPr="00FB7BCA">
        <w:rPr>
          <w:i/>
        </w:rPr>
        <w:t>Qualitative Health Research</w:t>
      </w:r>
      <w:r w:rsidRPr="00FB7BCA">
        <w:t>, 26(13), pp. 1753–1760.</w:t>
      </w:r>
      <w:hyperlink r:id="rId11">
        <w:r w:rsidRPr="00FB7BCA">
          <w:t xml:space="preserve"> </w:t>
        </w:r>
      </w:hyperlink>
      <w:hyperlink r:id="rId12">
        <w:r w:rsidRPr="00FB7BCA">
          <w:t>https://doi.org/10.1177/1049732315617444</w:t>
        </w:r>
      </w:hyperlink>
      <w:hyperlink r:id="rId13">
        <w:r w:rsidRPr="00FB7BCA">
          <w:rPr>
            <w:color w:val="1155CC"/>
          </w:rPr>
          <w:br/>
        </w:r>
      </w:hyperlink>
    </w:p>
    <w:p w14:paraId="00000093" w14:textId="77777777" w:rsidR="00F27841" w:rsidRPr="00FB7BCA" w:rsidRDefault="00A65E98">
      <w:pPr>
        <w:spacing w:line="360" w:lineRule="auto"/>
      </w:pPr>
      <w:r w:rsidRPr="00FB7BCA">
        <w:t>Milton, D.E.M. (2012) ‘On the ontological status of autism: The “double empathy pr</w:t>
      </w:r>
      <w:r w:rsidRPr="00FB7BCA">
        <w:t xml:space="preserve">oblem”’, </w:t>
      </w:r>
      <w:r w:rsidRPr="00FB7BCA">
        <w:rPr>
          <w:i/>
        </w:rPr>
        <w:t>Disability &amp; Society</w:t>
      </w:r>
      <w:r w:rsidRPr="00FB7BCA">
        <w:t>, 27(6), pp. 883–887.</w:t>
      </w:r>
      <w:r w:rsidRPr="00FB7BCA">
        <w:br/>
      </w:r>
    </w:p>
    <w:p w14:paraId="00000094" w14:textId="77777777" w:rsidR="00F27841" w:rsidRPr="00FB7BCA" w:rsidRDefault="00A65E98">
      <w:pPr>
        <w:spacing w:line="360" w:lineRule="auto"/>
      </w:pPr>
      <w:r w:rsidRPr="00FB7BCA">
        <w:t xml:space="preserve">Morrow, S.L. (2005) ‘Quality and trustworthiness in qualitative research in counselling psychology’, </w:t>
      </w:r>
      <w:r w:rsidRPr="00FB7BCA">
        <w:rPr>
          <w:i/>
        </w:rPr>
        <w:t xml:space="preserve">Journal of </w:t>
      </w:r>
      <w:proofErr w:type="spellStart"/>
      <w:r w:rsidRPr="00FB7BCA">
        <w:rPr>
          <w:i/>
        </w:rPr>
        <w:t>Counseling</w:t>
      </w:r>
      <w:proofErr w:type="spellEnd"/>
      <w:r w:rsidRPr="00FB7BCA">
        <w:rPr>
          <w:i/>
        </w:rPr>
        <w:t xml:space="preserve"> Psychology</w:t>
      </w:r>
      <w:r w:rsidRPr="00FB7BCA">
        <w:t>, 52(2), pp. 250–260.</w:t>
      </w:r>
    </w:p>
    <w:p w14:paraId="00000095" w14:textId="77777777" w:rsidR="00F27841" w:rsidRPr="00FB7BCA" w:rsidRDefault="00F27841">
      <w:pPr>
        <w:spacing w:line="360" w:lineRule="auto"/>
      </w:pPr>
    </w:p>
    <w:p w14:paraId="00000096" w14:textId="77777777" w:rsidR="00F27841" w:rsidRPr="00FB7BCA" w:rsidRDefault="00A65E98">
      <w:pPr>
        <w:spacing w:line="360" w:lineRule="auto"/>
      </w:pPr>
      <w:proofErr w:type="spellStart"/>
      <w:r w:rsidRPr="00FB7BCA">
        <w:lastRenderedPageBreak/>
        <w:t>Noy</w:t>
      </w:r>
      <w:proofErr w:type="spellEnd"/>
      <w:r w:rsidRPr="00FB7BCA">
        <w:t>, C. (2008) ‘Sampling knowledge: The hermeneu</w:t>
      </w:r>
      <w:r w:rsidRPr="00FB7BCA">
        <w:t xml:space="preserve">tics of snowball sampling in qualitative research’, </w:t>
      </w:r>
      <w:r w:rsidRPr="00FB7BCA">
        <w:rPr>
          <w:i/>
        </w:rPr>
        <w:t>International Journal of Social Research Methodology</w:t>
      </w:r>
      <w:r w:rsidRPr="00FB7BCA">
        <w:t>, 11(4), pp. 327–344. https://doi.org/10.1080/13645570701401305</w:t>
      </w:r>
      <w:r w:rsidRPr="00FB7BCA">
        <w:br/>
      </w:r>
    </w:p>
    <w:p w14:paraId="00000097" w14:textId="77777777" w:rsidR="00F27841" w:rsidRPr="00FB7BCA" w:rsidRDefault="00A65E98">
      <w:pPr>
        <w:spacing w:line="360" w:lineRule="auto"/>
      </w:pPr>
      <w:r w:rsidRPr="00FB7BCA">
        <w:t xml:space="preserve">NVivo (2023) </w:t>
      </w:r>
      <w:r w:rsidRPr="00FB7BCA">
        <w:rPr>
          <w:i/>
        </w:rPr>
        <w:t>Qualitative Data Analysis Software. Version 14</w:t>
      </w:r>
      <w:r w:rsidRPr="00FB7BCA">
        <w:t>. QSR International. Availab</w:t>
      </w:r>
      <w:r w:rsidRPr="00FB7BCA">
        <w:t>le at: https://www.qsrinternational.com/nvivo-qualitative-data-analysis-software/home [Accessed 27 Mar. 2025].</w:t>
      </w:r>
      <w:r w:rsidRPr="00FB7BCA">
        <w:br/>
      </w:r>
    </w:p>
    <w:p w14:paraId="00000098" w14:textId="77777777" w:rsidR="00F27841" w:rsidRPr="00FB7BCA" w:rsidRDefault="00A65E98">
      <w:pPr>
        <w:spacing w:line="360" w:lineRule="auto"/>
      </w:pPr>
      <w:r w:rsidRPr="00FB7BCA">
        <w:t xml:space="preserve">Orb, A., Eisenhauer, L. and </w:t>
      </w:r>
      <w:proofErr w:type="spellStart"/>
      <w:r w:rsidRPr="00FB7BCA">
        <w:t>Wynaden</w:t>
      </w:r>
      <w:proofErr w:type="spellEnd"/>
      <w:r w:rsidRPr="00FB7BCA">
        <w:t xml:space="preserve">, D. (2001) ‘Ethics in qualitative research’, </w:t>
      </w:r>
      <w:r w:rsidRPr="00FB7BCA">
        <w:rPr>
          <w:i/>
        </w:rPr>
        <w:t>Journal of Nursing Scholarship</w:t>
      </w:r>
      <w:r w:rsidRPr="00FB7BCA">
        <w:t>, 33(1), pp. 93–96.</w:t>
      </w:r>
      <w:r w:rsidRPr="00FB7BCA">
        <w:br/>
      </w:r>
    </w:p>
    <w:p w14:paraId="00000099" w14:textId="77777777" w:rsidR="00F27841" w:rsidRPr="00FB7BCA" w:rsidRDefault="00A65E98">
      <w:pPr>
        <w:spacing w:line="360" w:lineRule="auto"/>
      </w:pPr>
      <w:proofErr w:type="spellStart"/>
      <w:r w:rsidRPr="00FB7BCA">
        <w:t>Pietkiewicz</w:t>
      </w:r>
      <w:proofErr w:type="spellEnd"/>
      <w:r w:rsidRPr="00FB7BCA">
        <w:t xml:space="preserve">, I. and Smith, J.A. (2014) ‘A practical guide to using Interpretative Phenomenological Analysis in qualitative research psychology’, </w:t>
      </w:r>
      <w:proofErr w:type="spellStart"/>
      <w:r w:rsidRPr="00FB7BCA">
        <w:rPr>
          <w:i/>
        </w:rPr>
        <w:t>Czasopismo</w:t>
      </w:r>
      <w:proofErr w:type="spellEnd"/>
      <w:r w:rsidRPr="00FB7BCA">
        <w:rPr>
          <w:i/>
        </w:rPr>
        <w:t xml:space="preserve"> </w:t>
      </w:r>
      <w:proofErr w:type="spellStart"/>
      <w:r w:rsidRPr="00FB7BCA">
        <w:rPr>
          <w:i/>
        </w:rPr>
        <w:t>Psychologiczne</w:t>
      </w:r>
      <w:proofErr w:type="spellEnd"/>
      <w:r w:rsidRPr="00FB7BCA">
        <w:t>, 20(1), pp. 7–14.</w:t>
      </w:r>
    </w:p>
    <w:p w14:paraId="0000009A" w14:textId="77777777" w:rsidR="00F27841" w:rsidRPr="00FB7BCA" w:rsidRDefault="00F27841">
      <w:pPr>
        <w:spacing w:line="360" w:lineRule="auto"/>
      </w:pPr>
    </w:p>
    <w:p w14:paraId="0000009B" w14:textId="77777777" w:rsidR="00F27841" w:rsidRPr="00FB7BCA" w:rsidRDefault="00A65E98">
      <w:pPr>
        <w:spacing w:line="360" w:lineRule="auto"/>
      </w:pPr>
      <w:proofErr w:type="spellStart"/>
      <w:r w:rsidRPr="00FB7BCA">
        <w:t>Pilarska</w:t>
      </w:r>
      <w:proofErr w:type="spellEnd"/>
      <w:r w:rsidRPr="00FB7BCA">
        <w:t>, J. (2021) ‘The constructivist paradigm and phenomenologi</w:t>
      </w:r>
      <w:r w:rsidRPr="00FB7BCA">
        <w:t xml:space="preserve">cal qualitative research design’, in </w:t>
      </w:r>
      <w:proofErr w:type="spellStart"/>
      <w:r w:rsidRPr="00FB7BCA">
        <w:t>Pabel</w:t>
      </w:r>
      <w:proofErr w:type="spellEnd"/>
      <w:r w:rsidRPr="00FB7BCA">
        <w:t xml:space="preserve">, A., Pryce, J. and Anderson, A. (eds.) </w:t>
      </w:r>
      <w:r w:rsidRPr="00FB7BCA">
        <w:rPr>
          <w:i/>
        </w:rPr>
        <w:t>Research paradigm considerations for emerging scholars</w:t>
      </w:r>
      <w:r w:rsidRPr="00FB7BCA">
        <w:t>. Bristol: Channel View Publications, pp. 64–83. Available at:</w:t>
      </w:r>
      <w:hyperlink r:id="rId14">
        <w:r w:rsidRPr="00FB7BCA">
          <w:t xml:space="preserve"> </w:t>
        </w:r>
      </w:hyperlink>
      <w:hyperlink r:id="rId15">
        <w:r w:rsidRPr="00FB7BCA">
          <w:t>https://doi.org/10.21832/9781845418281-008</w:t>
        </w:r>
      </w:hyperlink>
    </w:p>
    <w:p w14:paraId="0000009C" w14:textId="77777777" w:rsidR="00F27841" w:rsidRPr="00FB7BCA" w:rsidRDefault="00F27841">
      <w:pPr>
        <w:spacing w:line="360" w:lineRule="auto"/>
      </w:pPr>
    </w:p>
    <w:p w14:paraId="0000009D" w14:textId="77777777" w:rsidR="00F27841" w:rsidRPr="00FB7BCA" w:rsidRDefault="00A65E98">
      <w:pPr>
        <w:spacing w:line="360" w:lineRule="auto"/>
      </w:pPr>
      <w:r w:rsidRPr="00FB7BCA">
        <w:t xml:space="preserve">Rebar, A.L., Stanton, R., </w:t>
      </w:r>
      <w:proofErr w:type="spellStart"/>
      <w:r w:rsidRPr="00FB7BCA">
        <w:t>Geard</w:t>
      </w:r>
      <w:proofErr w:type="spellEnd"/>
      <w:r w:rsidRPr="00FB7BCA">
        <w:t xml:space="preserve">, D., Short, C., Duncan, M.J. and </w:t>
      </w:r>
      <w:proofErr w:type="spellStart"/>
      <w:r w:rsidRPr="00FB7BCA">
        <w:t>Vandelanotte</w:t>
      </w:r>
      <w:proofErr w:type="spellEnd"/>
      <w:r w:rsidRPr="00FB7BCA">
        <w:t>, C. (2015) ‘A meta-meta-analysis of the effect of physical activity</w:t>
      </w:r>
      <w:r w:rsidRPr="00FB7BCA">
        <w:t xml:space="preserve"> on depression and anxiety in non-clinical adult populations’, </w:t>
      </w:r>
      <w:r w:rsidRPr="00FB7BCA">
        <w:rPr>
          <w:i/>
        </w:rPr>
        <w:t>Health Psychology Review</w:t>
      </w:r>
      <w:r w:rsidRPr="00FB7BCA">
        <w:t>, 9(3), pp. 366–378.</w:t>
      </w:r>
    </w:p>
    <w:p w14:paraId="0000009E" w14:textId="77777777" w:rsidR="00F27841" w:rsidRPr="00FB7BCA" w:rsidRDefault="00A65E98">
      <w:pPr>
        <w:spacing w:line="360" w:lineRule="auto"/>
      </w:pPr>
      <w:r w:rsidRPr="00FB7BCA">
        <w:br/>
      </w:r>
      <w:proofErr w:type="spellStart"/>
      <w:r w:rsidRPr="00FB7BCA">
        <w:t>Riessman</w:t>
      </w:r>
      <w:proofErr w:type="spellEnd"/>
      <w:r w:rsidRPr="00FB7BCA">
        <w:t xml:space="preserve">, C.K. (2008) </w:t>
      </w:r>
      <w:r w:rsidRPr="00FB7BCA">
        <w:rPr>
          <w:i/>
        </w:rPr>
        <w:t>Narrative methods for the human sciences</w:t>
      </w:r>
      <w:r w:rsidRPr="00FB7BCA">
        <w:t>. Los Angeles: Sage Publications.</w:t>
      </w:r>
      <w:r w:rsidRPr="00FB7BCA">
        <w:br/>
      </w:r>
    </w:p>
    <w:p w14:paraId="0000009F" w14:textId="77777777" w:rsidR="00F27841" w:rsidRPr="00FB7BCA" w:rsidRDefault="00A65E98">
      <w:pPr>
        <w:spacing w:line="360" w:lineRule="auto"/>
      </w:pPr>
      <w:proofErr w:type="spellStart"/>
      <w:r w:rsidRPr="00FB7BCA">
        <w:t>Rizq</w:t>
      </w:r>
      <w:proofErr w:type="spellEnd"/>
      <w:r w:rsidRPr="00FB7BCA">
        <w:t>, R. (2008) ‘The research is not the therapy’:</w:t>
      </w:r>
      <w:r w:rsidRPr="00FB7BCA">
        <w:t xml:space="preserve"> Therapist and researcher boundaries in qualitative psychotherapy research’, </w:t>
      </w:r>
      <w:r w:rsidRPr="00FB7BCA">
        <w:rPr>
          <w:i/>
        </w:rPr>
        <w:t>Qualitative Research in Psychology</w:t>
      </w:r>
      <w:r w:rsidRPr="00FB7BCA">
        <w:t>, 5(2), pp. 125–146.</w:t>
      </w:r>
      <w:r w:rsidRPr="00FB7BCA">
        <w:br/>
      </w:r>
    </w:p>
    <w:p w14:paraId="000000A0" w14:textId="77777777" w:rsidR="00F27841" w:rsidRPr="00FB7BCA" w:rsidRDefault="00A65E98">
      <w:pPr>
        <w:spacing w:line="360" w:lineRule="auto"/>
      </w:pPr>
      <w:r w:rsidRPr="00FB7BCA">
        <w:t xml:space="preserve">Robinson, O.C. (2014) ‘Sampling in interview-based qualitative research: A theoretical and practical guide’, </w:t>
      </w:r>
      <w:r w:rsidRPr="00FB7BCA">
        <w:rPr>
          <w:i/>
        </w:rPr>
        <w:t>Qualitative Re</w:t>
      </w:r>
      <w:r w:rsidRPr="00FB7BCA">
        <w:rPr>
          <w:i/>
        </w:rPr>
        <w:t>search in Psychology</w:t>
      </w:r>
      <w:r w:rsidRPr="00FB7BCA">
        <w:t>, 11(1), pp. 25–41.</w:t>
      </w:r>
      <w:r w:rsidRPr="00FB7BCA">
        <w:br/>
      </w:r>
    </w:p>
    <w:p w14:paraId="000000A1" w14:textId="77777777" w:rsidR="00F27841" w:rsidRPr="00FB7BCA" w:rsidRDefault="00A65E98">
      <w:pPr>
        <w:spacing w:line="360" w:lineRule="auto"/>
      </w:pPr>
      <w:r w:rsidRPr="00FB7BCA">
        <w:t xml:space="preserve">Ryan, R.M. and Deci, E.L. (2000) ‘Self-determination theory and the facilitation of intrinsic motivation, social development, and well-being’, </w:t>
      </w:r>
      <w:r w:rsidRPr="00FB7BCA">
        <w:rPr>
          <w:i/>
        </w:rPr>
        <w:t>American Psychologist</w:t>
      </w:r>
      <w:r w:rsidRPr="00FB7BCA">
        <w:t>, 55(1), pp. 68–78.</w:t>
      </w:r>
      <w:r w:rsidRPr="00FB7BCA">
        <w:br/>
      </w:r>
    </w:p>
    <w:p w14:paraId="000000A2" w14:textId="77777777" w:rsidR="00F27841" w:rsidRPr="00FB7BCA" w:rsidRDefault="00A65E98">
      <w:pPr>
        <w:spacing w:line="360" w:lineRule="auto"/>
      </w:pPr>
      <w:proofErr w:type="spellStart"/>
      <w:r w:rsidRPr="00FB7BCA">
        <w:lastRenderedPageBreak/>
        <w:t>Schaffert</w:t>
      </w:r>
      <w:proofErr w:type="spellEnd"/>
      <w:r w:rsidRPr="00FB7BCA">
        <w:t>, S., Pfeiffer, K. an</w:t>
      </w:r>
      <w:r w:rsidRPr="00FB7BCA">
        <w:t xml:space="preserve">d </w:t>
      </w:r>
      <w:proofErr w:type="spellStart"/>
      <w:r w:rsidRPr="00FB7BCA">
        <w:t>Lösel</w:t>
      </w:r>
      <w:proofErr w:type="spellEnd"/>
      <w:r w:rsidRPr="00FB7BCA">
        <w:t xml:space="preserve">, F. (2021) ‘Therapeutic rock climbing: A systematic review of the literature’, </w:t>
      </w:r>
      <w:r w:rsidRPr="00FB7BCA">
        <w:rPr>
          <w:i/>
        </w:rPr>
        <w:t>German Journal of Exercise and Sport Research</w:t>
      </w:r>
      <w:r w:rsidRPr="00FB7BCA">
        <w:t>, 51, pp. 164–177.</w:t>
      </w:r>
      <w:r w:rsidRPr="00FB7BCA">
        <w:br/>
      </w:r>
    </w:p>
    <w:p w14:paraId="000000A3" w14:textId="77777777" w:rsidR="00F27841" w:rsidRPr="00FB7BCA" w:rsidRDefault="00A65E98">
      <w:pPr>
        <w:spacing w:line="360" w:lineRule="auto"/>
      </w:pPr>
      <w:r w:rsidRPr="00FB7BCA">
        <w:t xml:space="preserve">Seifert, L., Orth, D., Button, C., </w:t>
      </w:r>
      <w:proofErr w:type="spellStart"/>
      <w:r w:rsidRPr="00FB7BCA">
        <w:t>Brymer</w:t>
      </w:r>
      <w:proofErr w:type="spellEnd"/>
      <w:r w:rsidRPr="00FB7BCA">
        <w:t xml:space="preserve">, E. and </w:t>
      </w:r>
      <w:proofErr w:type="spellStart"/>
      <w:r w:rsidRPr="00FB7BCA">
        <w:t>Davids</w:t>
      </w:r>
      <w:proofErr w:type="spellEnd"/>
      <w:r w:rsidRPr="00FB7BCA">
        <w:t>, K. (2016) ‘An ecological dynamics framework fo</w:t>
      </w:r>
      <w:r w:rsidRPr="00FB7BCA">
        <w:t xml:space="preserve">r the acquisition of perceptual–motor skills in climbing’, in </w:t>
      </w:r>
      <w:proofErr w:type="spellStart"/>
      <w:r w:rsidRPr="00FB7BCA">
        <w:t>Feletti</w:t>
      </w:r>
      <w:proofErr w:type="spellEnd"/>
      <w:r w:rsidRPr="00FB7BCA">
        <w:t xml:space="preserve">, F. (ed.) </w:t>
      </w:r>
      <w:r w:rsidRPr="00FB7BCA">
        <w:rPr>
          <w:i/>
        </w:rPr>
        <w:t>Extreme Sports Medicine</w:t>
      </w:r>
      <w:r w:rsidRPr="00FB7BCA">
        <w:t>. Cham: Springer, pp. 365–382.</w:t>
      </w:r>
    </w:p>
    <w:p w14:paraId="000000A4" w14:textId="77777777" w:rsidR="00F27841" w:rsidRPr="00FB7BCA" w:rsidRDefault="00F27841">
      <w:pPr>
        <w:spacing w:line="360" w:lineRule="auto"/>
      </w:pPr>
    </w:p>
    <w:p w14:paraId="000000A5" w14:textId="77777777" w:rsidR="00F27841" w:rsidRPr="00FB7BCA" w:rsidRDefault="00A65E98">
      <w:pPr>
        <w:spacing w:line="360" w:lineRule="auto"/>
      </w:pPr>
      <w:r w:rsidRPr="00FB7BCA">
        <w:t xml:space="preserve">Simons, H., Kushner, S., Jones, K. and James, D. (2022) </w:t>
      </w:r>
      <w:r w:rsidRPr="00FB7BCA">
        <w:rPr>
          <w:i/>
        </w:rPr>
        <w:t>Ethics in Qualitative Research</w:t>
      </w:r>
      <w:r w:rsidRPr="00FB7BCA">
        <w:t>. 2nd ed. London: SAGE Publications</w:t>
      </w:r>
      <w:r w:rsidRPr="00FB7BCA">
        <w:t>.</w:t>
      </w:r>
      <w:r w:rsidRPr="00FB7BCA">
        <w:br/>
      </w:r>
    </w:p>
    <w:p w14:paraId="000000A6" w14:textId="77777777" w:rsidR="00F27841" w:rsidRPr="00FB7BCA" w:rsidRDefault="00A65E98">
      <w:pPr>
        <w:spacing w:line="360" w:lineRule="auto"/>
      </w:pPr>
      <w:r w:rsidRPr="00FB7BCA">
        <w:t xml:space="preserve">Smith, J.A., Flowers, P. and Larkin, M. (2009) </w:t>
      </w:r>
      <w:r w:rsidRPr="00FB7BCA">
        <w:rPr>
          <w:i/>
        </w:rPr>
        <w:t>Interpretative Phenomenological Analysis: Theory, Method and Research</w:t>
      </w:r>
      <w:r w:rsidRPr="00FB7BCA">
        <w:t>. London: SAGE Publications.</w:t>
      </w:r>
      <w:r w:rsidRPr="00FB7BCA">
        <w:br/>
      </w:r>
    </w:p>
    <w:p w14:paraId="000000A7" w14:textId="77777777" w:rsidR="00F27841" w:rsidRPr="00FB7BCA" w:rsidRDefault="00A65E98">
      <w:pPr>
        <w:spacing w:line="360" w:lineRule="auto"/>
      </w:pPr>
      <w:r w:rsidRPr="00FB7BCA">
        <w:t xml:space="preserve">Smith, J.A. and Osborn, M. (2008) ‘Interpretative Phenomenological Analysis’, in Smith, J.A. (ed.) </w:t>
      </w:r>
      <w:r w:rsidRPr="00FB7BCA">
        <w:rPr>
          <w:i/>
        </w:rPr>
        <w:t>Qualitat</w:t>
      </w:r>
      <w:r w:rsidRPr="00FB7BCA">
        <w:rPr>
          <w:i/>
        </w:rPr>
        <w:t>ive Psychology: A Practical Guide to Research Methods</w:t>
      </w:r>
      <w:r w:rsidRPr="00FB7BCA">
        <w:t>. 2nd ed. London: SAGE, pp. 53–80.</w:t>
      </w:r>
      <w:r w:rsidRPr="00FB7BCA">
        <w:br/>
      </w:r>
    </w:p>
    <w:p w14:paraId="000000A8" w14:textId="77777777" w:rsidR="00F27841" w:rsidRPr="00FB7BCA" w:rsidRDefault="00A65E98">
      <w:pPr>
        <w:spacing w:line="360" w:lineRule="auto"/>
      </w:pPr>
      <w:r w:rsidRPr="00FB7BCA">
        <w:t xml:space="preserve">Sport England (2023) </w:t>
      </w:r>
      <w:r w:rsidRPr="00FB7BCA">
        <w:rPr>
          <w:i/>
        </w:rPr>
        <w:t>Active Lives Adult Survey: November 2022 Report</w:t>
      </w:r>
      <w:r w:rsidRPr="00FB7BCA">
        <w:t>. London: Sport England.</w:t>
      </w:r>
      <w:r w:rsidRPr="00FB7BCA">
        <w:br/>
      </w:r>
    </w:p>
    <w:p w14:paraId="000000A9" w14:textId="77777777" w:rsidR="00F27841" w:rsidRPr="00FB7BCA" w:rsidRDefault="00A65E98">
      <w:pPr>
        <w:spacing w:line="360" w:lineRule="auto"/>
      </w:pPr>
      <w:r w:rsidRPr="00FB7BCA">
        <w:t>Tracy, S.J. (2010) ‘Qualitative quality: Eight “big-tent” criteria for ex</w:t>
      </w:r>
      <w:r w:rsidRPr="00FB7BCA">
        <w:t xml:space="preserve">cellent qualitative research’, </w:t>
      </w:r>
      <w:r w:rsidRPr="00FB7BCA">
        <w:rPr>
          <w:i/>
        </w:rPr>
        <w:t>Qualitative Inquiry</w:t>
      </w:r>
      <w:r w:rsidRPr="00FB7BCA">
        <w:t>, 16(10), pp. 837–851.</w:t>
      </w:r>
      <w:r w:rsidRPr="00FB7BCA">
        <w:br/>
      </w:r>
    </w:p>
    <w:p w14:paraId="000000AA" w14:textId="77777777" w:rsidR="00F27841" w:rsidRPr="00FB7BCA" w:rsidRDefault="00A65E98">
      <w:pPr>
        <w:spacing w:line="360" w:lineRule="auto"/>
      </w:pPr>
      <w:r w:rsidRPr="00FB7BCA">
        <w:t xml:space="preserve">UK Government (2018) </w:t>
      </w:r>
      <w:r w:rsidRPr="00FB7BCA">
        <w:rPr>
          <w:i/>
        </w:rPr>
        <w:t>Data Protection Act 2018 (GDPR)</w:t>
      </w:r>
      <w:r w:rsidRPr="00FB7BCA">
        <w:t>. Available at: https://www.legislation.gov.uk/ukpga/2018/12/contents/enacted</w:t>
      </w:r>
      <w:r w:rsidRPr="00FB7BCA">
        <w:br/>
      </w:r>
    </w:p>
    <w:p w14:paraId="000000AB" w14:textId="77777777" w:rsidR="00F27841" w:rsidRPr="00FB7BCA" w:rsidRDefault="00A65E98">
      <w:pPr>
        <w:spacing w:line="360" w:lineRule="auto"/>
      </w:pPr>
      <w:r w:rsidRPr="00FB7BCA">
        <w:t xml:space="preserve">USW (2021) </w:t>
      </w:r>
      <w:r w:rsidRPr="00FB7BCA">
        <w:rPr>
          <w:i/>
        </w:rPr>
        <w:t>Code of Research Good Practice</w:t>
      </w:r>
      <w:r w:rsidRPr="00FB7BCA">
        <w:t>. Universi</w:t>
      </w:r>
      <w:r w:rsidRPr="00FB7BCA">
        <w:t>ty of South Wales.</w:t>
      </w:r>
      <w:r w:rsidRPr="00FB7BCA">
        <w:br/>
      </w:r>
    </w:p>
    <w:p w14:paraId="000000AC" w14:textId="77777777" w:rsidR="00F27841" w:rsidRPr="00FB7BCA" w:rsidRDefault="00A65E98">
      <w:pPr>
        <w:spacing w:line="360" w:lineRule="auto"/>
      </w:pPr>
      <w:r w:rsidRPr="00FB7BCA">
        <w:t xml:space="preserve">van </w:t>
      </w:r>
      <w:proofErr w:type="spellStart"/>
      <w:r w:rsidRPr="00FB7BCA">
        <w:t>Manen</w:t>
      </w:r>
      <w:proofErr w:type="spellEnd"/>
      <w:r w:rsidRPr="00FB7BCA">
        <w:t xml:space="preserve">, M. (1997) </w:t>
      </w:r>
      <w:r w:rsidRPr="00FB7BCA">
        <w:rPr>
          <w:i/>
        </w:rPr>
        <w:t>Researching Lived Experience: Human Science for an Action Sensitive Pedagogy</w:t>
      </w:r>
      <w:r w:rsidRPr="00FB7BCA">
        <w:t xml:space="preserve">. London: </w:t>
      </w:r>
      <w:proofErr w:type="spellStart"/>
      <w:r w:rsidRPr="00FB7BCA">
        <w:t>Althouse</w:t>
      </w:r>
      <w:proofErr w:type="spellEnd"/>
      <w:r w:rsidRPr="00FB7BCA">
        <w:t>.</w:t>
      </w:r>
      <w:r w:rsidRPr="00FB7BCA">
        <w:br/>
      </w:r>
    </w:p>
    <w:p w14:paraId="000000AD" w14:textId="77777777" w:rsidR="00F27841" w:rsidRPr="00FB7BCA" w:rsidRDefault="00A65E98">
      <w:pPr>
        <w:spacing w:line="360" w:lineRule="auto"/>
      </w:pPr>
      <w:proofErr w:type="spellStart"/>
      <w:r w:rsidRPr="00FB7BCA">
        <w:t>Willig</w:t>
      </w:r>
      <w:proofErr w:type="spellEnd"/>
      <w:r w:rsidRPr="00FB7BCA">
        <w:t xml:space="preserve">, C. (2013) </w:t>
      </w:r>
      <w:r w:rsidRPr="00FB7BCA">
        <w:rPr>
          <w:i/>
        </w:rPr>
        <w:t>Introducing Qualitative Research in Psychology</w:t>
      </w:r>
      <w:r w:rsidRPr="00FB7BCA">
        <w:t>. 3rd ed. Maidenhead: McGraw-Hill Education.</w:t>
      </w:r>
      <w:r w:rsidRPr="00FB7BCA">
        <w:br/>
      </w:r>
    </w:p>
    <w:p w14:paraId="000000AE" w14:textId="77777777" w:rsidR="00F27841" w:rsidRPr="00FB7BCA" w:rsidRDefault="00A65E98">
      <w:pPr>
        <w:spacing w:line="360" w:lineRule="auto"/>
      </w:pPr>
      <w:r w:rsidRPr="00FB7BCA">
        <w:t>Yardley,</w:t>
      </w:r>
      <w:r w:rsidRPr="00FB7BCA">
        <w:t xml:space="preserve"> L. (2000) ‘Dilemmas in qualitative health research’, </w:t>
      </w:r>
      <w:r w:rsidRPr="00FB7BCA">
        <w:rPr>
          <w:i/>
        </w:rPr>
        <w:t>Psychology and Health</w:t>
      </w:r>
      <w:r w:rsidRPr="00FB7BCA">
        <w:t>, 15(2), pp. 215–228.</w:t>
      </w:r>
    </w:p>
    <w:p w14:paraId="000000AF" w14:textId="77777777" w:rsidR="00F27841" w:rsidRPr="00FB7BCA" w:rsidRDefault="00A65E98">
      <w:pPr>
        <w:spacing w:before="240" w:after="240" w:line="360" w:lineRule="auto"/>
      </w:pPr>
      <w:r w:rsidRPr="00FB7BCA">
        <w:lastRenderedPageBreak/>
        <w:br/>
      </w:r>
    </w:p>
    <w:p w14:paraId="000000B0" w14:textId="77777777" w:rsidR="00F27841" w:rsidRPr="00FB7BCA" w:rsidRDefault="00F27841">
      <w:pPr>
        <w:spacing w:before="240" w:after="240" w:line="360" w:lineRule="auto"/>
      </w:pPr>
    </w:p>
    <w:p w14:paraId="000000B1" w14:textId="77777777" w:rsidR="00F27841" w:rsidRPr="00FB7BCA" w:rsidRDefault="00F27841">
      <w:pPr>
        <w:spacing w:before="240" w:after="240" w:line="360" w:lineRule="auto"/>
      </w:pPr>
    </w:p>
    <w:p w14:paraId="000000B2" w14:textId="77777777" w:rsidR="00F27841" w:rsidRPr="00FB7BCA" w:rsidRDefault="00A65E98">
      <w:pPr>
        <w:spacing w:before="240" w:after="240" w:line="360" w:lineRule="auto"/>
      </w:pPr>
      <w:r w:rsidRPr="00FB7BCA">
        <w:br/>
      </w:r>
    </w:p>
    <w:p w14:paraId="000000B3" w14:textId="77777777" w:rsidR="00F27841" w:rsidRPr="00FB7BCA" w:rsidRDefault="00A65E98">
      <w:pPr>
        <w:spacing w:before="240" w:after="240" w:line="360" w:lineRule="auto"/>
      </w:pPr>
      <w:r w:rsidRPr="00FB7BCA">
        <w:br/>
      </w:r>
    </w:p>
    <w:p w14:paraId="000000B4" w14:textId="77777777" w:rsidR="00F27841" w:rsidRPr="00FB7BCA" w:rsidRDefault="00F27841">
      <w:pPr>
        <w:spacing w:before="240" w:after="240" w:line="360" w:lineRule="auto"/>
      </w:pPr>
    </w:p>
    <w:p w14:paraId="000000B5" w14:textId="77777777" w:rsidR="00F27841" w:rsidRPr="00FB7BCA" w:rsidRDefault="00F27841">
      <w:pPr>
        <w:spacing w:before="240" w:after="240" w:line="360" w:lineRule="auto"/>
      </w:pPr>
    </w:p>
    <w:p w14:paraId="000000B6" w14:textId="77777777" w:rsidR="00F27841" w:rsidRPr="00FB7BCA" w:rsidRDefault="00F27841">
      <w:pPr>
        <w:spacing w:before="240" w:after="240" w:line="360" w:lineRule="auto"/>
      </w:pPr>
    </w:p>
    <w:p w14:paraId="000000B7" w14:textId="77777777" w:rsidR="00F27841" w:rsidRPr="00FB7BCA" w:rsidRDefault="00F27841">
      <w:pPr>
        <w:spacing w:before="240" w:after="240" w:line="360" w:lineRule="auto"/>
      </w:pPr>
    </w:p>
    <w:p w14:paraId="000000B8" w14:textId="77777777" w:rsidR="00F27841" w:rsidRPr="00FB7BCA" w:rsidRDefault="00F27841">
      <w:pPr>
        <w:spacing w:before="240" w:after="240" w:line="360" w:lineRule="auto"/>
      </w:pPr>
    </w:p>
    <w:p w14:paraId="000000B9" w14:textId="77777777" w:rsidR="00F27841" w:rsidRPr="00FB7BCA" w:rsidRDefault="00F27841">
      <w:pPr>
        <w:spacing w:before="240" w:after="240" w:line="360" w:lineRule="auto"/>
      </w:pPr>
    </w:p>
    <w:p w14:paraId="000000BA" w14:textId="77777777" w:rsidR="00F27841" w:rsidRPr="00FB7BCA" w:rsidRDefault="00F27841">
      <w:pPr>
        <w:spacing w:before="240" w:after="240" w:line="360" w:lineRule="auto"/>
      </w:pPr>
    </w:p>
    <w:p w14:paraId="000000BB" w14:textId="77777777" w:rsidR="00F27841" w:rsidRPr="00FB7BCA" w:rsidRDefault="00F27841">
      <w:pPr>
        <w:spacing w:before="240" w:after="240" w:line="360" w:lineRule="auto"/>
      </w:pPr>
    </w:p>
    <w:p w14:paraId="000000BC" w14:textId="77777777" w:rsidR="00F27841" w:rsidRPr="00FB7BCA" w:rsidRDefault="00F27841">
      <w:pPr>
        <w:spacing w:before="240" w:after="240" w:line="360" w:lineRule="auto"/>
      </w:pPr>
    </w:p>
    <w:p w14:paraId="000000BD" w14:textId="77777777" w:rsidR="00F27841" w:rsidRPr="00FB7BCA" w:rsidRDefault="00F27841">
      <w:pPr>
        <w:spacing w:before="240" w:after="240" w:line="360" w:lineRule="auto"/>
      </w:pPr>
    </w:p>
    <w:p w14:paraId="000000BE" w14:textId="77777777" w:rsidR="00F27841" w:rsidRPr="00FB7BCA" w:rsidRDefault="00F27841">
      <w:pPr>
        <w:spacing w:before="240" w:after="240" w:line="360" w:lineRule="auto"/>
      </w:pPr>
    </w:p>
    <w:p w14:paraId="000000BF" w14:textId="77777777" w:rsidR="00F27841" w:rsidRPr="00FB7BCA" w:rsidRDefault="00F27841">
      <w:pPr>
        <w:spacing w:before="240" w:after="240" w:line="360" w:lineRule="auto"/>
      </w:pPr>
    </w:p>
    <w:p w14:paraId="000000C0" w14:textId="77777777" w:rsidR="00F27841" w:rsidRPr="00FB7BCA" w:rsidRDefault="00F27841">
      <w:pPr>
        <w:spacing w:before="240" w:after="240" w:line="360" w:lineRule="auto"/>
      </w:pPr>
    </w:p>
    <w:p w14:paraId="000000C1" w14:textId="77777777" w:rsidR="00F27841" w:rsidRPr="00FB7BCA" w:rsidRDefault="00F27841">
      <w:pPr>
        <w:spacing w:before="240" w:after="240" w:line="360" w:lineRule="auto"/>
      </w:pPr>
    </w:p>
    <w:p w14:paraId="000000C2" w14:textId="77777777" w:rsidR="00F27841" w:rsidRPr="00FB7BCA" w:rsidRDefault="00F27841">
      <w:pPr>
        <w:spacing w:line="360" w:lineRule="auto"/>
      </w:pPr>
    </w:p>
    <w:sectPr w:rsidR="00F27841" w:rsidRPr="00FB7BCA">
      <w:footerReference w:type="default" r:id="rId16"/>
      <w:footerReference w:type="first" r:id="rId17"/>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4DB85" w14:textId="77777777" w:rsidR="00A65E98" w:rsidRDefault="00A65E98">
      <w:pPr>
        <w:spacing w:line="240" w:lineRule="auto"/>
      </w:pPr>
      <w:r>
        <w:separator/>
      </w:r>
    </w:p>
  </w:endnote>
  <w:endnote w:type="continuationSeparator" w:id="0">
    <w:p w14:paraId="5836101E" w14:textId="77777777" w:rsidR="00A65E98" w:rsidRDefault="00A65E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C3" w14:textId="57A8242F" w:rsidR="00F27841" w:rsidRDefault="00A65E98">
    <w:pPr>
      <w:jc w:val="right"/>
    </w:pPr>
    <w:r>
      <w:rPr>
        <w:rFonts w:ascii="Calibri" w:eastAsia="Calibri" w:hAnsi="Calibri" w:cs="Calibri"/>
        <w:b/>
      </w:rPr>
      <w:fldChar w:fldCharType="begin"/>
    </w:r>
    <w:r>
      <w:rPr>
        <w:rFonts w:ascii="Calibri" w:eastAsia="Calibri" w:hAnsi="Calibri" w:cs="Calibri"/>
        <w:b/>
      </w:rPr>
      <w:instrText>PAGE</w:instrText>
    </w:r>
    <w:r w:rsidR="00FB7BCA">
      <w:rPr>
        <w:rFonts w:ascii="Calibri" w:eastAsia="Calibri" w:hAnsi="Calibri" w:cs="Calibri"/>
        <w:b/>
      </w:rPr>
      <w:fldChar w:fldCharType="separate"/>
    </w:r>
    <w:r w:rsidR="00FB7BCA">
      <w:rPr>
        <w:rFonts w:ascii="Calibri" w:eastAsia="Calibri" w:hAnsi="Calibri" w:cs="Calibri"/>
        <w:b/>
        <w:noProof/>
      </w:rPr>
      <w:t>1</w:t>
    </w:r>
    <w:r>
      <w:rPr>
        <w:rFonts w:ascii="Calibri" w:eastAsia="Calibri" w:hAnsi="Calibri" w:cs="Calibri"/>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C4" w14:textId="77777777" w:rsidR="00F27841" w:rsidRDefault="00F2784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05A69" w14:textId="77777777" w:rsidR="00A65E98" w:rsidRDefault="00A65E98">
      <w:pPr>
        <w:spacing w:line="240" w:lineRule="auto"/>
      </w:pPr>
      <w:r>
        <w:separator/>
      </w:r>
    </w:p>
  </w:footnote>
  <w:footnote w:type="continuationSeparator" w:id="0">
    <w:p w14:paraId="63B7F991" w14:textId="77777777" w:rsidR="00A65E98" w:rsidRDefault="00A65E9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B13D9C"/>
    <w:multiLevelType w:val="multilevel"/>
    <w:tmpl w:val="6EAAE2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42D63DCE"/>
    <w:multiLevelType w:val="multilevel"/>
    <w:tmpl w:val="985CA4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841"/>
    <w:rsid w:val="00A65E98"/>
    <w:rsid w:val="00F27841"/>
    <w:rsid w:val="00FB7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1116A"/>
  <w15:docId w15:val="{CF14C8FE-0BCF-4D6F-B447-D0207BD56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doi.org/10.1136/fmch-2018-000057" TargetMode="External"/><Relationship Id="rId13" Type="http://schemas.openxmlformats.org/officeDocument/2006/relationships/hyperlink" Target="https://doi.org/10.1177/104973231561744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9/aut.2020.0071" TargetMode="External"/><Relationship Id="rId12" Type="http://schemas.openxmlformats.org/officeDocument/2006/relationships/hyperlink" Target="https://doi.org/10.1177/104973231561744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049732315617444" TargetMode="External"/><Relationship Id="rId5" Type="http://schemas.openxmlformats.org/officeDocument/2006/relationships/footnotes" Target="footnotes.xml"/><Relationship Id="rId15" Type="http://schemas.openxmlformats.org/officeDocument/2006/relationships/hyperlink" Target="https://doi.org/10.21832/9781845418281-008" TargetMode="External"/><Relationship Id="rId10" Type="http://schemas.openxmlformats.org/officeDocument/2006/relationships/hyperlink" Target="https://doi.org/10.1136/fmch-2018-00005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36/fmch-2018-000057" TargetMode="External"/><Relationship Id="rId14" Type="http://schemas.openxmlformats.org/officeDocument/2006/relationships/hyperlink" Target="https://doi.org/10.21832/9781845418281-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4387</Words>
  <Characters>25008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TG</dc:creator>
  <cp:lastModifiedBy>TG</cp:lastModifiedBy>
  <cp:revision>2</cp:revision>
  <dcterms:created xsi:type="dcterms:W3CDTF">2025-04-29T19:08:00Z</dcterms:created>
  <dcterms:modified xsi:type="dcterms:W3CDTF">2025-04-29T19:08:00Z</dcterms:modified>
</cp:coreProperties>
</file>