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5D4BF" w14:textId="77777777" w:rsidR="00075B16" w:rsidRPr="00075B16" w:rsidRDefault="00075B16" w:rsidP="001A6A54">
      <w:pPr>
        <w:jc w:val="center"/>
        <w:rPr>
          <w:rFonts w:ascii="Arial" w:hAnsi="Arial" w:cs="Arial"/>
          <w:sz w:val="22"/>
          <w:szCs w:val="22"/>
        </w:rPr>
      </w:pPr>
    </w:p>
    <w:p w14:paraId="660D8EEB" w14:textId="1CE72926" w:rsidR="001A6A54" w:rsidRDefault="001A6A54" w:rsidP="001A6A54">
      <w:pPr>
        <w:jc w:val="center"/>
        <w:rPr>
          <w:rFonts w:ascii="Arial" w:hAnsi="Arial" w:cs="Arial"/>
          <w:b/>
          <w:bCs/>
          <w:sz w:val="22"/>
          <w:szCs w:val="22"/>
        </w:rPr>
      </w:pPr>
      <w:r>
        <w:rPr>
          <w:rFonts w:ascii="Arial" w:hAnsi="Arial" w:cs="Arial"/>
          <w:b/>
          <w:bCs/>
          <w:sz w:val="22"/>
          <w:szCs w:val="22"/>
        </w:rPr>
        <w:t>Assessment 2</w:t>
      </w:r>
    </w:p>
    <w:p w14:paraId="204F700A" w14:textId="2126BC2B" w:rsidR="00075B16" w:rsidRPr="00075B16" w:rsidRDefault="00075B16" w:rsidP="00075B16">
      <w:pPr>
        <w:rPr>
          <w:rFonts w:ascii="Arial" w:hAnsi="Arial" w:cs="Arial"/>
          <w:sz w:val="22"/>
          <w:szCs w:val="22"/>
        </w:rPr>
      </w:pPr>
      <w:r w:rsidRPr="00075B16">
        <w:rPr>
          <w:rFonts w:ascii="Arial" w:hAnsi="Arial" w:cs="Arial"/>
          <w:b/>
          <w:bCs/>
          <w:sz w:val="22"/>
          <w:szCs w:val="22"/>
        </w:rPr>
        <w:t>Name:</w:t>
      </w:r>
      <w:r w:rsidRPr="00075B16">
        <w:rPr>
          <w:rFonts w:ascii="Arial" w:hAnsi="Arial" w:cs="Arial"/>
          <w:sz w:val="22"/>
          <w:szCs w:val="22"/>
        </w:rPr>
        <w:t> Alicia Lo</w:t>
      </w:r>
      <w:r w:rsidR="000B2A17">
        <w:rPr>
          <w:rFonts w:ascii="Arial" w:hAnsi="Arial" w:cs="Arial"/>
          <w:sz w:val="22"/>
          <w:szCs w:val="22"/>
        </w:rPr>
        <w:t>y</w:t>
      </w:r>
      <w:r w:rsidRPr="00075B16">
        <w:rPr>
          <w:rFonts w:ascii="Arial" w:hAnsi="Arial" w:cs="Arial"/>
          <w:sz w:val="22"/>
          <w:szCs w:val="22"/>
        </w:rPr>
        <w:t xml:space="preserve"> Williams</w:t>
      </w:r>
    </w:p>
    <w:p w14:paraId="228A0281" w14:textId="77777777" w:rsidR="00075B16" w:rsidRPr="00075B16" w:rsidRDefault="00075B16" w:rsidP="00075B16">
      <w:pPr>
        <w:rPr>
          <w:rFonts w:ascii="Arial" w:hAnsi="Arial" w:cs="Arial"/>
          <w:sz w:val="22"/>
          <w:szCs w:val="22"/>
        </w:rPr>
      </w:pPr>
      <w:r w:rsidRPr="00075B16">
        <w:rPr>
          <w:rFonts w:ascii="Arial" w:hAnsi="Arial" w:cs="Arial"/>
          <w:b/>
          <w:bCs/>
          <w:sz w:val="22"/>
          <w:szCs w:val="22"/>
        </w:rPr>
        <w:t>Student Number:</w:t>
      </w:r>
      <w:r w:rsidRPr="00075B16">
        <w:rPr>
          <w:rFonts w:ascii="Arial" w:hAnsi="Arial" w:cs="Arial"/>
          <w:sz w:val="22"/>
          <w:szCs w:val="22"/>
        </w:rPr>
        <w:t> 2435009</w:t>
      </w:r>
    </w:p>
    <w:p w14:paraId="238EE4A9" w14:textId="77777777" w:rsidR="00075B16" w:rsidRDefault="00075B16" w:rsidP="00075B16">
      <w:pPr>
        <w:rPr>
          <w:rFonts w:ascii="Arial" w:hAnsi="Arial" w:cs="Arial"/>
          <w:sz w:val="22"/>
          <w:szCs w:val="22"/>
        </w:rPr>
      </w:pPr>
      <w:r w:rsidRPr="00075B16">
        <w:rPr>
          <w:rFonts w:ascii="Arial" w:hAnsi="Arial" w:cs="Arial"/>
          <w:b/>
          <w:bCs/>
          <w:sz w:val="22"/>
          <w:szCs w:val="22"/>
        </w:rPr>
        <w:t>Module Title:</w:t>
      </w:r>
      <w:r w:rsidRPr="00075B16">
        <w:rPr>
          <w:rFonts w:ascii="Arial" w:hAnsi="Arial" w:cs="Arial"/>
          <w:sz w:val="22"/>
          <w:szCs w:val="22"/>
        </w:rPr>
        <w:t> Psychology</w:t>
      </w:r>
    </w:p>
    <w:p w14:paraId="1DD61A57" w14:textId="3E0712BD" w:rsidR="001A6A54" w:rsidRPr="00075B16" w:rsidRDefault="001A6A54" w:rsidP="00075B16">
      <w:pPr>
        <w:rPr>
          <w:rFonts w:ascii="Arial" w:hAnsi="Arial" w:cs="Arial"/>
          <w:sz w:val="22"/>
          <w:szCs w:val="22"/>
        </w:rPr>
      </w:pPr>
      <w:r>
        <w:rPr>
          <w:rFonts w:ascii="Arial" w:hAnsi="Arial" w:cs="Arial"/>
          <w:sz w:val="22"/>
          <w:szCs w:val="22"/>
        </w:rPr>
        <w:t>Module Number: LCHS4010_LON</w:t>
      </w:r>
    </w:p>
    <w:p w14:paraId="3BE6DA0C" w14:textId="77777777" w:rsidR="00075B16" w:rsidRPr="00075B16" w:rsidRDefault="00075B16" w:rsidP="00075B16">
      <w:pPr>
        <w:rPr>
          <w:rFonts w:ascii="Arial" w:hAnsi="Arial" w:cs="Arial"/>
          <w:sz w:val="22"/>
          <w:szCs w:val="22"/>
        </w:rPr>
      </w:pPr>
      <w:r w:rsidRPr="00075B16">
        <w:rPr>
          <w:rFonts w:ascii="Arial" w:hAnsi="Arial" w:cs="Arial"/>
          <w:b/>
          <w:bCs/>
          <w:sz w:val="22"/>
          <w:szCs w:val="22"/>
        </w:rPr>
        <w:t>Lecturer:</w:t>
      </w:r>
      <w:r w:rsidRPr="00075B16">
        <w:rPr>
          <w:rFonts w:ascii="Arial" w:hAnsi="Arial" w:cs="Arial"/>
          <w:sz w:val="22"/>
          <w:szCs w:val="22"/>
        </w:rPr>
        <w:t> Shepherd Ziko</w:t>
      </w:r>
    </w:p>
    <w:p w14:paraId="2247D01C" w14:textId="77777777" w:rsidR="00075B16" w:rsidRDefault="00075B16" w:rsidP="00075B16">
      <w:pPr>
        <w:rPr>
          <w:rFonts w:ascii="Arial" w:hAnsi="Arial" w:cs="Arial"/>
          <w:sz w:val="22"/>
          <w:szCs w:val="22"/>
        </w:rPr>
      </w:pPr>
      <w:r w:rsidRPr="00075B16">
        <w:rPr>
          <w:rFonts w:ascii="Arial" w:hAnsi="Arial" w:cs="Arial"/>
          <w:b/>
          <w:bCs/>
          <w:sz w:val="22"/>
          <w:szCs w:val="22"/>
        </w:rPr>
        <w:t>Assignment Title:</w:t>
      </w:r>
      <w:r w:rsidRPr="00075B16">
        <w:rPr>
          <w:rFonts w:ascii="Arial" w:hAnsi="Arial" w:cs="Arial"/>
          <w:sz w:val="22"/>
          <w:szCs w:val="22"/>
        </w:rPr>
        <w:t> Adult Development and Wellbeing in Health and Social Care</w:t>
      </w:r>
    </w:p>
    <w:p w14:paraId="72304D9A" w14:textId="77777777" w:rsidR="00075B16" w:rsidRDefault="00075B16" w:rsidP="00075B16">
      <w:pPr>
        <w:rPr>
          <w:rFonts w:ascii="Arial" w:hAnsi="Arial" w:cs="Arial"/>
          <w:sz w:val="22"/>
          <w:szCs w:val="22"/>
        </w:rPr>
      </w:pPr>
    </w:p>
    <w:p w14:paraId="5348B758" w14:textId="6D4F8D57" w:rsidR="00DF3FA4" w:rsidRPr="00DF3FA4" w:rsidRDefault="00DF3FA4" w:rsidP="00075B16">
      <w:pPr>
        <w:rPr>
          <w:rFonts w:ascii="Arial" w:hAnsi="Arial" w:cs="Arial"/>
          <w:b/>
          <w:bCs/>
          <w:sz w:val="22"/>
          <w:szCs w:val="22"/>
        </w:rPr>
      </w:pPr>
      <w:r w:rsidRPr="00DF3FA4">
        <w:rPr>
          <w:rFonts w:ascii="Arial" w:hAnsi="Arial" w:cs="Arial"/>
          <w:b/>
          <w:bCs/>
          <w:sz w:val="22"/>
          <w:szCs w:val="22"/>
        </w:rPr>
        <w:t xml:space="preserve">Theory </w:t>
      </w:r>
      <w:r>
        <w:rPr>
          <w:rFonts w:ascii="Arial" w:hAnsi="Arial" w:cs="Arial"/>
          <w:b/>
          <w:bCs/>
          <w:sz w:val="22"/>
          <w:szCs w:val="22"/>
        </w:rPr>
        <w:t>1</w:t>
      </w:r>
      <w:r w:rsidRPr="00DF3FA4">
        <w:rPr>
          <w:rFonts w:ascii="Arial" w:hAnsi="Arial" w:cs="Arial"/>
          <w:b/>
          <w:bCs/>
          <w:sz w:val="22"/>
          <w:szCs w:val="22"/>
        </w:rPr>
        <w:t xml:space="preserve">: </w:t>
      </w:r>
      <w:r>
        <w:rPr>
          <w:rFonts w:ascii="Arial" w:hAnsi="Arial" w:cs="Arial"/>
          <w:b/>
          <w:bCs/>
          <w:sz w:val="22"/>
          <w:szCs w:val="22"/>
        </w:rPr>
        <w:t>Bowlby’s Attachment Theory</w:t>
      </w:r>
    </w:p>
    <w:p w14:paraId="7C072305" w14:textId="12BF6C90" w:rsidR="00DF3FA4" w:rsidRPr="00BE1867" w:rsidRDefault="00DF3FA4" w:rsidP="00DF3FA4">
      <w:pPr>
        <w:rPr>
          <w:rFonts w:ascii="Arial" w:hAnsi="Arial" w:cs="Arial"/>
          <w:sz w:val="22"/>
          <w:szCs w:val="22"/>
        </w:rPr>
      </w:pPr>
      <w:r w:rsidRPr="00BE1867">
        <w:rPr>
          <w:rFonts w:ascii="Arial" w:hAnsi="Arial" w:cs="Arial"/>
          <w:sz w:val="22"/>
          <w:szCs w:val="22"/>
        </w:rPr>
        <w:t xml:space="preserve">John </w:t>
      </w:r>
      <w:r w:rsidRPr="00DF3FA4">
        <w:rPr>
          <w:rFonts w:ascii="Arial" w:hAnsi="Arial" w:cs="Arial"/>
          <w:sz w:val="22"/>
          <w:szCs w:val="22"/>
        </w:rPr>
        <w:t>Bowlby</w:t>
      </w:r>
      <w:r w:rsidRPr="00BE1867">
        <w:rPr>
          <w:rFonts w:ascii="Arial" w:hAnsi="Arial" w:cs="Arial"/>
          <w:sz w:val="22"/>
          <w:szCs w:val="22"/>
        </w:rPr>
        <w:t xml:space="preserve"> was a psychologist and psychoanalyst that was born in the UK 26th February 1907. He was able to develop the attachment theory explaining how early relationships between infants and caregivers and shape emotional development during adulthood and across your lifespan. This theory has an internal working model that emphasises how early attachment can influence an individual's relationships and emotional regulation throughout their life. There are two prominent attachments mentioned which is secure and insecure attachment. Secure attachment is associated with emotional resilience and stability. </w:t>
      </w:r>
      <w:r w:rsidR="00866470">
        <w:rPr>
          <w:rFonts w:ascii="Arial" w:hAnsi="Arial" w:cs="Arial"/>
          <w:sz w:val="22"/>
          <w:szCs w:val="22"/>
        </w:rPr>
        <w:t>S</w:t>
      </w:r>
      <w:r w:rsidRPr="00BE1867">
        <w:rPr>
          <w:rFonts w:ascii="Arial" w:hAnsi="Arial" w:cs="Arial"/>
          <w:sz w:val="22"/>
          <w:szCs w:val="22"/>
        </w:rPr>
        <w:t>omeone with insecure attachment may be more anxious avoidant or have difficulty forming relationships. These attachment behaviours can be seen throughout adulthood particularly when in an individual stressed or seeking comfort and reassurance from other</w:t>
      </w:r>
      <w:r w:rsidRPr="00DF3FA4">
        <w:rPr>
          <w:rFonts w:ascii="Arial" w:hAnsi="Arial" w:cs="Arial"/>
          <w:sz w:val="22"/>
          <w:szCs w:val="22"/>
        </w:rPr>
        <w:t xml:space="preserve">s </w:t>
      </w:r>
      <w:r w:rsidRPr="009A5ECC">
        <w:rPr>
          <w:rFonts w:ascii="Arial" w:hAnsi="Arial" w:cs="Arial"/>
          <w:sz w:val="22"/>
          <w:szCs w:val="22"/>
        </w:rPr>
        <w:t>(Bowlby, 1988).</w:t>
      </w:r>
    </w:p>
    <w:p w14:paraId="38D77320" w14:textId="4C00F4C6" w:rsidR="00DF3FA4" w:rsidRPr="00BE1867" w:rsidRDefault="00DF3FA4" w:rsidP="00DF3FA4">
      <w:pPr>
        <w:rPr>
          <w:rFonts w:ascii="Arial" w:hAnsi="Arial" w:cs="Arial"/>
          <w:sz w:val="22"/>
          <w:szCs w:val="22"/>
        </w:rPr>
      </w:pPr>
      <w:r w:rsidRPr="00BE1867">
        <w:rPr>
          <w:rFonts w:ascii="Arial" w:hAnsi="Arial" w:cs="Arial"/>
          <w:sz w:val="22"/>
          <w:szCs w:val="22"/>
        </w:rPr>
        <w:t>This theory can be seen throughout health, and social care settings particularly in residential care homes where adults may experience loss, loneliness, and dependency. This theory indicates the importance of having consistent and trust relationships between a caregiver and residence which can enhance emotional well-being and reduced distress. However, this theory puts a strong emphasis on how early childhood experiences influences adulthood and overlooks any potential external factors during later life.</w:t>
      </w:r>
    </w:p>
    <w:p w14:paraId="3C68534A" w14:textId="77777777" w:rsidR="00DF3FA4" w:rsidRDefault="00DF3FA4" w:rsidP="00DF3FA4">
      <w:pPr>
        <w:rPr>
          <w:rFonts w:ascii="Arial" w:hAnsi="Arial" w:cs="Arial"/>
          <w:sz w:val="22"/>
          <w:szCs w:val="22"/>
        </w:rPr>
      </w:pPr>
      <w:r w:rsidRPr="00DF3FA4">
        <w:rPr>
          <w:rFonts w:ascii="Arial" w:hAnsi="Arial" w:cs="Arial"/>
          <w:sz w:val="22"/>
          <w:szCs w:val="22"/>
        </w:rPr>
        <w:t>A new understanding of attachment theory focuses on how emotional regulation, coping strategies, and interpersonal relationships are affected by attachment styles during adulthood. The likelihood of seeking support and managing stress effectively is higher for individuals with secure attachments, whereas the likelihood of anxiety and avoidance behaviours is higher for individuals with insecure attachments. It is particularly important to recognise these patterns in older adulthood, when people may be experiencing health challenges or transitions in their lives (Mikulincer and Shaver, 2016).</w:t>
      </w:r>
    </w:p>
    <w:p w14:paraId="602AB089" w14:textId="48F8E943" w:rsidR="001A6A54" w:rsidRPr="001A6A54" w:rsidRDefault="001A6A54" w:rsidP="00DF3FA4">
      <w:pPr>
        <w:rPr>
          <w:rFonts w:ascii="Arial" w:hAnsi="Arial" w:cs="Arial"/>
          <w:b/>
          <w:bCs/>
          <w:sz w:val="22"/>
          <w:szCs w:val="22"/>
        </w:rPr>
      </w:pPr>
      <w:r w:rsidRPr="001A6A54">
        <w:rPr>
          <w:rFonts w:ascii="Arial" w:hAnsi="Arial" w:cs="Arial"/>
          <w:b/>
          <w:bCs/>
          <w:sz w:val="22"/>
          <w:szCs w:val="22"/>
        </w:rPr>
        <w:t xml:space="preserve">Critical comment </w:t>
      </w:r>
    </w:p>
    <w:p w14:paraId="09500E5C" w14:textId="3D1E0E84" w:rsidR="00DF3FA4" w:rsidRPr="00BE1867" w:rsidRDefault="00DF3FA4" w:rsidP="00DF3FA4">
      <w:pPr>
        <w:rPr>
          <w:rFonts w:ascii="Arial" w:hAnsi="Arial" w:cs="Arial"/>
          <w:sz w:val="22"/>
          <w:szCs w:val="22"/>
        </w:rPr>
      </w:pPr>
      <w:r w:rsidRPr="00BE1867">
        <w:rPr>
          <w:rFonts w:ascii="Arial" w:hAnsi="Arial" w:cs="Arial"/>
          <w:sz w:val="22"/>
          <w:szCs w:val="22"/>
        </w:rPr>
        <w:t>The source provided strengthens application of attachment theory in Health and social care by showing it</w:t>
      </w:r>
      <w:r w:rsidR="00211ACF">
        <w:rPr>
          <w:rFonts w:ascii="Arial" w:hAnsi="Arial" w:cs="Arial"/>
          <w:sz w:val="22"/>
          <w:szCs w:val="22"/>
        </w:rPr>
        <w:t xml:space="preserve">, it’s </w:t>
      </w:r>
      <w:r w:rsidRPr="00BE1867">
        <w:rPr>
          <w:rFonts w:ascii="Arial" w:hAnsi="Arial" w:cs="Arial"/>
          <w:sz w:val="22"/>
          <w:szCs w:val="22"/>
        </w:rPr>
        <w:t>relevant beyond childhood. It’s it shows the need for emotionally responsive relationships when an individual is an adult. However, emphasis for environment on social factors are not included even though it influences well-being in the care setting.</w:t>
      </w:r>
    </w:p>
    <w:p w14:paraId="5F43960B" w14:textId="77777777" w:rsidR="00DF3FA4" w:rsidRPr="00BE1867" w:rsidRDefault="00DF3FA4" w:rsidP="00DF3FA4">
      <w:pPr>
        <w:rPr>
          <w:rFonts w:ascii="Arial" w:hAnsi="Arial" w:cs="Arial"/>
          <w:sz w:val="22"/>
          <w:szCs w:val="22"/>
        </w:rPr>
      </w:pPr>
    </w:p>
    <w:p w14:paraId="3EE00DCC" w14:textId="77777777" w:rsidR="00DF3FA4" w:rsidRPr="00DF3FA4" w:rsidRDefault="00DF3FA4" w:rsidP="00DF3FA4">
      <w:pPr>
        <w:rPr>
          <w:rFonts w:ascii="Arial" w:hAnsi="Arial" w:cs="Arial"/>
          <w:sz w:val="22"/>
          <w:szCs w:val="22"/>
        </w:rPr>
      </w:pPr>
      <w:r w:rsidRPr="00DF3FA4">
        <w:rPr>
          <w:rFonts w:ascii="Arial" w:hAnsi="Arial" w:cs="Arial"/>
          <w:sz w:val="22"/>
          <w:szCs w:val="22"/>
        </w:rPr>
        <w:t xml:space="preserve"> </w:t>
      </w:r>
    </w:p>
    <w:p w14:paraId="347E10DE" w14:textId="4DB71B59" w:rsidR="00DF3FA4" w:rsidRPr="00DF3FA4" w:rsidRDefault="00DF3FA4" w:rsidP="00DF3FA4">
      <w:pPr>
        <w:rPr>
          <w:rFonts w:ascii="Arial" w:hAnsi="Arial" w:cs="Arial"/>
          <w:b/>
          <w:bCs/>
          <w:sz w:val="22"/>
          <w:szCs w:val="22"/>
        </w:rPr>
      </w:pPr>
      <w:r w:rsidRPr="00DF3FA4">
        <w:rPr>
          <w:rFonts w:ascii="Arial" w:hAnsi="Arial" w:cs="Arial"/>
          <w:b/>
          <w:bCs/>
          <w:sz w:val="22"/>
          <w:szCs w:val="22"/>
        </w:rPr>
        <w:t>Theory 2: Freud’s Psychoanalytic Theory</w:t>
      </w:r>
    </w:p>
    <w:p w14:paraId="6359F29B" w14:textId="77777777" w:rsidR="00DF3FA4" w:rsidRPr="00DF3FA4" w:rsidRDefault="00DF3FA4" w:rsidP="00DF3FA4">
      <w:pPr>
        <w:rPr>
          <w:rFonts w:ascii="Arial" w:hAnsi="Arial" w:cs="Arial"/>
          <w:sz w:val="22"/>
          <w:szCs w:val="22"/>
        </w:rPr>
      </w:pPr>
      <w:r w:rsidRPr="00DF3FA4">
        <w:rPr>
          <w:rFonts w:ascii="Arial" w:hAnsi="Arial" w:cs="Arial"/>
          <w:sz w:val="22"/>
          <w:szCs w:val="22"/>
        </w:rPr>
        <w:t>Sigmund Freud was born on the 6th of May 1856 in Austria. He was a neurologist and is also known to be the founder of psychoanalysis. His psychoanalytic theory focuses on the role of the unconscious mind shaping an individual’s behaviour, personality, unconscious thoughts and desire. His theory focuses on the structure of the mind and how it can be split into three. It consists of the id, ego and super ego which interact and influence thought and actions. Freud explored how early childhood experiences and unresolved unconscious conflict can have a lasting effect on an adult’s behaviour. These unconscious processes can influence emotional responses, coping mechanisms and mental health across the lifespan.</w:t>
      </w:r>
    </w:p>
    <w:p w14:paraId="0CBD1BF9" w14:textId="77777777" w:rsidR="00DF3FA4" w:rsidRPr="00202A77" w:rsidRDefault="00DF3FA4" w:rsidP="00DF3FA4">
      <w:pPr>
        <w:rPr>
          <w:rFonts w:ascii="Arial" w:hAnsi="Arial" w:cs="Arial"/>
          <w:sz w:val="22"/>
          <w:szCs w:val="22"/>
        </w:rPr>
      </w:pPr>
      <w:r w:rsidRPr="00202A77">
        <w:rPr>
          <w:rFonts w:ascii="Arial" w:hAnsi="Arial" w:cs="Arial"/>
          <w:sz w:val="22"/>
          <w:szCs w:val="22"/>
        </w:rPr>
        <w:t xml:space="preserve">In addition to providing insight into underlying emotional processes, Freud's theory can assist care professionals in understanding </w:t>
      </w:r>
      <w:r w:rsidRPr="00DF3FA4">
        <w:rPr>
          <w:rFonts w:ascii="Arial" w:hAnsi="Arial" w:cs="Arial"/>
          <w:sz w:val="22"/>
          <w:szCs w:val="22"/>
        </w:rPr>
        <w:t>behaviour</w:t>
      </w:r>
      <w:r w:rsidRPr="00202A77">
        <w:rPr>
          <w:rFonts w:ascii="Arial" w:hAnsi="Arial" w:cs="Arial"/>
          <w:sz w:val="22"/>
          <w:szCs w:val="22"/>
        </w:rPr>
        <w:t xml:space="preserve"> that may not be immediately apparent. </w:t>
      </w:r>
      <w:r w:rsidRPr="00DF3FA4">
        <w:rPr>
          <w:rFonts w:ascii="Arial" w:hAnsi="Arial" w:cs="Arial"/>
          <w:sz w:val="22"/>
          <w:szCs w:val="22"/>
        </w:rPr>
        <w:t>This</w:t>
      </w:r>
      <w:r w:rsidRPr="00202A77">
        <w:rPr>
          <w:rFonts w:ascii="Arial" w:hAnsi="Arial" w:cs="Arial"/>
          <w:sz w:val="22"/>
          <w:szCs w:val="22"/>
        </w:rPr>
        <w:t xml:space="preserve"> is useful when assisting older adults with anxiety or distress. There are, however, criticisms of the theory, such as its lack of scientific evidence and difficulty of application in practice.</w:t>
      </w:r>
    </w:p>
    <w:p w14:paraId="4DE6D601" w14:textId="77777777" w:rsidR="00DF3FA4" w:rsidRPr="00202A77" w:rsidRDefault="00DF3FA4" w:rsidP="00DF3FA4">
      <w:pPr>
        <w:rPr>
          <w:rFonts w:ascii="Arial" w:hAnsi="Arial" w:cs="Arial"/>
          <w:sz w:val="22"/>
          <w:szCs w:val="22"/>
        </w:rPr>
      </w:pPr>
      <w:r w:rsidRPr="00202A77">
        <w:rPr>
          <w:rFonts w:ascii="Arial" w:hAnsi="Arial" w:cs="Arial"/>
          <w:sz w:val="22"/>
          <w:szCs w:val="22"/>
        </w:rPr>
        <w:t xml:space="preserve">A further development of psychoanalytic theory is to integrate it with modern psychological approaches, emphasising the importance of early relationships and unconscious processes in regulating emotional states. Fonagy and Target (2003) suggest that unconscious patterns continue to affect </w:t>
      </w:r>
      <w:r w:rsidRPr="00DF3FA4">
        <w:rPr>
          <w:rFonts w:ascii="Arial" w:hAnsi="Arial" w:cs="Arial"/>
          <w:sz w:val="22"/>
          <w:szCs w:val="22"/>
        </w:rPr>
        <w:t>behaviour</w:t>
      </w:r>
      <w:r w:rsidRPr="00202A77">
        <w:rPr>
          <w:rFonts w:ascii="Arial" w:hAnsi="Arial" w:cs="Arial"/>
          <w:sz w:val="22"/>
          <w:szCs w:val="22"/>
        </w:rPr>
        <w:t xml:space="preserve"> in later life, influencing how individuals cope with stress and relationships.</w:t>
      </w:r>
    </w:p>
    <w:p w14:paraId="49C6AA2D" w14:textId="77777777" w:rsidR="0020610E" w:rsidRDefault="00DF3FA4" w:rsidP="00DF3FA4">
      <w:pPr>
        <w:rPr>
          <w:rFonts w:ascii="Arial" w:hAnsi="Arial" w:cs="Arial"/>
          <w:sz w:val="22"/>
          <w:szCs w:val="22"/>
        </w:rPr>
      </w:pPr>
      <w:r w:rsidRPr="009A5ECC">
        <w:rPr>
          <w:rFonts w:ascii="Arial" w:hAnsi="Arial" w:cs="Arial"/>
          <w:sz w:val="22"/>
          <w:szCs w:val="22"/>
        </w:rPr>
        <w:t>This perspective enhances the relevance of Freud’s theory by linking it to contemporary research. It supports a deeper understanding of emotional complexity</w:t>
      </w:r>
      <w:r w:rsidRPr="00DF3FA4">
        <w:rPr>
          <w:rFonts w:ascii="Arial" w:hAnsi="Arial" w:cs="Arial"/>
          <w:sz w:val="22"/>
          <w:szCs w:val="22"/>
        </w:rPr>
        <w:t>, an unconscious influence</w:t>
      </w:r>
      <w:r w:rsidRPr="009A5ECC">
        <w:rPr>
          <w:rFonts w:ascii="Arial" w:hAnsi="Arial" w:cs="Arial"/>
          <w:sz w:val="22"/>
          <w:szCs w:val="22"/>
        </w:rPr>
        <w:t xml:space="preserve"> in older adults. </w:t>
      </w:r>
    </w:p>
    <w:p w14:paraId="4B16F464" w14:textId="631C53A4" w:rsidR="0020610E" w:rsidRPr="0020610E" w:rsidRDefault="0020610E" w:rsidP="00DF3FA4">
      <w:pPr>
        <w:rPr>
          <w:rFonts w:ascii="Arial" w:hAnsi="Arial" w:cs="Arial"/>
          <w:b/>
          <w:bCs/>
          <w:sz w:val="22"/>
          <w:szCs w:val="22"/>
        </w:rPr>
      </w:pPr>
      <w:r w:rsidRPr="0020610E">
        <w:rPr>
          <w:rFonts w:ascii="Arial" w:hAnsi="Arial" w:cs="Arial"/>
          <w:b/>
          <w:bCs/>
          <w:sz w:val="22"/>
          <w:szCs w:val="22"/>
        </w:rPr>
        <w:t>Critical comment</w:t>
      </w:r>
    </w:p>
    <w:p w14:paraId="2BACC732" w14:textId="657B6D24" w:rsidR="00DF3FA4" w:rsidRPr="009A5ECC" w:rsidRDefault="00DF3FA4" w:rsidP="00DF3FA4">
      <w:pPr>
        <w:rPr>
          <w:rFonts w:ascii="Arial" w:hAnsi="Arial" w:cs="Arial"/>
          <w:sz w:val="22"/>
          <w:szCs w:val="22"/>
        </w:rPr>
      </w:pPr>
      <w:r w:rsidRPr="009A5ECC">
        <w:rPr>
          <w:rFonts w:ascii="Arial" w:hAnsi="Arial" w:cs="Arial"/>
          <w:sz w:val="22"/>
          <w:szCs w:val="22"/>
        </w:rPr>
        <w:t>However, applying psychoanalytic concepts in health and social care may be challenging due to their complexity and the need for specialised training</w:t>
      </w:r>
      <w:r w:rsidRPr="00DF3FA4">
        <w:rPr>
          <w:rFonts w:ascii="Arial" w:hAnsi="Arial" w:cs="Arial"/>
          <w:sz w:val="22"/>
          <w:szCs w:val="22"/>
        </w:rPr>
        <w:t>.</w:t>
      </w:r>
    </w:p>
    <w:p w14:paraId="1E62930C" w14:textId="77777777" w:rsidR="00DF3FA4" w:rsidRPr="00DF3FA4" w:rsidRDefault="00DF3FA4" w:rsidP="00DF3FA4">
      <w:pPr>
        <w:rPr>
          <w:rFonts w:ascii="Arial" w:hAnsi="Arial" w:cs="Arial"/>
          <w:sz w:val="22"/>
          <w:szCs w:val="22"/>
        </w:rPr>
      </w:pPr>
      <w:r w:rsidRPr="009A5ECC">
        <w:rPr>
          <w:rFonts w:ascii="Arial" w:hAnsi="Arial" w:cs="Arial"/>
          <w:sz w:val="22"/>
          <w:szCs w:val="22"/>
        </w:rPr>
        <w:t xml:space="preserve">Both Bowlby’s Attachment Theory and Freud’s Psychoanalytic Theory offer </w:t>
      </w:r>
      <w:r w:rsidRPr="00DF3FA4">
        <w:rPr>
          <w:rFonts w:ascii="Arial" w:hAnsi="Arial" w:cs="Arial"/>
          <w:sz w:val="22"/>
          <w:szCs w:val="22"/>
        </w:rPr>
        <w:t>beneficial</w:t>
      </w:r>
      <w:r w:rsidRPr="009A5ECC">
        <w:rPr>
          <w:rFonts w:ascii="Arial" w:hAnsi="Arial" w:cs="Arial"/>
          <w:sz w:val="22"/>
          <w:szCs w:val="22"/>
        </w:rPr>
        <w:t xml:space="preserve"> perspectives on human development, yet they differ significantly in their approaches and practical application within health and social care settings.</w:t>
      </w:r>
      <w:r w:rsidRPr="00DF3FA4">
        <w:rPr>
          <w:rFonts w:ascii="Arial" w:hAnsi="Arial" w:cs="Arial"/>
          <w:sz w:val="22"/>
          <w:szCs w:val="22"/>
        </w:rPr>
        <w:t xml:space="preserve"> Bowlby‘s theory is why he seen as more empirical supported and it’s easily applicable to individuals, especially when trying to understand emotional needs and relationship building </w:t>
      </w:r>
      <w:r w:rsidRPr="009A5ECC">
        <w:rPr>
          <w:rFonts w:ascii="Arial" w:hAnsi="Arial" w:cs="Arial"/>
          <w:sz w:val="22"/>
          <w:szCs w:val="22"/>
        </w:rPr>
        <w:t>(Mikulincer and Shaver, 2016)</w:t>
      </w:r>
      <w:r w:rsidRPr="00DF3FA4">
        <w:rPr>
          <w:rFonts w:ascii="Arial" w:hAnsi="Arial" w:cs="Arial"/>
          <w:sz w:val="22"/>
          <w:szCs w:val="22"/>
        </w:rPr>
        <w:t xml:space="preserve">. On the other hand, Freud theory provides a more abstract understanding of unconscious processes which is an insightful but it’s difficult to apply directly in care environments </w:t>
      </w:r>
      <w:r w:rsidRPr="009A5ECC">
        <w:rPr>
          <w:rFonts w:ascii="Arial" w:hAnsi="Arial" w:cs="Arial"/>
          <w:sz w:val="22"/>
          <w:szCs w:val="22"/>
        </w:rPr>
        <w:t>(Fonagy and Target, 2003).</w:t>
      </w:r>
    </w:p>
    <w:p w14:paraId="46AFEA95" w14:textId="33EE49D5" w:rsidR="00DF3FA4" w:rsidRPr="009A5ECC" w:rsidRDefault="00DF3FA4" w:rsidP="00DF3FA4">
      <w:pPr>
        <w:rPr>
          <w:rFonts w:ascii="Arial" w:hAnsi="Arial" w:cs="Arial"/>
          <w:sz w:val="22"/>
          <w:szCs w:val="22"/>
        </w:rPr>
      </w:pPr>
      <w:r w:rsidRPr="001B5B83">
        <w:rPr>
          <w:rFonts w:ascii="Arial" w:hAnsi="Arial" w:cs="Arial"/>
          <w:sz w:val="22"/>
          <w:szCs w:val="22"/>
        </w:rPr>
        <w:t xml:space="preserve">A strength of </w:t>
      </w:r>
      <w:r w:rsidRPr="00DF3FA4">
        <w:rPr>
          <w:rFonts w:ascii="Arial" w:hAnsi="Arial" w:cs="Arial"/>
          <w:sz w:val="22"/>
          <w:szCs w:val="22"/>
        </w:rPr>
        <w:t>Bowbly’s</w:t>
      </w:r>
      <w:r w:rsidRPr="001B5B83">
        <w:rPr>
          <w:rFonts w:ascii="Arial" w:hAnsi="Arial" w:cs="Arial"/>
          <w:sz w:val="22"/>
          <w:szCs w:val="22"/>
        </w:rPr>
        <w:t xml:space="preserve"> </w:t>
      </w:r>
      <w:r w:rsidRPr="00DF3FA4">
        <w:rPr>
          <w:rFonts w:ascii="Arial" w:hAnsi="Arial" w:cs="Arial"/>
          <w:sz w:val="22"/>
          <w:szCs w:val="22"/>
        </w:rPr>
        <w:t>theory</w:t>
      </w:r>
      <w:r w:rsidRPr="001B5B83">
        <w:rPr>
          <w:rFonts w:ascii="Arial" w:hAnsi="Arial" w:cs="Arial"/>
          <w:sz w:val="22"/>
          <w:szCs w:val="22"/>
        </w:rPr>
        <w:t xml:space="preserve"> is how it can be applied to real life practices. The concept of secure base can be translated into caregiving strategies such as consistent staffing and emotional responsive interactions, which can improve and promote psychological well-being in adults</w:t>
      </w:r>
      <w:r w:rsidRPr="00DF3FA4">
        <w:rPr>
          <w:rFonts w:ascii="Arial" w:hAnsi="Arial" w:cs="Arial"/>
          <w:sz w:val="22"/>
          <w:szCs w:val="22"/>
        </w:rPr>
        <w:t xml:space="preserve"> </w:t>
      </w:r>
      <w:r w:rsidRPr="009A5ECC">
        <w:rPr>
          <w:rFonts w:ascii="Arial" w:hAnsi="Arial" w:cs="Arial"/>
          <w:sz w:val="22"/>
          <w:szCs w:val="22"/>
        </w:rPr>
        <w:t>(Bowlby, 1988)</w:t>
      </w:r>
      <w:r w:rsidRPr="001B5B83">
        <w:rPr>
          <w:rFonts w:ascii="Arial" w:hAnsi="Arial" w:cs="Arial"/>
          <w:sz w:val="22"/>
          <w:szCs w:val="22"/>
        </w:rPr>
        <w:t>. This can be applied in residential care settings which can help individual who are experiencing anxiety due to loss or being in an unfamiliar environment.</w:t>
      </w:r>
      <w:r w:rsidRPr="00DF3FA4">
        <w:rPr>
          <w:rFonts w:ascii="Arial" w:hAnsi="Arial" w:cs="Arial"/>
          <w:sz w:val="22"/>
          <w:szCs w:val="22"/>
        </w:rPr>
        <w:t xml:space="preserve"> </w:t>
      </w:r>
      <w:r w:rsidRPr="009A5ECC">
        <w:rPr>
          <w:rFonts w:ascii="Arial" w:hAnsi="Arial" w:cs="Arial"/>
          <w:sz w:val="22"/>
          <w:szCs w:val="22"/>
        </w:rPr>
        <w:t xml:space="preserve">In comparison, Freud’s emphasis on unconscious conflict offers less immediate practical </w:t>
      </w:r>
      <w:r w:rsidRPr="009A5ECC">
        <w:rPr>
          <w:rFonts w:ascii="Arial" w:hAnsi="Arial" w:cs="Arial"/>
          <w:sz w:val="22"/>
          <w:szCs w:val="22"/>
        </w:rPr>
        <w:lastRenderedPageBreak/>
        <w:t>guidance, although it remains useful in understanding complex emotional behaviours, such as unexplained distress or resistance to care (Freud, 1923).</w:t>
      </w:r>
    </w:p>
    <w:p w14:paraId="65C72AF2" w14:textId="77777777" w:rsidR="00DF3FA4" w:rsidRPr="001B5B83" w:rsidRDefault="00DF3FA4" w:rsidP="00DF3FA4">
      <w:pPr>
        <w:rPr>
          <w:rFonts w:ascii="Arial" w:hAnsi="Arial" w:cs="Arial"/>
          <w:sz w:val="22"/>
          <w:szCs w:val="22"/>
        </w:rPr>
      </w:pPr>
      <w:r w:rsidRPr="00DF3FA4">
        <w:rPr>
          <w:rFonts w:ascii="Arial" w:hAnsi="Arial" w:cs="Arial"/>
          <w:sz w:val="22"/>
          <w:szCs w:val="22"/>
        </w:rPr>
        <w:t>There is no conflict between the two theories, as they are complementary rather than opposing. While Bowlby provides practical strategies for care, Freud contributes to a deeper understanding of internal emotional processes. When both perspectives are integrated, care professionals can provide more holistic support that addresses observable behaviours as well as underlying psychological issues. By combining the approaches, it can ultimately enhance the quality of care and improve outcomes for older adults.</w:t>
      </w:r>
    </w:p>
    <w:p w14:paraId="24C7776F" w14:textId="77777777" w:rsidR="00DF3FA4" w:rsidRPr="001B5B83" w:rsidRDefault="00DF3FA4" w:rsidP="00DF3FA4">
      <w:pPr>
        <w:rPr>
          <w:rFonts w:ascii="Arial" w:hAnsi="Arial" w:cs="Arial"/>
          <w:sz w:val="22"/>
          <w:szCs w:val="22"/>
        </w:rPr>
      </w:pPr>
      <w:r w:rsidRPr="001B5B83">
        <w:rPr>
          <w:rFonts w:ascii="Arial" w:hAnsi="Arial" w:cs="Arial"/>
          <w:sz w:val="22"/>
          <w:szCs w:val="22"/>
        </w:rPr>
        <w:t> </w:t>
      </w:r>
    </w:p>
    <w:p w14:paraId="133D97EC" w14:textId="77777777" w:rsidR="00DF3FA4" w:rsidRPr="00DF3FA4" w:rsidRDefault="00DF3FA4" w:rsidP="00DF3FA4">
      <w:pPr>
        <w:rPr>
          <w:rFonts w:ascii="Arial" w:hAnsi="Arial" w:cs="Arial"/>
          <w:b/>
          <w:bCs/>
          <w:sz w:val="22"/>
          <w:szCs w:val="22"/>
          <w:u w:val="single"/>
        </w:rPr>
      </w:pPr>
      <w:r w:rsidRPr="00DF3FA4">
        <w:rPr>
          <w:rFonts w:ascii="Arial" w:hAnsi="Arial" w:cs="Arial"/>
          <w:b/>
          <w:bCs/>
          <w:sz w:val="22"/>
          <w:szCs w:val="22"/>
          <w:u w:val="single"/>
        </w:rPr>
        <w:t>Part B: Short Report (750 words)</w:t>
      </w:r>
    </w:p>
    <w:p w14:paraId="3CF9EDDC" w14:textId="77777777" w:rsidR="00DF3FA4" w:rsidRPr="00DF3FA4" w:rsidRDefault="00DF3FA4" w:rsidP="00DF3FA4">
      <w:pPr>
        <w:rPr>
          <w:rFonts w:ascii="Arial" w:hAnsi="Arial" w:cs="Arial"/>
          <w:b/>
          <w:bCs/>
          <w:sz w:val="22"/>
          <w:szCs w:val="22"/>
          <w:u w:val="single"/>
        </w:rPr>
      </w:pPr>
      <w:r w:rsidRPr="00DF3FA4">
        <w:rPr>
          <w:rFonts w:ascii="Arial" w:hAnsi="Arial" w:cs="Arial"/>
          <w:b/>
          <w:bCs/>
          <w:sz w:val="22"/>
          <w:szCs w:val="22"/>
          <w:u w:val="single"/>
        </w:rPr>
        <w:t>Applying Bowlby’s Attachment Theory in Residential Care Settings</w:t>
      </w:r>
    </w:p>
    <w:p w14:paraId="5B26E271" w14:textId="77777777" w:rsidR="00DF3FA4" w:rsidRPr="00DF3FA4" w:rsidRDefault="00DF3FA4" w:rsidP="00DF3FA4">
      <w:pPr>
        <w:rPr>
          <w:rFonts w:ascii="Arial" w:hAnsi="Arial" w:cs="Arial"/>
          <w:b/>
          <w:bCs/>
          <w:sz w:val="22"/>
          <w:szCs w:val="22"/>
        </w:rPr>
      </w:pPr>
    </w:p>
    <w:p w14:paraId="7DC9FADD" w14:textId="77777777" w:rsidR="00DF3FA4" w:rsidRPr="00DF3FA4" w:rsidRDefault="00DF3FA4" w:rsidP="00DF3FA4">
      <w:pPr>
        <w:rPr>
          <w:rFonts w:ascii="Arial" w:hAnsi="Arial" w:cs="Arial"/>
          <w:sz w:val="22"/>
          <w:szCs w:val="22"/>
        </w:rPr>
      </w:pPr>
      <w:r w:rsidRPr="00DF3FA4">
        <w:rPr>
          <w:rFonts w:ascii="Arial" w:hAnsi="Arial" w:cs="Arial"/>
          <w:sz w:val="22"/>
          <w:szCs w:val="22"/>
        </w:rPr>
        <w:t>Psychological wellbeing is a key aspect of care for older adults living in residential settings. John Bowlby’s Attachment Theory provides an impactful framework that can be applied to all individuals to understand their emotional needs and improve care practices (Bowlby, 1988). The theory suggests that individuals seek emotional security through relationships, which remains important throughout the lifespan (Mikulincer and Shaver, 2016). This report explores how attachment theory can be applied to enhance wellbeing in care homes, supported by a case example, and discusses challenges and evidence-based solutions.</w:t>
      </w:r>
    </w:p>
    <w:p w14:paraId="48A9ED1E" w14:textId="77777777" w:rsidR="00DF3FA4" w:rsidRPr="00DF3FA4" w:rsidRDefault="00DF3FA4" w:rsidP="00DF3FA4">
      <w:pPr>
        <w:rPr>
          <w:rFonts w:ascii="Arial" w:hAnsi="Arial" w:cs="Arial"/>
          <w:sz w:val="22"/>
          <w:szCs w:val="22"/>
          <w:u w:val="single"/>
        </w:rPr>
      </w:pPr>
    </w:p>
    <w:p w14:paraId="39FA630D" w14:textId="77777777" w:rsidR="00DF3FA4" w:rsidRPr="009A5ECC" w:rsidRDefault="00DF3FA4" w:rsidP="00DF3FA4">
      <w:pPr>
        <w:rPr>
          <w:rFonts w:ascii="Arial" w:hAnsi="Arial" w:cs="Arial"/>
          <w:sz w:val="22"/>
          <w:szCs w:val="22"/>
          <w:u w:val="single"/>
        </w:rPr>
      </w:pPr>
      <w:r w:rsidRPr="009A5ECC">
        <w:rPr>
          <w:rFonts w:ascii="Arial" w:hAnsi="Arial" w:cs="Arial"/>
          <w:b/>
          <w:bCs/>
          <w:sz w:val="22"/>
          <w:szCs w:val="22"/>
          <w:u w:val="single"/>
        </w:rPr>
        <w:t>Application of Bowlby’s Attachment Theory</w:t>
      </w:r>
    </w:p>
    <w:p w14:paraId="55B6CAAE" w14:textId="77777777" w:rsidR="00DF3FA4" w:rsidRPr="00DF3FA4" w:rsidRDefault="00DF3FA4" w:rsidP="00DF3FA4">
      <w:pPr>
        <w:rPr>
          <w:rFonts w:ascii="Arial" w:hAnsi="Arial" w:cs="Arial"/>
          <w:sz w:val="22"/>
          <w:szCs w:val="22"/>
        </w:rPr>
      </w:pPr>
      <w:r w:rsidRPr="009A5ECC">
        <w:rPr>
          <w:rFonts w:ascii="Arial" w:hAnsi="Arial" w:cs="Arial"/>
          <w:sz w:val="22"/>
          <w:szCs w:val="22"/>
        </w:rPr>
        <w:t>Bowlby (1988) emphasises that</w:t>
      </w:r>
      <w:r w:rsidRPr="00DF3FA4">
        <w:rPr>
          <w:rFonts w:ascii="Arial" w:hAnsi="Arial" w:cs="Arial"/>
          <w:sz w:val="22"/>
          <w:szCs w:val="22"/>
        </w:rPr>
        <w:t xml:space="preserve"> having</w:t>
      </w:r>
      <w:r w:rsidRPr="009A5ECC">
        <w:rPr>
          <w:rFonts w:ascii="Arial" w:hAnsi="Arial" w:cs="Arial"/>
          <w:sz w:val="22"/>
          <w:szCs w:val="22"/>
        </w:rPr>
        <w:t xml:space="preserve"> secure attachments </w:t>
      </w:r>
      <w:r w:rsidRPr="00DF3FA4">
        <w:rPr>
          <w:rFonts w:ascii="Arial" w:hAnsi="Arial" w:cs="Arial"/>
          <w:sz w:val="22"/>
          <w:szCs w:val="22"/>
        </w:rPr>
        <w:t xml:space="preserve">and relationships </w:t>
      </w:r>
      <w:r w:rsidRPr="009A5ECC">
        <w:rPr>
          <w:rFonts w:ascii="Arial" w:hAnsi="Arial" w:cs="Arial"/>
          <w:sz w:val="22"/>
          <w:szCs w:val="22"/>
        </w:rPr>
        <w:t xml:space="preserve">are essential for emotional stability. In residential care settings, older adults often experience significant life changes such as </w:t>
      </w:r>
      <w:r w:rsidRPr="00DF3FA4">
        <w:rPr>
          <w:rFonts w:ascii="Arial" w:hAnsi="Arial" w:cs="Arial"/>
          <w:sz w:val="22"/>
          <w:szCs w:val="22"/>
        </w:rPr>
        <w:t>death in the family</w:t>
      </w:r>
      <w:r w:rsidRPr="009A5ECC">
        <w:rPr>
          <w:rFonts w:ascii="Arial" w:hAnsi="Arial" w:cs="Arial"/>
          <w:sz w:val="22"/>
          <w:szCs w:val="22"/>
        </w:rPr>
        <w:t xml:space="preserve">, loss of independence, and relocation. </w:t>
      </w:r>
      <w:r w:rsidRPr="00DF3FA4">
        <w:rPr>
          <w:rFonts w:ascii="Arial" w:hAnsi="Arial" w:cs="Arial"/>
          <w:sz w:val="22"/>
          <w:szCs w:val="22"/>
        </w:rPr>
        <w:t xml:space="preserve">By moving from one place to another can be a challenging </w:t>
      </w:r>
      <w:r w:rsidRPr="009A5ECC">
        <w:rPr>
          <w:rFonts w:ascii="Arial" w:hAnsi="Arial" w:cs="Arial"/>
          <w:sz w:val="22"/>
          <w:szCs w:val="22"/>
        </w:rPr>
        <w:t>transition</w:t>
      </w:r>
      <w:r w:rsidRPr="00DF3FA4">
        <w:rPr>
          <w:rFonts w:ascii="Arial" w:hAnsi="Arial" w:cs="Arial"/>
          <w:sz w:val="22"/>
          <w:szCs w:val="22"/>
        </w:rPr>
        <w:t xml:space="preserve"> for an individual and</w:t>
      </w:r>
      <w:r w:rsidRPr="009A5ECC">
        <w:rPr>
          <w:rFonts w:ascii="Arial" w:hAnsi="Arial" w:cs="Arial"/>
          <w:sz w:val="22"/>
          <w:szCs w:val="22"/>
        </w:rPr>
        <w:t xml:space="preserve"> can trigger attachment behaviours, leading individuals to seek reassurance and emotional support (Cassidy, 2016).</w:t>
      </w:r>
    </w:p>
    <w:p w14:paraId="608A50B2" w14:textId="77777777" w:rsidR="00DF3FA4" w:rsidRPr="009A5ECC" w:rsidRDefault="00DF3FA4" w:rsidP="00DF3FA4">
      <w:pPr>
        <w:rPr>
          <w:rFonts w:ascii="Arial" w:hAnsi="Arial" w:cs="Arial"/>
          <w:sz w:val="22"/>
          <w:szCs w:val="22"/>
        </w:rPr>
      </w:pPr>
      <w:r w:rsidRPr="009A5ECC">
        <w:rPr>
          <w:rFonts w:ascii="Arial" w:hAnsi="Arial" w:cs="Arial"/>
          <w:sz w:val="22"/>
          <w:szCs w:val="22"/>
        </w:rPr>
        <w:t>Care professionals can apply Bowlby</w:t>
      </w:r>
      <w:r w:rsidRPr="00DF3FA4">
        <w:rPr>
          <w:rFonts w:ascii="Arial" w:hAnsi="Arial" w:cs="Arial"/>
          <w:sz w:val="22"/>
          <w:szCs w:val="22"/>
        </w:rPr>
        <w:t xml:space="preserve">’s </w:t>
      </w:r>
      <w:r w:rsidRPr="009A5ECC">
        <w:rPr>
          <w:rFonts w:ascii="Arial" w:hAnsi="Arial" w:cs="Arial"/>
          <w:sz w:val="22"/>
          <w:szCs w:val="22"/>
        </w:rPr>
        <w:t xml:space="preserve">attachment theory by building consistent and trusting relationships with residents. </w:t>
      </w:r>
      <w:r w:rsidRPr="00DF3FA4">
        <w:rPr>
          <w:rFonts w:ascii="Arial" w:hAnsi="Arial" w:cs="Arial"/>
          <w:sz w:val="22"/>
          <w:szCs w:val="22"/>
        </w:rPr>
        <w:t>An important aspect of continuity of care is the feeling of safety and stability created by familiar caregivers. Mikulincer and Shaver (2016) suggest that staff must demonstrate empathy, patience, and emotional responsiveness to develop secure attachments with children. In addition to enhancing resident security, a predictable and supportive environment can enhance their sense of self-confidence (Bowlby, 1988).</w:t>
      </w:r>
    </w:p>
    <w:p w14:paraId="3546B48D" w14:textId="61105C7C" w:rsidR="00DF3FA4" w:rsidRPr="009A5ECC" w:rsidRDefault="00DF3FA4" w:rsidP="00DF3FA4">
      <w:pPr>
        <w:rPr>
          <w:rFonts w:ascii="Arial" w:hAnsi="Arial" w:cs="Arial"/>
          <w:sz w:val="22"/>
          <w:szCs w:val="22"/>
        </w:rPr>
      </w:pPr>
      <w:r w:rsidRPr="009A5ECC">
        <w:rPr>
          <w:rFonts w:ascii="Arial" w:hAnsi="Arial" w:cs="Arial"/>
          <w:sz w:val="22"/>
          <w:szCs w:val="22"/>
        </w:rPr>
        <w:t>Mrs. Thompson, an 8</w:t>
      </w:r>
      <w:r w:rsidRPr="00DF3FA4">
        <w:rPr>
          <w:rFonts w:ascii="Arial" w:hAnsi="Arial" w:cs="Arial"/>
          <w:sz w:val="22"/>
          <w:szCs w:val="22"/>
        </w:rPr>
        <w:t>6</w:t>
      </w:r>
      <w:r w:rsidRPr="009A5ECC">
        <w:rPr>
          <w:rFonts w:ascii="Arial" w:hAnsi="Arial" w:cs="Arial"/>
          <w:sz w:val="22"/>
          <w:szCs w:val="22"/>
        </w:rPr>
        <w:t>-year-old resident</w:t>
      </w:r>
      <w:r w:rsidRPr="00DF3FA4">
        <w:rPr>
          <w:rFonts w:ascii="Arial" w:hAnsi="Arial" w:cs="Arial"/>
          <w:sz w:val="22"/>
          <w:szCs w:val="22"/>
        </w:rPr>
        <w:t xml:space="preserve"> who</w:t>
      </w:r>
      <w:r w:rsidRPr="009A5ECC">
        <w:rPr>
          <w:rFonts w:ascii="Arial" w:hAnsi="Arial" w:cs="Arial"/>
          <w:sz w:val="22"/>
          <w:szCs w:val="22"/>
        </w:rPr>
        <w:t xml:space="preserve"> </w:t>
      </w:r>
      <w:r w:rsidRPr="00DF3FA4">
        <w:rPr>
          <w:rFonts w:ascii="Arial" w:hAnsi="Arial" w:cs="Arial"/>
          <w:sz w:val="22"/>
          <w:szCs w:val="22"/>
        </w:rPr>
        <w:t xml:space="preserve">has </w:t>
      </w:r>
      <w:r w:rsidRPr="009A5ECC">
        <w:rPr>
          <w:rFonts w:ascii="Arial" w:hAnsi="Arial" w:cs="Arial"/>
          <w:sz w:val="22"/>
          <w:szCs w:val="22"/>
        </w:rPr>
        <w:t>recently moved into a care home following the death of her spouse</w:t>
      </w:r>
      <w:r w:rsidRPr="00DF3FA4">
        <w:rPr>
          <w:rFonts w:ascii="Arial" w:hAnsi="Arial" w:cs="Arial"/>
          <w:sz w:val="22"/>
          <w:szCs w:val="22"/>
        </w:rPr>
        <w:t xml:space="preserve"> and no one to look after her</w:t>
      </w:r>
      <w:r w:rsidRPr="009A5ECC">
        <w:rPr>
          <w:rFonts w:ascii="Arial" w:hAnsi="Arial" w:cs="Arial"/>
          <w:sz w:val="22"/>
          <w:szCs w:val="22"/>
        </w:rPr>
        <w:t xml:space="preserve">. She </w:t>
      </w:r>
      <w:r w:rsidR="00211ACF">
        <w:rPr>
          <w:rFonts w:ascii="Arial" w:hAnsi="Arial" w:cs="Arial"/>
          <w:sz w:val="22"/>
          <w:szCs w:val="22"/>
        </w:rPr>
        <w:t>stays alone in her room all day and</w:t>
      </w:r>
      <w:r w:rsidRPr="00DF3FA4">
        <w:rPr>
          <w:rFonts w:ascii="Arial" w:hAnsi="Arial" w:cs="Arial"/>
          <w:sz w:val="22"/>
          <w:szCs w:val="22"/>
        </w:rPr>
        <w:t xml:space="preserve"> </w:t>
      </w:r>
      <w:r w:rsidRPr="009A5ECC">
        <w:rPr>
          <w:rFonts w:ascii="Arial" w:hAnsi="Arial" w:cs="Arial"/>
          <w:sz w:val="22"/>
          <w:szCs w:val="22"/>
        </w:rPr>
        <w:t>displays withdrawal</w:t>
      </w:r>
      <w:r w:rsidRPr="00DF3FA4">
        <w:rPr>
          <w:rFonts w:ascii="Arial" w:hAnsi="Arial" w:cs="Arial"/>
          <w:sz w:val="22"/>
          <w:szCs w:val="22"/>
        </w:rPr>
        <w:t xml:space="preserve"> (she doesn’t communicate with the staff) and</w:t>
      </w:r>
      <w:r w:rsidRPr="009A5ECC">
        <w:rPr>
          <w:rFonts w:ascii="Arial" w:hAnsi="Arial" w:cs="Arial"/>
          <w:sz w:val="22"/>
          <w:szCs w:val="22"/>
        </w:rPr>
        <w:t xml:space="preserve"> anxiety</w:t>
      </w:r>
      <w:r w:rsidRPr="00DF3FA4">
        <w:rPr>
          <w:rFonts w:ascii="Arial" w:hAnsi="Arial" w:cs="Arial"/>
          <w:sz w:val="22"/>
          <w:szCs w:val="22"/>
        </w:rPr>
        <w:t>.</w:t>
      </w:r>
    </w:p>
    <w:p w14:paraId="748950AC" w14:textId="77777777" w:rsidR="00DF3FA4" w:rsidRPr="009A5ECC" w:rsidRDefault="00DF3FA4" w:rsidP="00DF3FA4">
      <w:pPr>
        <w:rPr>
          <w:rFonts w:ascii="Arial" w:hAnsi="Arial" w:cs="Arial"/>
          <w:sz w:val="22"/>
          <w:szCs w:val="22"/>
        </w:rPr>
      </w:pPr>
      <w:r w:rsidRPr="009A5ECC">
        <w:rPr>
          <w:rFonts w:ascii="Arial" w:hAnsi="Arial" w:cs="Arial"/>
          <w:sz w:val="22"/>
          <w:szCs w:val="22"/>
        </w:rPr>
        <w:t xml:space="preserve">Using attachment theory, staff implement a key worker system, ensuring that one caregiver consistently supports Mrs. Thompson. The caregiver </w:t>
      </w:r>
      <w:r w:rsidRPr="00DF3FA4">
        <w:rPr>
          <w:rFonts w:ascii="Arial" w:hAnsi="Arial" w:cs="Arial"/>
          <w:sz w:val="22"/>
          <w:szCs w:val="22"/>
        </w:rPr>
        <w:t xml:space="preserve">can build a strong foundation and </w:t>
      </w:r>
      <w:r w:rsidRPr="009A5ECC">
        <w:rPr>
          <w:rFonts w:ascii="Arial" w:hAnsi="Arial" w:cs="Arial"/>
          <w:sz w:val="22"/>
          <w:szCs w:val="22"/>
        </w:rPr>
        <w:t>build trust through regular interaction, active listening, and emotional reassurance. Over time, Mrs. Thompson begins to feel more secure</w:t>
      </w:r>
      <w:r w:rsidRPr="00DF3FA4">
        <w:rPr>
          <w:rFonts w:ascii="Arial" w:hAnsi="Arial" w:cs="Arial"/>
          <w:sz w:val="22"/>
          <w:szCs w:val="22"/>
        </w:rPr>
        <w:t xml:space="preserve"> and open to talk to other</w:t>
      </w:r>
      <w:r w:rsidRPr="009A5ECC">
        <w:rPr>
          <w:rFonts w:ascii="Arial" w:hAnsi="Arial" w:cs="Arial"/>
          <w:sz w:val="22"/>
          <w:szCs w:val="22"/>
        </w:rPr>
        <w:t xml:space="preserve">, participates in activities, and </w:t>
      </w:r>
      <w:r w:rsidRPr="009A5ECC">
        <w:rPr>
          <w:rFonts w:ascii="Arial" w:hAnsi="Arial" w:cs="Arial"/>
          <w:sz w:val="22"/>
          <w:szCs w:val="22"/>
        </w:rPr>
        <w:lastRenderedPageBreak/>
        <w:t>develops relationships with others. This demonstrates how attachment-informed care can improve emotional wellbeing and reduce social isolation (Mikulincer and Shaver, 2016).</w:t>
      </w:r>
    </w:p>
    <w:p w14:paraId="52E8D350" w14:textId="77777777" w:rsidR="00DF3FA4" w:rsidRPr="00DF3FA4" w:rsidRDefault="00DF3FA4" w:rsidP="00DF3FA4">
      <w:pPr>
        <w:rPr>
          <w:rFonts w:ascii="Arial" w:hAnsi="Arial" w:cs="Arial"/>
          <w:sz w:val="22"/>
          <w:szCs w:val="22"/>
        </w:rPr>
      </w:pPr>
      <w:r w:rsidRPr="00DF3FA4">
        <w:rPr>
          <w:rFonts w:ascii="Arial" w:hAnsi="Arial" w:cs="Arial"/>
          <w:sz w:val="22"/>
          <w:szCs w:val="22"/>
        </w:rPr>
        <w:t>Residential care settings face significant challenges when applying attachment theory, as there are a shortage of staff and a high turnover rate, which contributes to disruptions in continuity of care. The development of secure attachments is dependent on the development of consistent relationships; yet frequent changes in caregivers can hinder the development of trust and make residents feel emotionally unsafe (Bowlby, 1988).</w:t>
      </w:r>
    </w:p>
    <w:p w14:paraId="48FF9594" w14:textId="77777777" w:rsidR="00DF3FA4" w:rsidRPr="00DF3FA4" w:rsidRDefault="00DF3FA4" w:rsidP="00DF3FA4">
      <w:pPr>
        <w:rPr>
          <w:rFonts w:ascii="Arial" w:hAnsi="Arial" w:cs="Arial"/>
          <w:sz w:val="22"/>
          <w:szCs w:val="22"/>
        </w:rPr>
      </w:pPr>
      <w:r w:rsidRPr="00DF3FA4">
        <w:rPr>
          <w:rFonts w:ascii="Arial" w:hAnsi="Arial" w:cs="Arial"/>
          <w:sz w:val="22"/>
          <w:szCs w:val="22"/>
        </w:rPr>
        <w:t>An effective way to address this issue is through the implementation of a key worker system, which assigns specific staff to specific residents to promote consistency and relational development. Research reveals that continuity of care and relationship-based approaches improve emotional wellbeing and reduce anxiety in older adults (Mikulincer and Shaver, 2016). Additionally, providing staff with training in attachment-informed care can enhance their understanding and improve the quality of interactions between caregivers and residents (Cassidy, 2016). During training, staff can be trained on the importance of communication and consistency with resistance. Furthermore, follow up conversions with staff and residents about the progression of the relationship can enhance the quality of care for the long-term.</w:t>
      </w:r>
    </w:p>
    <w:p w14:paraId="101A2FBA" w14:textId="77777777" w:rsidR="00DF3FA4" w:rsidRPr="0044769F" w:rsidRDefault="00DF3FA4" w:rsidP="00DF3FA4">
      <w:pPr>
        <w:rPr>
          <w:rFonts w:ascii="Arial" w:hAnsi="Arial" w:cs="Arial"/>
          <w:sz w:val="22"/>
          <w:szCs w:val="22"/>
        </w:rPr>
      </w:pPr>
      <w:r w:rsidRPr="00DF3FA4">
        <w:rPr>
          <w:rFonts w:ascii="Arial" w:hAnsi="Arial" w:cs="Arial"/>
          <w:sz w:val="22"/>
          <w:szCs w:val="22"/>
        </w:rPr>
        <w:t xml:space="preserve">One effective way to implement Bowlby’s Attachment Theory in residential care is through the development of an attachment-informed care programme. The goal of this program is to assign each resident a consistent key worker who will build a supportive and trusting relationship with them. As part of the training, caregivers would be taught attachment theory, which will enable them to recognize different attachment styles and respond appropriately to residents' emotional needs. </w:t>
      </w:r>
      <w:r w:rsidRPr="0044769F">
        <w:rPr>
          <w:rFonts w:ascii="Arial" w:hAnsi="Arial" w:cs="Arial"/>
          <w:sz w:val="22"/>
          <w:szCs w:val="22"/>
        </w:rPr>
        <w:t>(Bowlby, 1988).</w:t>
      </w:r>
    </w:p>
    <w:p w14:paraId="57A5A7B1" w14:textId="77777777" w:rsidR="00DF3FA4" w:rsidRPr="0044769F" w:rsidRDefault="00DF3FA4" w:rsidP="00DF3FA4">
      <w:pPr>
        <w:rPr>
          <w:rFonts w:ascii="Arial" w:hAnsi="Arial" w:cs="Arial"/>
          <w:sz w:val="22"/>
          <w:szCs w:val="22"/>
        </w:rPr>
      </w:pPr>
      <w:r w:rsidRPr="0044769F">
        <w:rPr>
          <w:rFonts w:ascii="Arial" w:hAnsi="Arial" w:cs="Arial"/>
          <w:sz w:val="22"/>
          <w:szCs w:val="22"/>
        </w:rPr>
        <w:t>Additionally, the programme could incorporate personalised</w:t>
      </w:r>
      <w:r w:rsidRPr="00DF3FA4">
        <w:rPr>
          <w:rFonts w:ascii="Arial" w:hAnsi="Arial" w:cs="Arial"/>
          <w:sz w:val="22"/>
          <w:szCs w:val="22"/>
        </w:rPr>
        <w:t xml:space="preserve"> and individualised</w:t>
      </w:r>
      <w:r w:rsidRPr="0044769F">
        <w:rPr>
          <w:rFonts w:ascii="Arial" w:hAnsi="Arial" w:cs="Arial"/>
          <w:sz w:val="22"/>
          <w:szCs w:val="22"/>
        </w:rPr>
        <w:t xml:space="preserve"> care plans based on residents’ life histories, preferences, and past relationships. </w:t>
      </w:r>
      <w:r w:rsidRPr="00DF3FA4">
        <w:rPr>
          <w:rFonts w:ascii="Arial" w:hAnsi="Arial" w:cs="Arial"/>
          <w:sz w:val="22"/>
          <w:szCs w:val="22"/>
        </w:rPr>
        <w:t xml:space="preserve">This takes into consideration that everyone is different and increases generalisability. </w:t>
      </w:r>
      <w:r w:rsidRPr="0044769F">
        <w:rPr>
          <w:rFonts w:ascii="Arial" w:hAnsi="Arial" w:cs="Arial"/>
          <w:sz w:val="22"/>
          <w:szCs w:val="22"/>
        </w:rPr>
        <w:t>Regular one-to-one interaction time would be scheduled to strengthen emotional bonds and provide reassurance, particularly for residents experiencing anxiety or distress. Evidence suggests that relationship-based care interventions improve emotional wellbeing and reduce behavioural distress in older adults (Mikulincer and Shaver, 2016).</w:t>
      </w:r>
    </w:p>
    <w:p w14:paraId="091F2931" w14:textId="77777777" w:rsidR="00DF3FA4" w:rsidRPr="00DF3FA4" w:rsidRDefault="00DF3FA4" w:rsidP="00DF3FA4">
      <w:pPr>
        <w:rPr>
          <w:rFonts w:ascii="Arial" w:hAnsi="Arial" w:cs="Arial"/>
          <w:sz w:val="22"/>
          <w:szCs w:val="22"/>
        </w:rPr>
      </w:pPr>
      <w:r w:rsidRPr="0044769F">
        <w:rPr>
          <w:rFonts w:ascii="Arial" w:hAnsi="Arial" w:cs="Arial"/>
          <w:sz w:val="22"/>
          <w:szCs w:val="22"/>
        </w:rPr>
        <w:t xml:space="preserve">By embedding these practices into daily routines, the programme would promote continuity, trust, and emotional security, ultimately enhance the quality of care and </w:t>
      </w:r>
      <w:r w:rsidRPr="00DF3FA4">
        <w:rPr>
          <w:rFonts w:ascii="Arial" w:hAnsi="Arial" w:cs="Arial"/>
          <w:sz w:val="22"/>
          <w:szCs w:val="22"/>
        </w:rPr>
        <w:t>support</w:t>
      </w:r>
      <w:r w:rsidRPr="0044769F">
        <w:rPr>
          <w:rFonts w:ascii="Arial" w:hAnsi="Arial" w:cs="Arial"/>
          <w:sz w:val="22"/>
          <w:szCs w:val="22"/>
        </w:rPr>
        <w:t xml:space="preserve"> psychological wellbeing.</w:t>
      </w:r>
    </w:p>
    <w:p w14:paraId="0B7BE1E5" w14:textId="77777777" w:rsidR="00DF3FA4" w:rsidRPr="00DF3FA4" w:rsidRDefault="00DF3FA4" w:rsidP="00DF3FA4">
      <w:pPr>
        <w:rPr>
          <w:rFonts w:ascii="Arial" w:hAnsi="Arial" w:cs="Arial"/>
          <w:sz w:val="22"/>
          <w:szCs w:val="22"/>
        </w:rPr>
      </w:pPr>
    </w:p>
    <w:p w14:paraId="2A95BE4C" w14:textId="77777777" w:rsidR="00DF3FA4" w:rsidRPr="00DF3FA4" w:rsidRDefault="00DF3FA4" w:rsidP="00DF3FA4">
      <w:pPr>
        <w:rPr>
          <w:rFonts w:ascii="Arial" w:hAnsi="Arial" w:cs="Arial"/>
          <w:b/>
          <w:bCs/>
          <w:sz w:val="22"/>
          <w:szCs w:val="22"/>
          <w:u w:val="single"/>
        </w:rPr>
      </w:pPr>
      <w:r w:rsidRPr="00DF3FA4">
        <w:rPr>
          <w:rFonts w:ascii="Arial" w:hAnsi="Arial" w:cs="Arial"/>
          <w:b/>
          <w:bCs/>
          <w:sz w:val="22"/>
          <w:szCs w:val="22"/>
          <w:u w:val="single"/>
        </w:rPr>
        <w:t>Conclusion</w:t>
      </w:r>
    </w:p>
    <w:p w14:paraId="4DB2349D" w14:textId="77777777" w:rsidR="00DF3FA4" w:rsidRPr="00DF3FA4" w:rsidRDefault="00DF3FA4" w:rsidP="00DF3FA4">
      <w:pPr>
        <w:rPr>
          <w:rFonts w:ascii="Arial" w:hAnsi="Arial" w:cs="Arial"/>
          <w:sz w:val="22"/>
          <w:szCs w:val="22"/>
        </w:rPr>
      </w:pPr>
      <w:r w:rsidRPr="00DF3FA4">
        <w:rPr>
          <w:rFonts w:ascii="Arial" w:hAnsi="Arial" w:cs="Arial"/>
          <w:sz w:val="22"/>
          <w:szCs w:val="22"/>
        </w:rPr>
        <w:t>Bowlby’s Attachment Theory provides valuable insight into the emotional needs of older adults in residential care. By fostering secure and supportive relationships, care professionals can enhance psychological well-being and reduce distress (Bowlby, 1988). Despite challenges like staffing constraints, evidence-based strategies like continuity of care and staff training can help implement the strategy effectively. Providing older adults with attachment-informed care promotes compassion and a person-centered approach.</w:t>
      </w:r>
    </w:p>
    <w:p w14:paraId="48993E0E" w14:textId="77777777" w:rsidR="00DF3FA4" w:rsidRPr="00DF3FA4" w:rsidRDefault="00DF3FA4" w:rsidP="00DF3FA4">
      <w:pPr>
        <w:rPr>
          <w:rFonts w:ascii="Arial" w:hAnsi="Arial" w:cs="Arial"/>
          <w:b/>
          <w:bCs/>
          <w:sz w:val="22"/>
          <w:szCs w:val="22"/>
        </w:rPr>
      </w:pPr>
    </w:p>
    <w:p w14:paraId="30EB5611" w14:textId="77777777" w:rsidR="0020610E" w:rsidRDefault="0020610E" w:rsidP="00DF3FA4">
      <w:pPr>
        <w:rPr>
          <w:rFonts w:ascii="Arial" w:hAnsi="Arial" w:cs="Arial"/>
          <w:b/>
          <w:bCs/>
          <w:sz w:val="22"/>
          <w:szCs w:val="22"/>
          <w:u w:val="single"/>
        </w:rPr>
      </w:pPr>
    </w:p>
    <w:p w14:paraId="39EE82D1" w14:textId="50C1ABDE" w:rsidR="00DF3FA4" w:rsidRPr="009A5ECC" w:rsidRDefault="00DF3FA4" w:rsidP="00DF3FA4">
      <w:pPr>
        <w:rPr>
          <w:rFonts w:ascii="Arial" w:hAnsi="Arial" w:cs="Arial"/>
          <w:sz w:val="22"/>
          <w:szCs w:val="22"/>
          <w:u w:val="single"/>
        </w:rPr>
      </w:pPr>
      <w:r w:rsidRPr="009A5ECC">
        <w:rPr>
          <w:rFonts w:ascii="Arial" w:hAnsi="Arial" w:cs="Arial"/>
          <w:b/>
          <w:bCs/>
          <w:sz w:val="22"/>
          <w:szCs w:val="22"/>
          <w:u w:val="single"/>
        </w:rPr>
        <w:lastRenderedPageBreak/>
        <w:t>Reference List (Harvard Style)</w:t>
      </w:r>
    </w:p>
    <w:p w14:paraId="0E1D5CB4" w14:textId="77777777" w:rsidR="00DF3FA4" w:rsidRPr="009A5ECC" w:rsidRDefault="00DF3FA4" w:rsidP="00DF3FA4">
      <w:pPr>
        <w:rPr>
          <w:rFonts w:ascii="Arial" w:hAnsi="Arial" w:cs="Arial"/>
          <w:sz w:val="22"/>
          <w:szCs w:val="22"/>
        </w:rPr>
      </w:pPr>
      <w:r w:rsidRPr="009A5ECC">
        <w:rPr>
          <w:rFonts w:ascii="Arial" w:hAnsi="Arial" w:cs="Arial"/>
          <w:sz w:val="22"/>
          <w:szCs w:val="22"/>
        </w:rPr>
        <w:t>Bowlby, J. (1988) A secure base: parent-child attachment and healthy human development. London: Routledge.</w:t>
      </w:r>
    </w:p>
    <w:p w14:paraId="177A1187" w14:textId="77777777" w:rsidR="00DF3FA4" w:rsidRPr="009A5ECC" w:rsidRDefault="00DF3FA4" w:rsidP="00DF3FA4">
      <w:pPr>
        <w:rPr>
          <w:rFonts w:ascii="Arial" w:hAnsi="Arial" w:cs="Arial"/>
          <w:sz w:val="22"/>
          <w:szCs w:val="22"/>
        </w:rPr>
      </w:pPr>
      <w:r w:rsidRPr="009A5ECC">
        <w:rPr>
          <w:rFonts w:ascii="Arial" w:hAnsi="Arial" w:cs="Arial"/>
          <w:sz w:val="22"/>
          <w:szCs w:val="22"/>
        </w:rPr>
        <w:t>Cassidy, J. (2016) ‘The nature of the child’s ties’, in Cassidy, J. and Shaver, P.R. (eds.) Handbook of attachment: theory, research, and clinical applications. 3rd edn. New York: Guilford Press.</w:t>
      </w:r>
    </w:p>
    <w:p w14:paraId="40FF1AFF" w14:textId="77777777" w:rsidR="00DF3FA4" w:rsidRPr="009A5ECC" w:rsidRDefault="00DF3FA4" w:rsidP="00DF3FA4">
      <w:pPr>
        <w:rPr>
          <w:rFonts w:ascii="Arial" w:hAnsi="Arial" w:cs="Arial"/>
          <w:sz w:val="22"/>
          <w:szCs w:val="22"/>
        </w:rPr>
      </w:pPr>
      <w:r w:rsidRPr="009A5ECC">
        <w:rPr>
          <w:rFonts w:ascii="Arial" w:hAnsi="Arial" w:cs="Arial"/>
          <w:sz w:val="22"/>
          <w:szCs w:val="22"/>
        </w:rPr>
        <w:t>Fonagy, P. and Target, M. (2003) Psychoanalytic theories: perspectives from developmental psychopathology. London: Whurr Publishers.</w:t>
      </w:r>
    </w:p>
    <w:p w14:paraId="15BB6FE5" w14:textId="77777777" w:rsidR="00DF3FA4" w:rsidRPr="009A5ECC" w:rsidRDefault="00DF3FA4" w:rsidP="00DF3FA4">
      <w:pPr>
        <w:rPr>
          <w:rFonts w:ascii="Arial" w:hAnsi="Arial" w:cs="Arial"/>
          <w:sz w:val="22"/>
          <w:szCs w:val="22"/>
        </w:rPr>
      </w:pPr>
      <w:r w:rsidRPr="009A5ECC">
        <w:rPr>
          <w:rFonts w:ascii="Arial" w:hAnsi="Arial" w:cs="Arial"/>
          <w:sz w:val="22"/>
          <w:szCs w:val="22"/>
        </w:rPr>
        <w:t>Freud, S. (1923) The ego and the id. London: Hogarth Press.</w:t>
      </w:r>
    </w:p>
    <w:p w14:paraId="52C07410" w14:textId="77777777" w:rsidR="00DF3FA4" w:rsidRPr="009A5ECC" w:rsidRDefault="00DF3FA4" w:rsidP="00DF3FA4">
      <w:pPr>
        <w:rPr>
          <w:rFonts w:ascii="Arial" w:hAnsi="Arial" w:cs="Arial"/>
          <w:sz w:val="22"/>
          <w:szCs w:val="22"/>
        </w:rPr>
      </w:pPr>
      <w:r w:rsidRPr="009A5ECC">
        <w:rPr>
          <w:rFonts w:ascii="Arial" w:hAnsi="Arial" w:cs="Arial"/>
          <w:sz w:val="22"/>
          <w:szCs w:val="22"/>
        </w:rPr>
        <w:t>Mikulincer, M. and Shaver, P.R. (2016) ‘Attachment in adulthood: structure, dynamics, and change’, Journal of Personality and Social Psychology, 91(2), pp. 200–215.</w:t>
      </w:r>
    </w:p>
    <w:p w14:paraId="3C317BC7" w14:textId="77777777" w:rsidR="00DF3FA4" w:rsidRPr="009A5ECC" w:rsidRDefault="00DF3FA4" w:rsidP="00DF3FA4">
      <w:pPr>
        <w:rPr>
          <w:rFonts w:ascii="Arial" w:hAnsi="Arial" w:cs="Arial"/>
          <w:sz w:val="22"/>
          <w:szCs w:val="22"/>
        </w:rPr>
      </w:pPr>
    </w:p>
    <w:p w14:paraId="516665B2" w14:textId="77777777" w:rsidR="00DF3FA4" w:rsidRPr="009A5ECC" w:rsidRDefault="00DF3FA4" w:rsidP="00DF3FA4">
      <w:pPr>
        <w:rPr>
          <w:rFonts w:ascii="Arial" w:hAnsi="Arial" w:cs="Arial"/>
          <w:sz w:val="22"/>
          <w:szCs w:val="22"/>
        </w:rPr>
      </w:pPr>
    </w:p>
    <w:p w14:paraId="605846C9" w14:textId="77777777" w:rsidR="00DF3FA4" w:rsidRPr="009A5ECC" w:rsidRDefault="00DF3FA4" w:rsidP="00DF3FA4">
      <w:pPr>
        <w:rPr>
          <w:rFonts w:ascii="Arial" w:hAnsi="Arial" w:cs="Arial"/>
          <w:sz w:val="22"/>
          <w:szCs w:val="22"/>
        </w:rPr>
      </w:pPr>
    </w:p>
    <w:p w14:paraId="35A08727" w14:textId="77777777" w:rsidR="00DF3FA4" w:rsidRPr="00DF3FA4" w:rsidRDefault="00DF3FA4" w:rsidP="00DF3FA4">
      <w:pPr>
        <w:rPr>
          <w:rFonts w:ascii="Arial" w:hAnsi="Arial" w:cs="Arial"/>
          <w:sz w:val="22"/>
          <w:szCs w:val="22"/>
        </w:rPr>
      </w:pPr>
    </w:p>
    <w:p w14:paraId="6A6DBFDA" w14:textId="77777777" w:rsidR="00DF3FA4" w:rsidRPr="00DF3FA4" w:rsidRDefault="00DF3FA4" w:rsidP="00DF3FA4">
      <w:pPr>
        <w:rPr>
          <w:rFonts w:ascii="Arial" w:hAnsi="Arial" w:cs="Arial"/>
          <w:b/>
          <w:bCs/>
          <w:sz w:val="22"/>
          <w:szCs w:val="22"/>
          <w:u w:val="single"/>
        </w:rPr>
      </w:pPr>
    </w:p>
    <w:p w14:paraId="782C9A14" w14:textId="77777777" w:rsidR="00ED4B7B" w:rsidRPr="00DF3FA4" w:rsidRDefault="00ED4B7B">
      <w:pPr>
        <w:rPr>
          <w:rFonts w:ascii="Arial" w:hAnsi="Arial" w:cs="Arial"/>
          <w:sz w:val="22"/>
          <w:szCs w:val="22"/>
        </w:rPr>
      </w:pPr>
    </w:p>
    <w:sectPr w:rsidR="00ED4B7B" w:rsidRPr="00DF3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B16"/>
    <w:rsid w:val="00043903"/>
    <w:rsid w:val="00075B16"/>
    <w:rsid w:val="000B2A17"/>
    <w:rsid w:val="001865F1"/>
    <w:rsid w:val="001A6A54"/>
    <w:rsid w:val="00202A77"/>
    <w:rsid w:val="0020610E"/>
    <w:rsid w:val="00211ACF"/>
    <w:rsid w:val="003B2631"/>
    <w:rsid w:val="003D5212"/>
    <w:rsid w:val="00437484"/>
    <w:rsid w:val="0044769F"/>
    <w:rsid w:val="00567C2E"/>
    <w:rsid w:val="00634F7F"/>
    <w:rsid w:val="00730CCA"/>
    <w:rsid w:val="0082731D"/>
    <w:rsid w:val="00866470"/>
    <w:rsid w:val="00874895"/>
    <w:rsid w:val="009A5ECC"/>
    <w:rsid w:val="00AC2085"/>
    <w:rsid w:val="00DF3FA4"/>
    <w:rsid w:val="00ED4B7B"/>
    <w:rsid w:val="00EE59D1"/>
    <w:rsid w:val="00F00FF4"/>
    <w:rsid w:val="00FC3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529F7"/>
  <w15:chartTrackingRefBased/>
  <w15:docId w15:val="{6F68D3C6-FAA4-4DDC-94BD-A53B7DADC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B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5B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5B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5B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5B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5B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5B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5B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5B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B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5B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5B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5B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5B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5B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5B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5B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5B16"/>
    <w:rPr>
      <w:rFonts w:eastAsiaTheme="majorEastAsia" w:cstheme="majorBidi"/>
      <w:color w:val="272727" w:themeColor="text1" w:themeTint="D8"/>
    </w:rPr>
  </w:style>
  <w:style w:type="paragraph" w:styleId="Title">
    <w:name w:val="Title"/>
    <w:basedOn w:val="Normal"/>
    <w:next w:val="Normal"/>
    <w:link w:val="TitleChar"/>
    <w:uiPriority w:val="10"/>
    <w:qFormat/>
    <w:rsid w:val="00075B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5B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5B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5B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5B16"/>
    <w:pPr>
      <w:spacing w:before="160"/>
      <w:jc w:val="center"/>
    </w:pPr>
    <w:rPr>
      <w:i/>
      <w:iCs/>
      <w:color w:val="404040" w:themeColor="text1" w:themeTint="BF"/>
    </w:rPr>
  </w:style>
  <w:style w:type="character" w:customStyle="1" w:styleId="QuoteChar">
    <w:name w:val="Quote Char"/>
    <w:basedOn w:val="DefaultParagraphFont"/>
    <w:link w:val="Quote"/>
    <w:uiPriority w:val="29"/>
    <w:rsid w:val="00075B16"/>
    <w:rPr>
      <w:i/>
      <w:iCs/>
      <w:color w:val="404040" w:themeColor="text1" w:themeTint="BF"/>
    </w:rPr>
  </w:style>
  <w:style w:type="paragraph" w:styleId="ListParagraph">
    <w:name w:val="List Paragraph"/>
    <w:basedOn w:val="Normal"/>
    <w:uiPriority w:val="34"/>
    <w:qFormat/>
    <w:rsid w:val="00075B16"/>
    <w:pPr>
      <w:ind w:left="720"/>
      <w:contextualSpacing/>
    </w:pPr>
  </w:style>
  <w:style w:type="character" w:styleId="IntenseEmphasis">
    <w:name w:val="Intense Emphasis"/>
    <w:basedOn w:val="DefaultParagraphFont"/>
    <w:uiPriority w:val="21"/>
    <w:qFormat/>
    <w:rsid w:val="00075B16"/>
    <w:rPr>
      <w:i/>
      <w:iCs/>
      <w:color w:val="0F4761" w:themeColor="accent1" w:themeShade="BF"/>
    </w:rPr>
  </w:style>
  <w:style w:type="paragraph" w:styleId="IntenseQuote">
    <w:name w:val="Intense Quote"/>
    <w:basedOn w:val="Normal"/>
    <w:next w:val="Normal"/>
    <w:link w:val="IntenseQuoteChar"/>
    <w:uiPriority w:val="30"/>
    <w:qFormat/>
    <w:rsid w:val="00075B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5B16"/>
    <w:rPr>
      <w:i/>
      <w:iCs/>
      <w:color w:val="0F4761" w:themeColor="accent1" w:themeShade="BF"/>
    </w:rPr>
  </w:style>
  <w:style w:type="character" w:styleId="IntenseReference">
    <w:name w:val="Intense Reference"/>
    <w:basedOn w:val="DefaultParagraphFont"/>
    <w:uiPriority w:val="32"/>
    <w:qFormat/>
    <w:rsid w:val="00075B16"/>
    <w:rPr>
      <w:b/>
      <w:bCs/>
      <w:smallCaps/>
      <w:color w:val="0F4761" w:themeColor="accent1" w:themeShade="BF"/>
      <w:spacing w:val="5"/>
    </w:rPr>
  </w:style>
  <w:style w:type="paragraph" w:styleId="NormalWeb">
    <w:name w:val="Normal (Web)"/>
    <w:basedOn w:val="Normal"/>
    <w:uiPriority w:val="99"/>
    <w:semiHidden/>
    <w:unhideWhenUsed/>
    <w:rsid w:val="00075B1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529</TotalTime>
  <Pages>5</Pages>
  <Words>1895</Words>
  <Characters>10803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Erhunmwusee, Angel</dc:creator>
  <cp:keywords/>
  <dc:description/>
  <cp:lastModifiedBy>Erhunmwusee, Angel</cp:lastModifiedBy>
  <cp:revision>6</cp:revision>
  <dcterms:created xsi:type="dcterms:W3CDTF">2026-04-10T04:40:00Z</dcterms:created>
  <dcterms:modified xsi:type="dcterms:W3CDTF">2026-04-18T21:01:00Z</dcterms:modified>
</cp:coreProperties>
</file>