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jc w:val="center"/>
        <w:rPr>
          <w:rFonts w:ascii="Times New Roman" w:cs="Times New Roman" w:hAnsi="Times New Roman" w:eastAsia="Times New Roman"/>
          <w:b w:val="1"/>
          <w:bCs w:val="1"/>
          <w:sz w:val="30"/>
          <w:szCs w:val="30"/>
          <w:u w:val="single"/>
        </w:rPr>
      </w:pPr>
      <w:r>
        <w:rPr>
          <w:rFonts w:ascii="Times New Roman" w:hAnsi="Times New Roman"/>
          <w:b w:val="1"/>
          <w:bCs w:val="1"/>
          <w:sz w:val="30"/>
          <w:szCs w:val="30"/>
          <w:u w:val="single"/>
          <w:rtl w:val="0"/>
          <w:lang w:val="en-US"/>
        </w:rPr>
        <w:t>Thecla and Asceticism:</w:t>
      </w:r>
    </w:p>
    <w:p>
      <w:pPr>
        <w:pStyle w:val="Body"/>
        <w:jc w:val="center"/>
        <w:rPr>
          <w:rFonts w:ascii="Times New Roman" w:cs="Times New Roman" w:hAnsi="Times New Roman" w:eastAsia="Times New Roman"/>
          <w:b w:val="1"/>
          <w:bCs w:val="1"/>
          <w:sz w:val="30"/>
          <w:szCs w:val="30"/>
          <w:u w:val="single"/>
        </w:rPr>
      </w:pPr>
      <w:r>
        <w:rPr>
          <w:rFonts w:ascii="Times New Roman" w:hAnsi="Times New Roman"/>
          <w:b w:val="1"/>
          <w:bCs w:val="1"/>
          <w:sz w:val="30"/>
          <w:szCs w:val="30"/>
          <w:u w:val="single"/>
          <w:rtl w:val="0"/>
          <w:lang w:val="en-US"/>
        </w:rPr>
        <w:t>A Critical Discussion on the Conceptions of Women</w:t>
      </w:r>
      <w:r>
        <w:rPr>
          <w:rFonts w:ascii="Times New Roman" w:hAnsi="Times New Roman" w:hint="default"/>
          <w:b w:val="1"/>
          <w:bCs w:val="1"/>
          <w:sz w:val="30"/>
          <w:szCs w:val="30"/>
          <w:u w:val="single"/>
          <w:rtl w:val="0"/>
          <w:lang w:val="en-US"/>
        </w:rPr>
        <w:t>’</w:t>
      </w:r>
      <w:r>
        <w:rPr>
          <w:rFonts w:ascii="Times New Roman" w:hAnsi="Times New Roman"/>
          <w:b w:val="1"/>
          <w:bCs w:val="1"/>
          <w:sz w:val="30"/>
          <w:szCs w:val="30"/>
          <w:u w:val="single"/>
          <w:rtl w:val="0"/>
          <w:lang w:val="en-US"/>
        </w:rPr>
        <w:t>s Celibacy in Early Christian and Contemporary Roman Communities.</w:t>
      </w:r>
    </w:p>
    <w:p>
      <w:pPr>
        <w:pStyle w:val="Body"/>
        <w:jc w:val="center"/>
        <w:rPr>
          <w:rFonts w:ascii="Times New Roman" w:cs="Times New Roman" w:hAnsi="Times New Roman" w:eastAsia="Times New Roman"/>
          <w:b w:val="1"/>
          <w:bCs w:val="1"/>
          <w:sz w:val="30"/>
          <w:szCs w:val="30"/>
          <w:u w:val="single"/>
        </w:rPr>
      </w:pP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u w:val="single"/>
        </w:rPr>
      </w:pPr>
      <w:r>
        <w:rPr>
          <w:rFonts w:ascii="Times New Roman" w:hAnsi="Times New Roman"/>
          <w:sz w:val="30"/>
          <w:szCs w:val="30"/>
          <w:u w:val="single"/>
          <w:rtl w:val="0"/>
          <w:lang w:val="en-US"/>
        </w:rPr>
        <w:t>Celibacy as an Ascetic</w:t>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Pr>
        <w:tab/>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 xml:space="preserve">The definition of the word celibacy, as given by the Cambridge Dictionary, is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the state of intentionally not being married or having a sexual relationship</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1"/>
      </w:r>
      <w:r>
        <w:rPr>
          <w:rFonts w:ascii="Times New Roman" w:hAnsi="Times New Roman"/>
          <w:sz w:val="30"/>
          <w:szCs w:val="30"/>
          <w:rtl w:val="0"/>
          <w:lang w:val="en-US"/>
        </w:rPr>
        <w:t xml:space="preserve">, with the adjective form </w:t>
      </w:r>
      <w:r>
        <w:rPr>
          <w:rFonts w:ascii="Times New Roman" w:hAnsi="Times New Roman" w:hint="default"/>
          <w:sz w:val="30"/>
          <w:szCs w:val="30"/>
          <w:rtl w:val="0"/>
          <w:lang w:val="en-US"/>
        </w:rPr>
        <w:t>‘</w:t>
      </w:r>
      <w:r>
        <w:rPr>
          <w:rFonts w:ascii="Times New Roman" w:hAnsi="Times New Roman"/>
          <w:sz w:val="30"/>
          <w:szCs w:val="30"/>
          <w:rtl w:val="0"/>
          <w:lang w:val="en-US"/>
        </w:rPr>
        <w:t>Celibate</w:t>
      </w:r>
      <w:r>
        <w:rPr>
          <w:rFonts w:ascii="Times New Roman" w:hAnsi="Times New Roman" w:hint="default"/>
          <w:sz w:val="30"/>
          <w:szCs w:val="30"/>
          <w:rtl w:val="0"/>
          <w:lang w:val="en-US"/>
        </w:rPr>
        <w:t xml:space="preserve">’ </w:t>
      </w:r>
      <w:r>
        <w:rPr>
          <w:rFonts w:ascii="Times New Roman" w:hAnsi="Times New Roman"/>
          <w:sz w:val="30"/>
          <w:szCs w:val="30"/>
          <w:rtl w:val="0"/>
          <w:lang w:val="en-US"/>
        </w:rPr>
        <w:t xml:space="preserve">being defined by the same dictionary as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not having sexual activity, especially because you have made a religious promise not to</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2"/>
      </w:r>
      <w:r>
        <w:rPr>
          <w:rFonts w:ascii="Times New Roman" w:hAnsi="Times New Roman"/>
          <w:sz w:val="30"/>
          <w:szCs w:val="30"/>
          <w:rtl w:val="0"/>
          <w:lang w:val="en-US"/>
        </w:rPr>
        <w:t xml:space="preserve">, and appears to derive from the Latin word </w:t>
      </w:r>
      <w:r>
        <w:rPr>
          <w:rFonts w:ascii="Times New Roman" w:hAnsi="Times New Roman"/>
          <w:i w:val="1"/>
          <w:iCs w:val="1"/>
          <w:sz w:val="30"/>
          <w:szCs w:val="30"/>
          <w:rtl w:val="0"/>
          <w:lang w:val="en-US"/>
        </w:rPr>
        <w:t>Caelibatus</w:t>
      </w:r>
      <w:r>
        <w:rPr>
          <w:rFonts w:ascii="Times New Roman" w:hAnsi="Times New Roman"/>
          <w:sz w:val="30"/>
          <w:szCs w:val="30"/>
          <w:rtl w:val="0"/>
          <w:lang w:val="en-US"/>
        </w:rPr>
        <w:t xml:space="preserve"> meaning single-life, or the state of not being married.</w:t>
      </w:r>
      <w:r>
        <w:rPr>
          <w:rFonts w:ascii="Times New Roman" w:cs="Times New Roman" w:hAnsi="Times New Roman" w:eastAsia="Times New Roman"/>
          <w:sz w:val="30"/>
          <w:szCs w:val="30"/>
          <w:vertAlign w:val="superscript"/>
        </w:rPr>
        <w:footnoteReference w:id="3"/>
      </w:r>
      <w:r>
        <w:rPr>
          <w:rFonts w:ascii="Times New Roman" w:hAnsi="Times New Roman"/>
          <w:i w:val="1"/>
          <w:iCs w:val="1"/>
          <w:sz w:val="30"/>
          <w:szCs w:val="30"/>
          <w:rtl w:val="0"/>
          <w:lang w:val="en-US"/>
        </w:rPr>
        <w:t xml:space="preserve"> </w:t>
      </w:r>
      <w:r>
        <w:rPr>
          <w:rFonts w:ascii="Times New Roman" w:hAnsi="Times New Roman"/>
          <w:sz w:val="30"/>
          <w:szCs w:val="30"/>
          <w:rtl w:val="0"/>
          <w:lang w:val="en-US"/>
        </w:rPr>
        <w:t xml:space="preserve">The act of celibacy, or to be celibate, is therefore abstaining from sexual relations of any kind, with the intention of remaining </w:t>
      </w:r>
      <w:r>
        <w:rPr>
          <w:rFonts w:ascii="Times New Roman" w:hAnsi="Times New Roman" w:hint="default"/>
          <w:sz w:val="30"/>
          <w:szCs w:val="30"/>
          <w:rtl w:val="0"/>
          <w:lang w:val="en-US"/>
        </w:rPr>
        <w:t>‘</w:t>
      </w:r>
      <w:r>
        <w:rPr>
          <w:rFonts w:ascii="Times New Roman" w:hAnsi="Times New Roman"/>
          <w:sz w:val="30"/>
          <w:szCs w:val="30"/>
          <w:rtl w:val="0"/>
          <w:lang w:val="en-US"/>
        </w:rPr>
        <w:t>pure</w:t>
      </w:r>
      <w:r>
        <w:rPr>
          <w:rFonts w:ascii="Times New Roman" w:hAnsi="Times New Roman" w:hint="default"/>
          <w:sz w:val="30"/>
          <w:szCs w:val="30"/>
          <w:rtl w:val="0"/>
          <w:lang w:val="en-US"/>
        </w:rPr>
        <w:t xml:space="preserve">’ </w:t>
      </w:r>
      <w:r>
        <w:rPr>
          <w:rFonts w:ascii="Times New Roman" w:hAnsi="Times New Roman"/>
          <w:sz w:val="30"/>
          <w:szCs w:val="30"/>
          <w:rtl w:val="0"/>
          <w:lang w:val="en-US"/>
        </w:rPr>
        <w:t xml:space="preserve">and free from corruption brought on by sex, with the latter definition bringing more emphasis on a religious act or purpose, or to remain </w:t>
      </w:r>
      <w:r>
        <w:rPr>
          <w:rFonts w:ascii="Times New Roman" w:hAnsi="Times New Roman" w:hint="default"/>
          <w:sz w:val="30"/>
          <w:szCs w:val="30"/>
          <w:rtl w:val="0"/>
          <w:lang w:val="en-US"/>
        </w:rPr>
        <w:t>‘</w:t>
      </w:r>
      <w:r>
        <w:rPr>
          <w:rFonts w:ascii="Times New Roman" w:hAnsi="Times New Roman"/>
          <w:sz w:val="30"/>
          <w:szCs w:val="30"/>
          <w:rtl w:val="0"/>
          <w:lang w:val="en-US"/>
        </w:rPr>
        <w:t>pure</w:t>
      </w:r>
      <w:r>
        <w:rPr>
          <w:rFonts w:ascii="Times New Roman" w:hAnsi="Times New Roman" w:hint="default"/>
          <w:sz w:val="30"/>
          <w:szCs w:val="30"/>
          <w:rtl w:val="0"/>
          <w:lang w:val="en-US"/>
        </w:rPr>
        <w:t xml:space="preserve">’ </w:t>
      </w:r>
      <w:r>
        <w:rPr>
          <w:rFonts w:ascii="Times New Roman" w:hAnsi="Times New Roman"/>
          <w:sz w:val="30"/>
          <w:szCs w:val="30"/>
          <w:rtl w:val="0"/>
          <w:lang w:val="en-US"/>
        </w:rPr>
        <w:t xml:space="preserve">in the eyes of a god or gods. This religious practice, or promise, of celibacy and abstaining from acts of a sexual nature, therefore appears frequently throughout the histories of various religions and a symbol of purity, and sometimes even divinity, with arguably the most well-known in the western-world being that of both The Virgin Mary, who was free from the sins of human passion, and the immaculate conception of her son Jesus Christ, who is also often considered to have abstained from sexual activity throughout his life and teachings. This idea, in Christianity at least, of abstaining from sexual activity can also be seen in the modern era too, with the head of the Catholic Church, The Pope, also having abstained from sex throughout their lives as part of their role of being the closest person to God on earth, as well as Priests of the Church following this example and abstaining from sex as well. Arguably however, this view of celibacy as a religious aspect seems to be changing in the present day, with peoples views of sexuality and sexual preferences changing from the </w:t>
      </w:r>
      <w:r>
        <w:rPr>
          <w:rFonts w:ascii="Times New Roman" w:hAnsi="Times New Roman" w:hint="default"/>
          <w:sz w:val="30"/>
          <w:szCs w:val="30"/>
          <w:rtl w:val="0"/>
          <w:lang w:val="en-US"/>
        </w:rPr>
        <w:t>‘</w:t>
      </w:r>
      <w:r>
        <w:rPr>
          <w:rFonts w:ascii="Times New Roman" w:hAnsi="Times New Roman"/>
          <w:sz w:val="30"/>
          <w:szCs w:val="30"/>
          <w:rtl w:val="0"/>
          <w:lang w:val="en-US"/>
        </w:rPr>
        <w:t>status quo</w:t>
      </w:r>
      <w:r>
        <w:rPr>
          <w:rFonts w:ascii="Times New Roman" w:hAnsi="Times New Roman" w:hint="default"/>
          <w:sz w:val="30"/>
          <w:szCs w:val="30"/>
          <w:rtl w:val="0"/>
          <w:lang w:val="en-US"/>
        </w:rPr>
        <w:t xml:space="preserve">’ </w:t>
      </w:r>
      <w:r>
        <w:rPr>
          <w:rFonts w:ascii="Times New Roman" w:hAnsi="Times New Roman"/>
          <w:sz w:val="30"/>
          <w:szCs w:val="30"/>
          <w:rtl w:val="0"/>
          <w:lang w:val="en-US"/>
        </w:rPr>
        <w:t>of the past, with some people abstaining from sexual activity as a personal choice or preference, or as part of their sexual orientation such as Asexuality, instead of abstaining from sex for religious purposes. Although it should be considered that Asexuality is also very different from Celibacy. Celibacy is primarily a choice, whether it be for a religious purpose or other, whereas Asexuality is a sexual orientation, it is someones identity, as oppose to a lifestyle choice like Celibacy could be considered as.</w:t>
      </w:r>
      <w:r>
        <w:rPr>
          <w:rFonts w:ascii="Times New Roman" w:cs="Times New Roman" w:hAnsi="Times New Roman" w:eastAsia="Times New Roman"/>
          <w:sz w:val="30"/>
          <w:szCs w:val="30"/>
          <w:vertAlign w:val="superscript"/>
        </w:rPr>
        <w:footnoteReference w:id="4"/>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 xml:space="preserve">The Cambridge Dictionary defines Ascetic/Asceticism as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avoiding physical pleasures and living a simple life, often for religious reasons</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5"/>
      </w:r>
      <w:r>
        <w:rPr>
          <w:rFonts w:ascii="Times New Roman" w:hAnsi="Times New Roman"/>
          <w:i w:val="1"/>
          <w:iCs w:val="1"/>
          <w:sz w:val="30"/>
          <w:szCs w:val="30"/>
          <w:rtl w:val="0"/>
          <w:lang w:val="en-US"/>
        </w:rPr>
        <w:t xml:space="preserve"> </w:t>
      </w:r>
      <w:r>
        <w:rPr>
          <w:rFonts w:ascii="Times New Roman" w:hAnsi="Times New Roman"/>
          <w:sz w:val="30"/>
          <w:szCs w:val="30"/>
          <w:rtl w:val="0"/>
          <w:lang w:val="en-US"/>
        </w:rPr>
        <w:t xml:space="preserve">with the loose description of asceticism, as given by Richard Finn in his work on the subject </w:t>
      </w:r>
      <w:r>
        <w:rPr>
          <w:rFonts w:ascii="Times New Roman" w:hAnsi="Times New Roman"/>
          <w:i w:val="1"/>
          <w:iCs w:val="1"/>
          <w:sz w:val="30"/>
          <w:szCs w:val="30"/>
          <w:rtl w:val="0"/>
          <w:lang w:val="en-US"/>
        </w:rPr>
        <w:t>Asceticism in the Graeco-Roman World,</w:t>
      </w:r>
      <w:r>
        <w:rPr>
          <w:rFonts w:ascii="Times New Roman" w:hAnsi="Times New Roman"/>
          <w:sz w:val="30"/>
          <w:szCs w:val="30"/>
          <w:rtl w:val="0"/>
          <w:lang w:val="en-US"/>
        </w:rPr>
        <w:t xml:space="preserve"> as the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voluntary abstention for religious reasons from food and drink, sleep, wealth, or sexual activity</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6"/>
      </w:r>
      <w:r>
        <w:rPr>
          <w:rFonts w:ascii="Times New Roman" w:hAnsi="Times New Roman"/>
          <w:i w:val="1"/>
          <w:iCs w:val="1"/>
          <w:sz w:val="30"/>
          <w:szCs w:val="30"/>
          <w:rtl w:val="0"/>
          <w:lang w:val="en-US"/>
        </w:rPr>
        <w:t xml:space="preserve">. </w:t>
      </w:r>
      <w:r>
        <w:rPr>
          <w:rFonts w:ascii="Times New Roman" w:hAnsi="Times New Roman"/>
          <w:sz w:val="30"/>
          <w:szCs w:val="30"/>
          <w:rtl w:val="0"/>
          <w:lang w:val="en-US"/>
        </w:rPr>
        <w:t>In both of these definitions, Asceticism is seen as a religious practice of abstention of earthly pleasures and activities so as to live a more holy, or pious, lifestyle. It can be seen to be observed by various cultures and religions from the ancient world to the modern era in multiple formats. The Vestal Virgins of the Roman World, for example, were selected for a minimum of thirty years service where they were to abstain from sexual activity in honour of the virgin Goddess of the Hearth Vesta and because of the idea of impurity (from sex) being seen as a danger to Rome, and they were to attend to the Undying Fire of Rome.</w:t>
      </w:r>
      <w:r>
        <w:rPr>
          <w:rFonts w:ascii="Times New Roman" w:cs="Times New Roman" w:hAnsi="Times New Roman" w:eastAsia="Times New Roman"/>
          <w:sz w:val="30"/>
          <w:szCs w:val="30"/>
          <w:vertAlign w:val="superscript"/>
        </w:rPr>
        <w:footnoteReference w:id="7"/>
      </w:r>
      <w:r>
        <w:rPr>
          <w:rFonts w:ascii="Times New Roman" w:hAnsi="Times New Roman"/>
          <w:sz w:val="30"/>
          <w:szCs w:val="30"/>
          <w:rtl w:val="0"/>
          <w:lang w:val="en-US"/>
        </w:rPr>
        <w:t xml:space="preserve"> In Islam, a month of fasting during Ramadan (during the ninth Islamic calendar month) is observed to which Muslims all around the world still take pride in participating in honour of the month that the Qur</w:t>
      </w:r>
      <w:r>
        <w:rPr>
          <w:rFonts w:ascii="Times New Roman" w:hAnsi="Times New Roman" w:hint="default"/>
          <w:sz w:val="30"/>
          <w:szCs w:val="30"/>
          <w:rtl w:val="0"/>
          <w:lang w:val="en-US"/>
        </w:rPr>
        <w:t>’</w:t>
      </w:r>
      <w:r>
        <w:rPr>
          <w:rFonts w:ascii="Times New Roman" w:hAnsi="Times New Roman"/>
          <w:sz w:val="30"/>
          <w:szCs w:val="30"/>
          <w:rtl w:val="0"/>
          <w:lang w:val="en-US"/>
        </w:rPr>
        <w:t>an was first revealed to the Prophet Muhammad, and makes up the fourth pillar of the five pillars of Islam.</w:t>
      </w:r>
      <w:r>
        <w:rPr>
          <w:rFonts w:ascii="Times New Roman" w:cs="Times New Roman" w:hAnsi="Times New Roman" w:eastAsia="Times New Roman"/>
          <w:sz w:val="30"/>
          <w:szCs w:val="30"/>
          <w:vertAlign w:val="superscript"/>
        </w:rPr>
        <w:footnoteReference w:id="8"/>
      </w: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In Buddhism, too,  asceticism can be seen in the core of the religion; with many, if not most, Buddhist abstaining from meat and living as vegetarians as well as abstaining from alcohol so as to not break </w:t>
      </w:r>
      <w:r>
        <w:rPr>
          <w:rFonts w:ascii="Times New Roman" w:hAnsi="Times New Roman" w:hint="default"/>
          <w:sz w:val="30"/>
          <w:szCs w:val="30"/>
          <w:rtl w:val="0"/>
          <w:lang w:val="en-US"/>
        </w:rPr>
        <w:t>‘</w:t>
      </w:r>
      <w:r>
        <w:rPr>
          <w:rFonts w:ascii="Times New Roman" w:hAnsi="Times New Roman"/>
          <w:sz w:val="30"/>
          <w:szCs w:val="30"/>
          <w:rtl w:val="0"/>
          <w:lang w:val="en-US"/>
        </w:rPr>
        <w:t>refraining from harming of living things</w:t>
      </w:r>
      <w:r>
        <w:rPr>
          <w:rFonts w:ascii="Times New Roman" w:hAnsi="Times New Roman" w:hint="default"/>
          <w:sz w:val="30"/>
          <w:szCs w:val="30"/>
          <w:rtl w:val="0"/>
          <w:lang w:val="en-US"/>
        </w:rPr>
        <w:t xml:space="preserve">’ </w:t>
      </w:r>
      <w:r>
        <w:rPr>
          <w:rFonts w:ascii="Times New Roman" w:hAnsi="Times New Roman"/>
          <w:sz w:val="30"/>
          <w:szCs w:val="30"/>
          <w:rtl w:val="0"/>
          <w:lang w:val="en-US"/>
        </w:rPr>
        <w:t xml:space="preserve">and </w:t>
      </w:r>
      <w:r>
        <w:rPr>
          <w:rFonts w:ascii="Times New Roman" w:hAnsi="Times New Roman" w:hint="default"/>
          <w:sz w:val="30"/>
          <w:szCs w:val="30"/>
          <w:rtl w:val="0"/>
          <w:lang w:val="en-US"/>
        </w:rPr>
        <w:t>‘</w:t>
      </w:r>
      <w:r>
        <w:rPr>
          <w:rFonts w:ascii="Times New Roman" w:hAnsi="Times New Roman"/>
          <w:sz w:val="30"/>
          <w:szCs w:val="30"/>
          <w:rtl w:val="0"/>
          <w:lang w:val="en-US"/>
        </w:rPr>
        <w:t>refraining from taking intoxicating substances</w:t>
      </w:r>
      <w:r>
        <w:rPr>
          <w:rFonts w:ascii="Times New Roman" w:hAnsi="Times New Roman" w:hint="default"/>
          <w:sz w:val="30"/>
          <w:szCs w:val="30"/>
          <w:rtl w:val="0"/>
          <w:lang w:val="en-US"/>
        </w:rPr>
        <w:t xml:space="preserve">’  </w:t>
      </w:r>
      <w:r>
        <w:rPr>
          <w:rFonts w:ascii="Times New Roman" w:hAnsi="Times New Roman"/>
          <w:sz w:val="30"/>
          <w:szCs w:val="30"/>
          <w:rtl w:val="0"/>
          <w:lang w:val="en-US"/>
        </w:rPr>
        <w:t>of the Five Moral Precepts respectively (with the other three Precepts being refraining from; taking what is not given, sexual misconduct, and lying or gossiping).</w:t>
      </w:r>
      <w:r>
        <w:rPr>
          <w:rFonts w:ascii="Times New Roman" w:cs="Times New Roman" w:hAnsi="Times New Roman" w:eastAsia="Times New Roman"/>
          <w:sz w:val="30"/>
          <w:szCs w:val="30"/>
          <w:vertAlign w:val="superscript"/>
        </w:rPr>
        <w:footnoteReference w:id="9"/>
      </w: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Within the religious world, the idea of asceticism is to allow the practitioner to feel closer to their religious deity, by giving up their earthly needs and wants to achieve a sense of divinity themselves, to feel closer to their god or gods, or to live their religious life in a more pious nature so as two stay true to their religious principles.</w:t>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As the definition of asceticism includes the idea of abstaining from sexual activity in order to live an ascetic life, and with celibacy being defined as voluntarily, or intentionally, abstaining from sexual pleasure, it is clear that celibacy can be considered a from of asceticism, and someone that has decided to live a life free of sexual activities for religious reasons can be considered a religiously ascetic individual; with the Vestal Virgins providing a prime example of celibacy as a from of asceticism. However, a person could also be considered to be living an ascetically religious lifestyle without the need to also be considered celibate, for example that of followers of Buddhism, so long as they also abide by the Precept of refraining from sexual misconduct, such as being sexually active outside of marriage.</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u w:val="single"/>
        </w:rPr>
      </w:pPr>
      <w:r>
        <w:rPr>
          <w:rFonts w:ascii="Times New Roman" w:hAnsi="Times New Roman"/>
          <w:sz w:val="30"/>
          <w:szCs w:val="30"/>
          <w:u w:val="single"/>
          <w:rtl w:val="0"/>
          <w:lang w:val="en-US"/>
        </w:rPr>
        <w:t>Religion in the Early Roman Empire</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The primary religion of both the Roman Republic and the early Roman empire was the Pantheon of Gods; a polytheistic religion that closely resembled the Greek Pantheon, with a variety of Gods and Goddesses obtaining a Latinised version of their names (such as Zeus being Latinised to Jupiter), but with their functions and roles remaining more or less similar to their Greek counterparts. Jupiter was still the sovereign of the Pantheon, with his de facto wife Juno (Hera), and his brother, Pluto (Hades), still overlooked procedures of the underworld. This similarity to the Ancient Greek religion lies in a cultural link between the two civilisations stemming from the mythological founding of the city of Rome, as outlined in Virgil</w:t>
      </w:r>
      <w:r>
        <w:rPr>
          <w:rFonts w:ascii="Times New Roman" w:hAnsi="Times New Roman" w:hint="default"/>
          <w:sz w:val="30"/>
          <w:szCs w:val="30"/>
          <w:rtl w:val="0"/>
          <w:lang w:val="en-US"/>
        </w:rPr>
        <w:t>’</w:t>
      </w:r>
      <w:r>
        <w:rPr>
          <w:rFonts w:ascii="Times New Roman" w:hAnsi="Times New Roman"/>
          <w:sz w:val="30"/>
          <w:szCs w:val="30"/>
          <w:rtl w:val="0"/>
          <w:lang w:val="en-US"/>
        </w:rPr>
        <w:t xml:space="preserve">s </w:t>
      </w:r>
      <w:r>
        <w:rPr>
          <w:rFonts w:ascii="Times New Roman" w:hAnsi="Times New Roman"/>
          <w:i w:val="1"/>
          <w:iCs w:val="1"/>
          <w:sz w:val="30"/>
          <w:szCs w:val="30"/>
          <w:rtl w:val="0"/>
          <w:lang w:val="en-US"/>
        </w:rPr>
        <w:t>The Aeneid,</w:t>
      </w:r>
      <w:r>
        <w:rPr>
          <w:rFonts w:ascii="Times New Roman" w:hAnsi="Times New Roman"/>
          <w:sz w:val="30"/>
          <w:szCs w:val="30"/>
          <w:rtl w:val="0"/>
          <w:lang w:val="en-US"/>
        </w:rPr>
        <w:t xml:space="preserve"> and how survivors of the Trojan War came to settle in modern Italy, bringing with them their religions and traditions. This Roman cosmology played an integral part of Roman society, with one of the Seven Hills of Rome, The Capitoline Hill, dedicated to Jupiter, Juno, and Minerva, and, as well as serving as a religious hub for the city of Rome, was the culmination point of a Triumph procession featuring sacrifices to the Capitoline Trio, as well as where newly appointed Consuls and Provincial Governors would give prayers and vows before taking office and heading to their provinces, respectively.</w:t>
      </w:r>
      <w:r>
        <w:rPr>
          <w:rFonts w:ascii="Times New Roman" w:cs="Times New Roman" w:hAnsi="Times New Roman" w:eastAsia="Times New Roman"/>
          <w:sz w:val="30"/>
          <w:szCs w:val="30"/>
          <w:vertAlign w:val="superscript"/>
        </w:rPr>
        <w:footnoteReference w:id="10"/>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 xml:space="preserve">However, especially towards the end of the Republic and the beginning of the Empire, atheism seems to also have been an acceptable way of life too, as well as questioning the existence of the Gods, especially by philosophers of the time, with Cicero naming at least two, Diagoras of Melos and Theodorus of Cyrene, in his works </w:t>
      </w:r>
      <w:r>
        <w:rPr>
          <w:rFonts w:ascii="Times New Roman" w:hAnsi="Times New Roman"/>
          <w:i w:val="1"/>
          <w:iCs w:val="1"/>
          <w:sz w:val="30"/>
          <w:szCs w:val="30"/>
          <w:rtl w:val="0"/>
          <w:lang w:val="en-US"/>
        </w:rPr>
        <w:t>The Nature of the Gods</w:t>
      </w:r>
      <w:r>
        <w:rPr>
          <w:rFonts w:ascii="Times New Roman" w:hAnsi="Times New Roman"/>
          <w:sz w:val="30"/>
          <w:szCs w:val="30"/>
          <w:rtl w:val="0"/>
          <w:lang w:val="en-US"/>
        </w:rPr>
        <w:t>.</w:t>
      </w:r>
      <w:r>
        <w:rPr>
          <w:rFonts w:ascii="Times New Roman" w:cs="Times New Roman" w:hAnsi="Times New Roman" w:eastAsia="Times New Roman"/>
          <w:sz w:val="30"/>
          <w:szCs w:val="30"/>
          <w:vertAlign w:val="superscript"/>
        </w:rPr>
        <w:footnoteReference w:id="11"/>
      </w:r>
      <w:r>
        <w:rPr>
          <w:rFonts w:ascii="Times New Roman" w:hAnsi="Times New Roman"/>
          <w:sz w:val="30"/>
          <w:szCs w:val="30"/>
          <w:rtl w:val="0"/>
          <w:lang w:val="en-US"/>
        </w:rPr>
        <w:t xml:space="preserve"> In these works, Cicero, too, begins to question the existence of the Gods, or at least the manner of their existence; whether the Gods are aware of the acts of men, particularly regarding offerings made towards them including chastity, and, if they do not know of the offerings to them, what this means for piety in their society, arguing that when piety in society disappears, then sanctity disappears with it, and anarchy in society would swiftly follow. However, as a man of debate, Cicero seems willing to be accepting of other peoples</w:t>
      </w:r>
      <w:r>
        <w:rPr>
          <w:rFonts w:ascii="Times New Roman" w:hAnsi="Times New Roman" w:hint="default"/>
          <w:sz w:val="30"/>
          <w:szCs w:val="30"/>
          <w:rtl w:val="0"/>
          <w:lang w:val="en-US"/>
        </w:rPr>
        <w:t xml:space="preserve">’ </w:t>
      </w:r>
      <w:r>
        <w:rPr>
          <w:rFonts w:ascii="Times New Roman" w:hAnsi="Times New Roman"/>
          <w:sz w:val="30"/>
          <w:szCs w:val="30"/>
          <w:rtl w:val="0"/>
          <w:lang w:val="en-US"/>
        </w:rPr>
        <w:t>views on the matter, whether they be atheist or believe in the overruling divinity on life, and appears to be willing to have civil discussions on these matters despite his earlier claims on the matter.</w:t>
      </w:r>
      <w:r>
        <w:rPr>
          <w:rFonts w:ascii="Times New Roman" w:cs="Times New Roman" w:hAnsi="Times New Roman" w:eastAsia="Times New Roman"/>
          <w:sz w:val="30"/>
          <w:szCs w:val="30"/>
          <w:vertAlign w:val="superscript"/>
        </w:rPr>
        <w:footnoteReference w:id="12"/>
      </w:r>
      <w:r>
        <w:rPr>
          <w:rFonts w:ascii="Times New Roman" w:hAnsi="Times New Roman"/>
          <w:sz w:val="30"/>
          <w:szCs w:val="30"/>
          <w:rtl w:val="0"/>
          <w:lang w:val="en-US"/>
        </w:rPr>
        <w:t xml:space="preserve"> Cicero goes on to discuss, through a discussion on Diogenes and Diagoras, a question that is still prevalent into the modern era; If there is a higher power, with the ability to reward the pious, then why do the wicked still succeed and prosper? What is the point of living a pious or ascetic life if someone who does not live a pious life can still enjoy a life of luxury and fortune? Yet those that do live a pious and ascetic life will still give thanks to the Gods when their lives seem prosperous, not just amongst the elite but the poor too, or for good harvests.</w:t>
      </w:r>
      <w:r>
        <w:rPr>
          <w:rFonts w:ascii="Times New Roman" w:cs="Times New Roman" w:hAnsi="Times New Roman" w:eastAsia="Times New Roman"/>
          <w:sz w:val="30"/>
          <w:szCs w:val="30"/>
          <w:vertAlign w:val="superscript"/>
        </w:rPr>
        <w:footnoteReference w:id="13"/>
      </w:r>
      <w:r>
        <w:rPr>
          <w:rFonts w:ascii="Times New Roman" w:hAnsi="Times New Roman"/>
          <w:sz w:val="30"/>
          <w:szCs w:val="30"/>
          <w:rtl w:val="0"/>
          <w:lang w:val="en-US"/>
        </w:rPr>
        <w:t xml:space="preserve"> Although Cicero seems to question why someone would doubt the existence of the Divine, there seems to have been a substantial amount of educated persons who had no religious beliefs at the time to bring up the question in the first place, as well as being accepted, within the Roman Society.</w:t>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 xml:space="preserve">Upon Octavian gaining the title of Augustus in 27BCE, and the Republic being </w:t>
      </w:r>
      <w:r>
        <w:rPr>
          <w:rFonts w:ascii="Times New Roman" w:hAnsi="Times New Roman" w:hint="default"/>
          <w:sz w:val="30"/>
          <w:szCs w:val="30"/>
          <w:rtl w:val="0"/>
          <w:lang w:val="en-US"/>
        </w:rPr>
        <w:t>‘</w:t>
      </w:r>
      <w:r>
        <w:rPr>
          <w:rFonts w:ascii="Times New Roman" w:hAnsi="Times New Roman"/>
          <w:sz w:val="30"/>
          <w:szCs w:val="30"/>
          <w:rtl w:val="0"/>
          <w:lang w:val="en-US"/>
        </w:rPr>
        <w:t>restored</w:t>
      </w:r>
      <w:r>
        <w:rPr>
          <w:rFonts w:ascii="Times New Roman" w:hAnsi="Times New Roman" w:hint="default"/>
          <w:sz w:val="30"/>
          <w:szCs w:val="30"/>
          <w:rtl w:val="0"/>
          <w:lang w:val="en-US"/>
        </w:rPr>
        <w:t>’</w:t>
      </w:r>
      <w:r>
        <w:rPr>
          <w:rFonts w:ascii="Times New Roman" w:hAnsi="Times New Roman"/>
          <w:sz w:val="30"/>
          <w:szCs w:val="30"/>
          <w:rtl w:val="0"/>
          <w:lang w:val="en-US"/>
        </w:rPr>
        <w:t xml:space="preserve">, he had essentially become </w:t>
      </w:r>
      <w:r>
        <w:rPr>
          <w:rFonts w:ascii="Times New Roman" w:hAnsi="Times New Roman" w:hint="default"/>
          <w:sz w:val="30"/>
          <w:szCs w:val="30"/>
          <w:rtl w:val="0"/>
          <w:lang w:val="en-US"/>
        </w:rPr>
        <w:t>‘</w:t>
      </w:r>
      <w:r>
        <w:rPr>
          <w:rFonts w:ascii="Times New Roman" w:hAnsi="Times New Roman"/>
          <w:sz w:val="30"/>
          <w:szCs w:val="30"/>
          <w:rtl w:val="0"/>
          <w:lang w:val="en-US"/>
        </w:rPr>
        <w:t>Emperor</w:t>
      </w:r>
      <w:r>
        <w:rPr>
          <w:rFonts w:ascii="Times New Roman" w:hAnsi="Times New Roman" w:hint="default"/>
          <w:sz w:val="30"/>
          <w:szCs w:val="30"/>
          <w:rtl w:val="0"/>
          <w:lang w:val="en-US"/>
        </w:rPr>
        <w:t xml:space="preserve">’ </w:t>
      </w:r>
      <w:r>
        <w:rPr>
          <w:rFonts w:ascii="Times New Roman" w:hAnsi="Times New Roman"/>
          <w:sz w:val="30"/>
          <w:szCs w:val="30"/>
          <w:rtl w:val="0"/>
          <w:lang w:val="en-US"/>
        </w:rPr>
        <w:t>of Rome, and this brought with it the Imperial Cult. Stylised as a pious leader from early on in his reign, religion in Rome began to see a revival under Augustus, who could claim his own divinity through his adoption by Julius Caesar. Under the reign of Augustus, priest-hoods and and temples that had fallen into disrepair began to see restorations, and the Vestal Virgins, an integral part of religion in the city of Rome as keepers of the city</w:t>
      </w:r>
      <w:r>
        <w:rPr>
          <w:rFonts w:ascii="Times New Roman" w:hAnsi="Times New Roman" w:hint="default"/>
          <w:sz w:val="30"/>
          <w:szCs w:val="30"/>
          <w:rtl w:val="0"/>
          <w:lang w:val="en-US"/>
        </w:rPr>
        <w:t>’</w:t>
      </w:r>
      <w:r>
        <w:rPr>
          <w:rFonts w:ascii="Times New Roman" w:hAnsi="Times New Roman"/>
          <w:sz w:val="30"/>
          <w:szCs w:val="30"/>
          <w:rtl w:val="0"/>
          <w:lang w:val="en-US"/>
        </w:rPr>
        <w:t>s undying flame, saw stricter emissions for the benefit of piety.</w:t>
      </w:r>
      <w:r>
        <w:rPr>
          <w:rFonts w:ascii="Times New Roman" w:cs="Times New Roman" w:hAnsi="Times New Roman" w:eastAsia="Times New Roman"/>
          <w:sz w:val="30"/>
          <w:szCs w:val="30"/>
          <w:vertAlign w:val="superscript"/>
        </w:rPr>
        <w:footnoteReference w:id="14"/>
      </w:r>
      <w:r>
        <w:rPr>
          <w:rFonts w:ascii="Times New Roman" w:hAnsi="Times New Roman"/>
          <w:sz w:val="30"/>
          <w:szCs w:val="30"/>
          <w:rtl w:val="0"/>
          <w:lang w:val="en-US"/>
        </w:rPr>
        <w:t xml:space="preserve"> Upon the death of Lepidus, Augustus appointed himself </w:t>
      </w:r>
      <w:r>
        <w:rPr>
          <w:rFonts w:ascii="Times New Roman" w:hAnsi="Times New Roman"/>
          <w:i w:val="1"/>
          <w:iCs w:val="1"/>
          <w:sz w:val="30"/>
          <w:szCs w:val="30"/>
          <w:rtl w:val="0"/>
          <w:lang w:val="en-US"/>
        </w:rPr>
        <w:t>Pontifix Maximus</w:t>
      </w:r>
      <w:r>
        <w:rPr>
          <w:rFonts w:ascii="Times New Roman" w:hAnsi="Times New Roman"/>
          <w:sz w:val="30"/>
          <w:szCs w:val="30"/>
          <w:rtl w:val="0"/>
          <w:lang w:val="en-US"/>
        </w:rPr>
        <w:t xml:space="preserve">, uniting the position with the other priesthoods and with the power of the </w:t>
      </w:r>
      <w:r>
        <w:rPr>
          <w:rFonts w:ascii="Times New Roman" w:hAnsi="Times New Roman"/>
          <w:i w:val="1"/>
          <w:iCs w:val="1"/>
          <w:sz w:val="30"/>
          <w:szCs w:val="30"/>
          <w:rtl w:val="0"/>
          <w:lang w:val="en-US"/>
        </w:rPr>
        <w:t>princeps</w:t>
      </w:r>
      <w:r>
        <w:rPr>
          <w:rFonts w:ascii="Times New Roman" w:hAnsi="Times New Roman"/>
          <w:sz w:val="30"/>
          <w:szCs w:val="30"/>
          <w:rtl w:val="0"/>
          <w:lang w:val="en-US"/>
        </w:rPr>
        <w:t>, essentially making himself the religious figurehead of the Empire, as well as the ruler.</w:t>
      </w:r>
      <w:r>
        <w:rPr>
          <w:rFonts w:ascii="Times New Roman" w:cs="Times New Roman" w:hAnsi="Times New Roman" w:eastAsia="Times New Roman"/>
          <w:sz w:val="30"/>
          <w:szCs w:val="30"/>
          <w:vertAlign w:val="superscript"/>
        </w:rPr>
        <w:footnoteReference w:id="15"/>
      </w:r>
      <w:r>
        <w:rPr>
          <w:rFonts w:ascii="Times New Roman" w:hAnsi="Times New Roman"/>
          <w:sz w:val="30"/>
          <w:szCs w:val="30"/>
          <w:rtl w:val="0"/>
          <w:lang w:val="en-US"/>
        </w:rPr>
        <w:t xml:space="preserve"> </w:t>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 xml:space="preserve">Although positions of power, both political and religious, seem to be limited to a male-centric world, arguably one of the most important sects of Roman Religion was that of the Vestal Virgins, as previously mentioned, who were the keepers of the undying flame of the city; a position solely available to women. Although these women were in a prominent position within state-religion, their time was restricted to tending of the flame, as well as preparations in rituals and sacrifices. In honour of their namesake, the virgin goddess of the hearth, Vesta, those initiated to become priestesses were required to be of purity in both body and mind, and so, much like Vesta, were to be virgins, and live a life of celibacy as long as their tenure as priestesses lasted. Although the celibacy was considered a form of piety so as to be closer to the goddess Vesta, as a priestess, it was not a matter of choice, but an enforced requirement. A vestal that was found to have dishonoured Vesta by being </w:t>
      </w:r>
      <w:r>
        <w:rPr>
          <w:rFonts w:ascii="Times New Roman" w:hAnsi="Times New Roman" w:hint="default"/>
          <w:sz w:val="30"/>
          <w:szCs w:val="30"/>
          <w:rtl w:val="0"/>
          <w:lang w:val="en-US"/>
        </w:rPr>
        <w:t>‘</w:t>
      </w:r>
      <w:r>
        <w:rPr>
          <w:rFonts w:ascii="Times New Roman" w:hAnsi="Times New Roman"/>
          <w:sz w:val="30"/>
          <w:szCs w:val="30"/>
          <w:rtl w:val="0"/>
          <w:lang w:val="en-US"/>
        </w:rPr>
        <w:t>impure</w:t>
      </w:r>
      <w:r>
        <w:rPr>
          <w:rFonts w:ascii="Times New Roman" w:hAnsi="Times New Roman" w:hint="default"/>
          <w:sz w:val="30"/>
          <w:szCs w:val="30"/>
          <w:rtl w:val="0"/>
          <w:lang w:val="en-US"/>
        </w:rPr>
        <w:t xml:space="preserve">’ </w:t>
      </w:r>
      <w:r>
        <w:rPr>
          <w:rFonts w:ascii="Times New Roman" w:hAnsi="Times New Roman"/>
          <w:sz w:val="30"/>
          <w:szCs w:val="30"/>
          <w:rtl w:val="0"/>
          <w:lang w:val="en-US"/>
        </w:rPr>
        <w:t>would be punished by entombment; bricked into a room and left until dead.</w:t>
      </w:r>
      <w:r>
        <w:rPr>
          <w:rFonts w:ascii="Times New Roman" w:cs="Times New Roman" w:hAnsi="Times New Roman" w:eastAsia="Times New Roman"/>
          <w:sz w:val="30"/>
          <w:szCs w:val="30"/>
          <w:vertAlign w:val="superscript"/>
        </w:rPr>
        <w:footnoteReference w:id="16"/>
      </w:r>
      <w:r>
        <w:rPr>
          <w:rFonts w:ascii="Times New Roman" w:cs="Times New Roman" w:hAnsi="Times New Roman" w:eastAsia="Times New Roman"/>
          <w:sz w:val="30"/>
          <w:szCs w:val="30"/>
          <w:vertAlign w:val="superscript"/>
        </w:rPr>
        <w:footnoteReference w:id="17"/>
      </w:r>
      <w:r>
        <w:rPr>
          <w:rFonts w:ascii="Times New Roman" w:hAnsi="Times New Roman"/>
          <w:sz w:val="30"/>
          <w:szCs w:val="30"/>
          <w:rtl w:val="0"/>
          <w:lang w:val="en-US"/>
        </w:rPr>
        <w:t xml:space="preserve"> Although there was a great sense of piety from living the life of a priestess, the consequences of breaking such celibacy was unforgivable.</w:t>
      </w:r>
    </w:p>
    <w:p>
      <w:pPr>
        <w:pStyle w:val="Body"/>
        <w:jc w:val="left"/>
        <w:rPr>
          <w:rFonts w:ascii="Times New Roman" w:cs="Times New Roman" w:hAnsi="Times New Roman" w:eastAsia="Times New Roman"/>
          <w:sz w:val="30"/>
          <w:szCs w:val="30"/>
          <w:u w:val="single"/>
        </w:rPr>
      </w:pPr>
    </w:p>
    <w:p>
      <w:pPr>
        <w:pStyle w:val="Body"/>
        <w:jc w:val="left"/>
        <w:rPr>
          <w:rFonts w:ascii="Times New Roman" w:cs="Times New Roman" w:hAnsi="Times New Roman" w:eastAsia="Times New Roman"/>
          <w:sz w:val="30"/>
          <w:szCs w:val="30"/>
          <w:u w:val="single"/>
        </w:rPr>
      </w:pPr>
      <w:r>
        <w:rPr>
          <w:rFonts w:ascii="Times New Roman" w:hAnsi="Times New Roman"/>
          <w:sz w:val="30"/>
          <w:szCs w:val="30"/>
          <w:u w:val="single"/>
          <w:rtl w:val="0"/>
          <w:lang w:val="en-US"/>
        </w:rPr>
        <w:t>The Saints Paul and Thecla</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Paul the Apostle, or St. Paul, is considered to be one of the leading figures of early Christianity following the death of Jesus Christ. Paul was born approximately born around 4BCE in Tarsus in Eastern Cilicia, around the same time as Jesus, was a tent maker by trade, which would help with his work as a roaming preacher, and died, most likely in Rome, around AD62-64.</w:t>
      </w:r>
      <w:r>
        <w:rPr>
          <w:rFonts w:ascii="Times New Roman" w:cs="Times New Roman" w:hAnsi="Times New Roman" w:eastAsia="Times New Roman"/>
          <w:sz w:val="30"/>
          <w:szCs w:val="30"/>
          <w:vertAlign w:val="superscript"/>
        </w:rPr>
        <w:footnoteReference w:id="18"/>
      </w:r>
      <w:r>
        <w:rPr>
          <w:rFonts w:ascii="Times New Roman" w:hAnsi="Times New Roman"/>
          <w:sz w:val="30"/>
          <w:szCs w:val="30"/>
          <w:rtl w:val="0"/>
          <w:lang w:val="en-US"/>
        </w:rPr>
        <w:t xml:space="preserve"> He spent almost half of his life as a member of the Pharisees movement of Judaism, spending his time as a preacher in Synagogues of the Jewish Bible whilst also persecuting the new Christianity movement and the followers of Jesus, believing the followers of Jesus were inadequately observant of Jewish Law and Teachings. It was not until around the middle point of his life that he was converted to Christianity (a few years after the Death of Jesus). Whilst Journeying to Damascus, Paul had a vision bestowed upon him by God, revealing Jesus to truly be his son on Earth, and that Jesus was indeed the Promised Messiah.</w:t>
      </w:r>
      <w:r>
        <w:rPr>
          <w:rFonts w:ascii="Times New Roman" w:cs="Times New Roman" w:hAnsi="Times New Roman" w:eastAsia="Times New Roman"/>
          <w:sz w:val="30"/>
          <w:szCs w:val="30"/>
          <w:vertAlign w:val="superscript"/>
        </w:rPr>
        <w:footnoteReference w:id="19"/>
      </w:r>
      <w:r>
        <w:rPr>
          <w:rFonts w:ascii="Times New Roman" w:cs="Times New Roman" w:hAnsi="Times New Roman" w:eastAsia="Times New Roman"/>
          <w:sz w:val="30"/>
          <w:szCs w:val="30"/>
          <w:vertAlign w:val="superscript"/>
        </w:rPr>
        <w:footnoteReference w:id="20"/>
      </w:r>
      <w:r>
        <w:rPr>
          <w:rFonts w:ascii="Times New Roman" w:hAnsi="Times New Roman"/>
          <w:sz w:val="30"/>
          <w:szCs w:val="30"/>
          <w:rtl w:val="0"/>
          <w:lang w:val="en-US"/>
        </w:rPr>
        <w:t xml:space="preserve"> From this moment forward, Paul would travel westward to Jerusalem, Asia Minor, and into Europe spreading the word of God and Jesus the Messiah, whilst founding several churches in the process, preaching mostly amongst the Gentiles (non-followers of the Jewish Faith). He would later return to Jerusalem where he was arrested for bringing Gentiles into Temple, and would be sent to Rome following his trials, where it is believed he was sentenced to death by Nero in the Emperors executions of Christians during and after the Great Fire of Rome, in 64BCE.</w:t>
      </w:r>
      <w:r>
        <w:rPr>
          <w:rFonts w:ascii="Times New Roman" w:cs="Times New Roman" w:hAnsi="Times New Roman" w:eastAsia="Times New Roman"/>
          <w:sz w:val="30"/>
          <w:szCs w:val="30"/>
          <w:vertAlign w:val="superscript"/>
        </w:rPr>
        <w:footnoteReference w:id="21"/>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The primary messages behind Paul</w:t>
      </w:r>
      <w:r>
        <w:rPr>
          <w:rFonts w:ascii="Times New Roman" w:hAnsi="Times New Roman" w:hint="default"/>
          <w:sz w:val="30"/>
          <w:szCs w:val="30"/>
          <w:rtl w:val="0"/>
          <w:lang w:val="en-US"/>
        </w:rPr>
        <w:t>’</w:t>
      </w:r>
      <w:r>
        <w:rPr>
          <w:rFonts w:ascii="Times New Roman" w:hAnsi="Times New Roman"/>
          <w:sz w:val="30"/>
          <w:szCs w:val="30"/>
          <w:rtl w:val="0"/>
          <w:lang w:val="en-US"/>
        </w:rPr>
        <w:t>s travels, missionary work, and preachings were that of the death, the resurrection, and the Lordship of Jesus, and promoting the belief that having faith in Jesus would guarantee a sharing of Jesus</w:t>
      </w:r>
      <w:r>
        <w:rPr>
          <w:rFonts w:ascii="Times New Roman" w:hAnsi="Times New Roman" w:hint="default"/>
          <w:sz w:val="30"/>
          <w:szCs w:val="30"/>
          <w:rtl w:val="0"/>
          <w:lang w:val="en-US"/>
        </w:rPr>
        <w:t xml:space="preserve">’ </w:t>
      </w:r>
      <w:r>
        <w:rPr>
          <w:rFonts w:ascii="Times New Roman" w:hAnsi="Times New Roman"/>
          <w:sz w:val="30"/>
          <w:szCs w:val="30"/>
          <w:rtl w:val="0"/>
          <w:lang w:val="en-US"/>
        </w:rPr>
        <w:t>life, and therefore salvation;</w:t>
      </w:r>
      <w:r>
        <w:rPr>
          <w:rFonts w:ascii="Times New Roman" w:cs="Times New Roman" w:hAnsi="Times New Roman" w:eastAsia="Times New Roman"/>
          <w:sz w:val="30"/>
          <w:szCs w:val="30"/>
          <w:vertAlign w:val="superscript"/>
        </w:rPr>
        <w:footnoteReference w:id="22"/>
      </w:r>
      <w:r>
        <w:rPr>
          <w:rFonts w:ascii="Times New Roman" w:hAnsi="Times New Roman"/>
          <w:sz w:val="30"/>
          <w:szCs w:val="30"/>
          <w:rtl w:val="0"/>
          <w:lang w:val="en-US"/>
        </w:rPr>
        <w:t xml:space="preserve"> as well as delivering a message of self-control and sexual renunciation, that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those who choose the life of chastity will be saved.</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23"/>
      </w:r>
      <w:r>
        <w:rPr>
          <w:rFonts w:ascii="Times New Roman" w:hAnsi="Times New Roman"/>
          <w:sz w:val="30"/>
          <w:szCs w:val="30"/>
          <w:rtl w:val="0"/>
          <w:lang w:val="en-US"/>
        </w:rPr>
        <w:t xml:space="preserve"> On the subject of the Paul</w:t>
      </w:r>
      <w:r>
        <w:rPr>
          <w:rFonts w:ascii="Times New Roman" w:hAnsi="Times New Roman" w:hint="default"/>
          <w:sz w:val="30"/>
          <w:szCs w:val="30"/>
          <w:rtl w:val="0"/>
          <w:lang w:val="en-US"/>
        </w:rPr>
        <w:t>’</w:t>
      </w:r>
      <w:r>
        <w:rPr>
          <w:rFonts w:ascii="Times New Roman" w:hAnsi="Times New Roman"/>
          <w:sz w:val="30"/>
          <w:szCs w:val="30"/>
          <w:rtl w:val="0"/>
          <w:lang w:val="en-US"/>
        </w:rPr>
        <w:t>s teachings surrounding the death and sacrifice of Jesus, Encyclopaedia Britannica states that there are two interpretations of Paul</w:t>
      </w:r>
      <w:r>
        <w:rPr>
          <w:rFonts w:ascii="Times New Roman" w:hAnsi="Times New Roman" w:hint="default"/>
          <w:sz w:val="30"/>
          <w:szCs w:val="30"/>
          <w:rtl w:val="0"/>
          <w:lang w:val="en-US"/>
        </w:rPr>
        <w:t>’</w:t>
      </w:r>
      <w:r>
        <w:rPr>
          <w:rFonts w:ascii="Times New Roman" w:hAnsi="Times New Roman"/>
          <w:sz w:val="30"/>
          <w:szCs w:val="30"/>
          <w:rtl w:val="0"/>
          <w:lang w:val="en-US"/>
        </w:rPr>
        <w:t>s words, although differing, still both delivering Paul</w:t>
      </w:r>
      <w:r>
        <w:rPr>
          <w:rFonts w:ascii="Times New Roman" w:hAnsi="Times New Roman" w:hint="default"/>
          <w:sz w:val="30"/>
          <w:szCs w:val="30"/>
          <w:rtl w:val="0"/>
          <w:lang w:val="en-US"/>
        </w:rPr>
        <w:t>’</w:t>
      </w:r>
      <w:r>
        <w:rPr>
          <w:rFonts w:ascii="Times New Roman" w:hAnsi="Times New Roman"/>
          <w:sz w:val="30"/>
          <w:szCs w:val="30"/>
          <w:rtl w:val="0"/>
          <w:lang w:val="en-US"/>
        </w:rPr>
        <w:t>s message and both to be significantly important in Christology; The first of which is that Jesus sacrificed himself so that his followers and believers could be released of their sins and faults; the second interpretations is that those that are baptised into the belief of Jesus would also be baptised into his death, and thus be released of sin and faults to live with him upon their deaths.</w:t>
      </w:r>
      <w:r>
        <w:rPr>
          <w:rFonts w:ascii="Times New Roman" w:cs="Times New Roman" w:hAnsi="Times New Roman" w:eastAsia="Times New Roman"/>
          <w:sz w:val="30"/>
          <w:szCs w:val="30"/>
          <w:vertAlign w:val="superscript"/>
        </w:rPr>
        <w:footnoteReference w:id="24"/>
      </w:r>
      <w:r>
        <w:rPr>
          <w:rFonts w:ascii="Times New Roman" w:hAnsi="Times New Roman"/>
          <w:sz w:val="30"/>
          <w:szCs w:val="30"/>
          <w:rtl w:val="0"/>
          <w:lang w:val="en-US"/>
        </w:rPr>
        <w:t xml:space="preserve"> Paul would also, much like his apostle predecessors, preach of the Christian Message. The Encyclopaedia Britannica states the Christian Message as being:</w:t>
      </w:r>
    </w:p>
    <w:p>
      <w:pPr>
        <w:pStyle w:val="Body"/>
        <w:jc w:val="left"/>
        <w:rPr>
          <w:rFonts w:ascii="Times New Roman" w:cs="Times New Roman" w:hAnsi="Times New Roman" w:eastAsia="Times New Roman"/>
          <w:sz w:val="30"/>
          <w:szCs w:val="30"/>
        </w:rPr>
      </w:pPr>
    </w:p>
    <w:p>
      <w:pPr>
        <w:pStyle w:val="Body"/>
        <w:ind w:left="982"/>
        <w:jc w:val="both"/>
        <w:rPr>
          <w:rFonts w:ascii="Times New Roman" w:cs="Times New Roman" w:hAnsi="Times New Roman" w:eastAsia="Times New Roman"/>
          <w:i w:val="1"/>
          <w:iCs w:val="1"/>
          <w:sz w:val="30"/>
          <w:szCs w:val="30"/>
        </w:rPr>
      </w:pP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 xml:space="preserve">(1) God sent his Son; (2) the Son was crucified and resurrected for the benefit of humanity; (3) the Son would soon return; and (4) those who belonged to the Son would live with him forever. </w:t>
      </w:r>
      <w:r>
        <w:rPr>
          <w:rFonts w:ascii="Times New Roman" w:hAnsi="Times New Roman"/>
          <w:sz w:val="30"/>
          <w:szCs w:val="30"/>
          <w:rtl w:val="0"/>
          <w:lang w:val="en-US"/>
        </w:rPr>
        <w:t xml:space="preserve">[as well as including a fifth] </w:t>
      </w:r>
      <w:r>
        <w:rPr>
          <w:rFonts w:ascii="Times New Roman" w:hAnsi="Times New Roman"/>
          <w:i w:val="1"/>
          <w:iCs w:val="1"/>
          <w:sz w:val="30"/>
          <w:szCs w:val="30"/>
          <w:rtl w:val="0"/>
          <w:lang w:val="en-US"/>
        </w:rPr>
        <w:t xml:space="preserve">(5) the admonition to live by the highest moral standard: </w:t>
      </w:r>
      <w:r>
        <w:rPr>
          <w:rFonts w:ascii="Times New Roman" w:hAnsi="Times New Roman" w:hint="default"/>
          <w:sz w:val="30"/>
          <w:szCs w:val="30"/>
          <w:rtl w:val="0"/>
          <w:lang w:val="en-US"/>
        </w:rPr>
        <w:t>‘</w:t>
      </w:r>
      <w:r>
        <w:rPr>
          <w:rFonts w:ascii="Times New Roman" w:hAnsi="Times New Roman"/>
          <w:sz w:val="30"/>
          <w:szCs w:val="30"/>
          <w:rtl w:val="0"/>
          <w:lang w:val="en-US"/>
        </w:rPr>
        <w:t>may your spirit and soul and body be kept sound and blameless at the coming of our Lord Jesus Christ</w:t>
      </w:r>
      <w:r>
        <w:rPr>
          <w:rFonts w:ascii="Times New Roman" w:hAnsi="Times New Roman" w:hint="default"/>
          <w:sz w:val="30"/>
          <w:szCs w:val="30"/>
          <w:rtl w:val="0"/>
          <w:lang w:val="en-US"/>
        </w:rPr>
        <w:t>’</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25"/>
      </w:r>
    </w:p>
    <w:p>
      <w:pPr>
        <w:pStyle w:val="Body"/>
        <w:ind w:left="982"/>
        <w:jc w:val="left"/>
        <w:rPr>
          <w:rFonts w:ascii="Times New Roman" w:cs="Times New Roman" w:hAnsi="Times New Roman" w:eastAsia="Times New Roman"/>
          <w:i w:val="1"/>
          <w:iCs w:val="1"/>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It is with the fifth message that Paul was preaching that an ascetic lifestyle appears within his life and his teachings, promoting living life in a pious manner via his own lifestyle and by demanding the same piety of those that he converted and those who followed him on his missionary work and preaches. However, Paul</w:t>
      </w:r>
      <w:r>
        <w:rPr>
          <w:rFonts w:ascii="Times New Roman" w:hAnsi="Times New Roman" w:hint="default"/>
          <w:sz w:val="30"/>
          <w:szCs w:val="30"/>
          <w:rtl w:val="0"/>
          <w:lang w:val="en-US"/>
        </w:rPr>
        <w:t>’</w:t>
      </w:r>
      <w:r>
        <w:rPr>
          <w:rFonts w:ascii="Times New Roman" w:hAnsi="Times New Roman"/>
          <w:sz w:val="30"/>
          <w:szCs w:val="30"/>
          <w:rtl w:val="0"/>
          <w:lang w:val="en-US"/>
        </w:rPr>
        <w:t>s own piety seems to be caused by his strict Jewish upbringing as oppose to his conversion to a follow of the teachings of Christ. Part of Paul</w:t>
      </w:r>
      <w:r>
        <w:rPr>
          <w:rFonts w:ascii="Times New Roman" w:hAnsi="Times New Roman" w:hint="default"/>
          <w:sz w:val="30"/>
          <w:szCs w:val="30"/>
          <w:rtl w:val="0"/>
          <w:lang w:val="en-US"/>
        </w:rPr>
        <w:t>’</w:t>
      </w:r>
      <w:r>
        <w:rPr>
          <w:rFonts w:ascii="Times New Roman" w:hAnsi="Times New Roman"/>
          <w:sz w:val="30"/>
          <w:szCs w:val="30"/>
          <w:rtl w:val="0"/>
          <w:lang w:val="en-US"/>
        </w:rPr>
        <w:t xml:space="preserve">s ascetic was the abstention of sexual </w:t>
      </w:r>
      <w:r>
        <w:rPr>
          <w:rFonts w:ascii="Times New Roman" w:hAnsi="Times New Roman" w:hint="default"/>
          <w:sz w:val="30"/>
          <w:szCs w:val="30"/>
          <w:rtl w:val="0"/>
          <w:lang w:val="en-US"/>
        </w:rPr>
        <w:t>‘</w:t>
      </w:r>
      <w:r>
        <w:rPr>
          <w:rFonts w:ascii="Times New Roman" w:hAnsi="Times New Roman"/>
          <w:sz w:val="30"/>
          <w:szCs w:val="30"/>
          <w:rtl w:val="0"/>
          <w:lang w:val="en-US"/>
        </w:rPr>
        <w:t>misconduct</w:t>
      </w:r>
      <w:r>
        <w:rPr>
          <w:rFonts w:ascii="Times New Roman" w:hAnsi="Times New Roman" w:hint="default"/>
          <w:sz w:val="30"/>
          <w:szCs w:val="30"/>
          <w:rtl w:val="0"/>
          <w:lang w:val="en-US"/>
        </w:rPr>
        <w:t>’</w:t>
      </w:r>
      <w:r>
        <w:rPr>
          <w:rFonts w:ascii="Times New Roman" w:hAnsi="Times New Roman"/>
          <w:sz w:val="30"/>
          <w:szCs w:val="30"/>
          <w:rtl w:val="0"/>
          <w:lang w:val="en-US"/>
        </w:rPr>
        <w:t>, or practicing self-control with regards to sexual activity. Paul was opposed of a variety of sexual misconducts, such as prostitution (and therefore of the use of prostitutes), homosexuality, premarital sex, and marriage for the sole purpose of sexual relations. However, Paul was not against married couples having sex, or married couples having sex for other reasons other than for procreation,</w:t>
      </w:r>
      <w:r>
        <w:rPr>
          <w:rFonts w:ascii="Times New Roman" w:cs="Times New Roman" w:hAnsi="Times New Roman" w:eastAsia="Times New Roman"/>
          <w:sz w:val="30"/>
          <w:szCs w:val="30"/>
          <w:vertAlign w:val="superscript"/>
        </w:rPr>
        <w:footnoteReference w:id="26"/>
      </w:r>
      <w:r>
        <w:rPr>
          <w:rFonts w:ascii="Times New Roman" w:hAnsi="Times New Roman"/>
          <w:sz w:val="30"/>
          <w:szCs w:val="30"/>
          <w:rtl w:val="0"/>
          <w:lang w:val="en-US"/>
        </w:rPr>
        <w:t xml:space="preserve"> but in encouraging celibacy until marriage as a from of piety. </w:t>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However, premarital sex was not the only ascetic of Paul; he is often seen to abstain from food, or fasting, or asking his followers to fast as a form of piety so that miracles may occur. The Christian community of Damascus is said to have observed a period of fasting before Paul</w:t>
      </w:r>
      <w:r>
        <w:rPr>
          <w:rFonts w:ascii="Times New Roman" w:hAnsi="Times New Roman" w:hint="default"/>
          <w:sz w:val="30"/>
          <w:szCs w:val="30"/>
          <w:rtl w:val="0"/>
          <w:lang w:val="en-US"/>
        </w:rPr>
        <w:t>’</w:t>
      </w:r>
      <w:r>
        <w:rPr>
          <w:rFonts w:ascii="Times New Roman" w:hAnsi="Times New Roman"/>
          <w:sz w:val="30"/>
          <w:szCs w:val="30"/>
          <w:rtl w:val="0"/>
          <w:lang w:val="en-US"/>
        </w:rPr>
        <w:t>s arrival in the city, in accordance with his teachings.</w:t>
      </w:r>
      <w:r>
        <w:rPr>
          <w:rFonts w:ascii="Times New Roman" w:cs="Times New Roman" w:hAnsi="Times New Roman" w:eastAsia="Times New Roman"/>
          <w:sz w:val="30"/>
          <w:szCs w:val="30"/>
          <w:vertAlign w:val="superscript"/>
        </w:rPr>
        <w:footnoteReference w:id="27"/>
      </w:r>
      <w:r>
        <w:rPr>
          <w:rFonts w:ascii="Times New Roman" w:hAnsi="Times New Roman"/>
          <w:sz w:val="30"/>
          <w:szCs w:val="30"/>
          <w:rtl w:val="0"/>
          <w:lang w:val="en-US"/>
        </w:rPr>
        <w:t xml:space="preserve"> Paul, or the followers he was with, also committed to fasting in order perform miracles such as Paul and Onesiphorus, along with his wife and children, fasting so that Thecla would be saved from execution; Anchares fasting so that Paul may help bring his (Anchares) child back to life; as well as fasting on the journey to Rome so that Paul, and his followers, will be delivered from their impending persecution.</w:t>
      </w:r>
      <w:r>
        <w:rPr>
          <w:rFonts w:ascii="Times New Roman" w:cs="Times New Roman" w:hAnsi="Times New Roman" w:eastAsia="Times New Roman"/>
          <w:sz w:val="30"/>
          <w:szCs w:val="30"/>
          <w:vertAlign w:val="superscript"/>
        </w:rPr>
        <w:footnoteReference w:id="28"/>
      </w:r>
      <w:r>
        <w:rPr>
          <w:rFonts w:ascii="Times New Roman" w:hAnsi="Times New Roman"/>
          <w:sz w:val="30"/>
          <w:szCs w:val="30"/>
          <w:rtl w:val="0"/>
          <w:lang w:val="en-US"/>
        </w:rPr>
        <w:t xml:space="preserve">  </w:t>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During one of Paul</w:t>
      </w:r>
      <w:r>
        <w:rPr>
          <w:rFonts w:ascii="Times New Roman" w:hAnsi="Times New Roman" w:hint="default"/>
          <w:sz w:val="30"/>
          <w:szCs w:val="30"/>
          <w:rtl w:val="0"/>
          <w:lang w:val="en-US"/>
        </w:rPr>
        <w:t>’</w:t>
      </w:r>
      <w:r>
        <w:rPr>
          <w:rFonts w:ascii="Times New Roman" w:hAnsi="Times New Roman"/>
          <w:sz w:val="30"/>
          <w:szCs w:val="30"/>
          <w:rtl w:val="0"/>
          <w:lang w:val="en-US"/>
        </w:rPr>
        <w:t>s Sermons at Iconium on self-control and the resurrection, a young virgin named Thecla overheard his teachings, listening intently for three days; becoming so entrenched in Paul</w:t>
      </w:r>
      <w:r>
        <w:rPr>
          <w:rFonts w:ascii="Times New Roman" w:hAnsi="Times New Roman" w:hint="default"/>
          <w:sz w:val="30"/>
          <w:szCs w:val="30"/>
          <w:rtl w:val="0"/>
          <w:lang w:val="en-US"/>
        </w:rPr>
        <w:t>’</w:t>
      </w:r>
      <w:r>
        <w:rPr>
          <w:rFonts w:ascii="Times New Roman" w:hAnsi="Times New Roman"/>
          <w:sz w:val="30"/>
          <w:szCs w:val="30"/>
          <w:rtl w:val="0"/>
          <w:lang w:val="en-US"/>
        </w:rPr>
        <w:t>s preach, much like many of the other women and virgin onlookers, she would abandon her life at home and her planned marriage to a man name Thamyris to live a life of celibacy and self control, and to follow Paul the Apostle and his teachings.</w:t>
      </w:r>
      <w:r>
        <w:rPr>
          <w:rFonts w:ascii="Times New Roman" w:cs="Times New Roman" w:hAnsi="Times New Roman" w:eastAsia="Times New Roman"/>
          <w:sz w:val="30"/>
          <w:szCs w:val="30"/>
          <w:vertAlign w:val="superscript"/>
        </w:rPr>
        <w:footnoteReference w:id="29"/>
      </w:r>
      <w:r>
        <w:rPr>
          <w:rFonts w:ascii="Times New Roman" w:cs="Times New Roman" w:hAnsi="Times New Roman" w:eastAsia="Times New Roman"/>
          <w:sz w:val="30"/>
          <w:szCs w:val="30"/>
          <w:vertAlign w:val="superscript"/>
        </w:rPr>
        <w:footnoteReference w:id="30"/>
      </w:r>
      <w:r>
        <w:rPr>
          <w:rFonts w:ascii="Times New Roman" w:hAnsi="Times New Roman"/>
          <w:sz w:val="30"/>
          <w:szCs w:val="30"/>
          <w:rtl w:val="0"/>
          <w:lang w:val="en-US"/>
        </w:rPr>
        <w:t xml:space="preserve"> Thamyris, disgruntled by Thecla</w:t>
      </w:r>
      <w:r>
        <w:rPr>
          <w:rFonts w:ascii="Times New Roman" w:hAnsi="Times New Roman" w:hint="default"/>
          <w:sz w:val="30"/>
          <w:szCs w:val="30"/>
          <w:rtl w:val="0"/>
          <w:lang w:val="en-US"/>
        </w:rPr>
        <w:t>’</w:t>
      </w:r>
      <w:r>
        <w:rPr>
          <w:rFonts w:ascii="Times New Roman" w:hAnsi="Times New Roman"/>
          <w:sz w:val="30"/>
          <w:szCs w:val="30"/>
          <w:rtl w:val="0"/>
          <w:lang w:val="en-US"/>
        </w:rPr>
        <w:t>s rebuff of him and her own family, and Thecla</w:t>
      </w:r>
      <w:r>
        <w:rPr>
          <w:rFonts w:ascii="Times New Roman" w:hAnsi="Times New Roman" w:hint="default"/>
          <w:sz w:val="30"/>
          <w:szCs w:val="30"/>
          <w:rtl w:val="0"/>
          <w:lang w:val="en-US"/>
        </w:rPr>
        <w:t>’</w:t>
      </w:r>
      <w:r>
        <w:rPr>
          <w:rFonts w:ascii="Times New Roman" w:hAnsi="Times New Roman"/>
          <w:sz w:val="30"/>
          <w:szCs w:val="30"/>
          <w:rtl w:val="0"/>
          <w:lang w:val="en-US"/>
        </w:rPr>
        <w:t>s own mother, Theocleia, take her before the local authorities who condemn her to death by burning at the stake; however, she is miraculously saved from death and is freed of her charges, where she begins her journey to join Paul on his missions, convinced that she saw a vision of God in the from of Paul which saved her from the flames of the pyre to which she had been sentenced to.</w:t>
      </w:r>
      <w:r>
        <w:rPr>
          <w:rFonts w:ascii="Times New Roman" w:cs="Times New Roman" w:hAnsi="Times New Roman" w:eastAsia="Times New Roman"/>
          <w:sz w:val="30"/>
          <w:szCs w:val="30"/>
          <w:vertAlign w:val="superscript"/>
        </w:rPr>
        <w:footnoteReference w:id="31"/>
      </w:r>
      <w:r>
        <w:rPr>
          <w:rFonts w:ascii="Times New Roman" w:hAnsi="Times New Roman"/>
          <w:sz w:val="30"/>
          <w:szCs w:val="30"/>
          <w:rtl w:val="0"/>
          <w:lang w:val="en-US"/>
        </w:rPr>
        <w:t xml:space="preserve"> Despite her pledge of celibacy in the eyes of God, Thecla had to endure the advances of men throughout her travels, which she adamantly refuses; including a time in Antioch where a man named Alexander believes her to be a prostitute, and Paul her pimp, which she fervently refuses, in line with her pledge of celibacy and Paul</w:t>
      </w:r>
      <w:r>
        <w:rPr>
          <w:rFonts w:ascii="Times New Roman" w:hAnsi="Times New Roman" w:hint="default"/>
          <w:sz w:val="30"/>
          <w:szCs w:val="30"/>
          <w:rtl w:val="0"/>
          <w:lang w:val="en-US"/>
        </w:rPr>
        <w:t>’</w:t>
      </w:r>
      <w:r>
        <w:rPr>
          <w:rFonts w:ascii="Times New Roman" w:hAnsi="Times New Roman"/>
          <w:sz w:val="30"/>
          <w:szCs w:val="30"/>
          <w:rtl w:val="0"/>
          <w:lang w:val="en-US"/>
        </w:rPr>
        <w:t>s stance on prostitution.</w:t>
      </w:r>
      <w:r>
        <w:rPr>
          <w:rFonts w:ascii="Times New Roman" w:cs="Times New Roman" w:hAnsi="Times New Roman" w:eastAsia="Times New Roman"/>
          <w:sz w:val="30"/>
          <w:szCs w:val="30"/>
          <w:vertAlign w:val="superscript"/>
        </w:rPr>
        <w:footnoteReference w:id="32"/>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Thecla</w:t>
      </w:r>
      <w:r>
        <w:rPr>
          <w:rFonts w:ascii="Times New Roman" w:hAnsi="Times New Roman" w:hint="default"/>
          <w:sz w:val="30"/>
          <w:szCs w:val="30"/>
          <w:rtl w:val="0"/>
          <w:lang w:val="en-US"/>
        </w:rPr>
        <w:t>’</w:t>
      </w:r>
      <w:r>
        <w:rPr>
          <w:rFonts w:ascii="Times New Roman" w:hAnsi="Times New Roman"/>
          <w:sz w:val="30"/>
          <w:szCs w:val="30"/>
          <w:rtl w:val="0"/>
          <w:lang w:val="en-US"/>
        </w:rPr>
        <w:t>s survival at the pyre in Iconium would not be the only miracle involving her, or the only time that she would be punished for her strict stance on living a life of celibacy. The Alexander who thought Thecla to be a prostitute, ashamed of how she had scorned his advances, went before the governor of Antioch to bring Thecla to trial for her actions against him, who in turn sentences her to death by beasts in the arena.</w:t>
      </w:r>
      <w:r>
        <w:rPr>
          <w:rFonts w:ascii="Times New Roman" w:cs="Times New Roman" w:hAnsi="Times New Roman" w:eastAsia="Times New Roman"/>
          <w:sz w:val="30"/>
          <w:szCs w:val="30"/>
          <w:vertAlign w:val="superscript"/>
        </w:rPr>
        <w:footnoteReference w:id="33"/>
      </w:r>
      <w:r>
        <w:rPr>
          <w:rFonts w:ascii="Times New Roman" w:hAnsi="Times New Roman"/>
          <w:sz w:val="30"/>
          <w:szCs w:val="30"/>
          <w:rtl w:val="0"/>
          <w:lang w:val="en-US"/>
        </w:rPr>
        <w:t xml:space="preserve"> Thecla prayed to God before being thrown into the arena, thanking him for her protection from the fire (of her execution in Iconium), for an Antiochene women named Tryphaena, and for her perseverance in her chastity. However, she did not pray to God for saviour from the beasts in the arena; although another miracle occurred: a lioness in the arena protected Thecla from the other beasts. Alexander and the Governor then released angry seals into a pit of water in the arena, throwing Thecla into the body of water too, which she baptised herself within in the name of God, and was once again protected by the ravenous beasts, this time by a lightening bolt which killed the seals, with a plume of smoke appearing so as to cover nudity. For a third time, Alexander and the Governor sought to have Thecla executed, this time with angry bulls, with fire beneath their stomachs to provoke them further, whilst Thecla was tied to a stake; but once again she was saved, the fires engulfing her and providing her clothing for modesty. Upon the performance of these miracles that saved her from death, the Governor released Thecla to the joys and cheers of the female populous in attendance, including Tryphaena,</w:t>
      </w:r>
      <w:r>
        <w:rPr>
          <w:rFonts w:ascii="Times New Roman" w:cs="Times New Roman" w:hAnsi="Times New Roman" w:eastAsia="Times New Roman"/>
          <w:sz w:val="30"/>
          <w:szCs w:val="30"/>
          <w:vertAlign w:val="superscript"/>
        </w:rPr>
        <w:footnoteReference w:id="34"/>
      </w:r>
      <w:r>
        <w:rPr>
          <w:rFonts w:ascii="Times New Roman" w:cs="Times New Roman" w:hAnsi="Times New Roman" w:eastAsia="Times New Roman"/>
          <w:sz w:val="30"/>
          <w:szCs w:val="30"/>
          <w:vertAlign w:val="superscript"/>
        </w:rPr>
        <w:footnoteReference w:id="35"/>
      </w:r>
      <w:r>
        <w:rPr>
          <w:rFonts w:ascii="Times New Roman" w:hAnsi="Times New Roman"/>
          <w:sz w:val="30"/>
          <w:szCs w:val="30"/>
          <w:rtl w:val="0"/>
          <w:lang w:val="en-US"/>
        </w:rPr>
        <w:t xml:space="preserve"> who grants Thecla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all that is hers</w:t>
      </w:r>
      <w:r>
        <w:rPr>
          <w:rFonts w:ascii="Times New Roman" w:hAnsi="Times New Roman" w:hint="default"/>
          <w:i w:val="1"/>
          <w:iCs w:val="1"/>
          <w:sz w:val="30"/>
          <w:szCs w:val="30"/>
          <w:rtl w:val="0"/>
          <w:lang w:val="en-US"/>
        </w:rPr>
        <w:t xml:space="preserve">’ … </w:t>
      </w:r>
      <w:r>
        <w:rPr>
          <w:rFonts w:ascii="Times New Roman" w:hAnsi="Times New Roman"/>
          <w:sz w:val="30"/>
          <w:szCs w:val="30"/>
          <w:rtl w:val="0"/>
          <w:lang w:val="en-US"/>
        </w:rPr>
        <w:t xml:space="preserve">[enabling] </w:t>
      </w:r>
      <w:r>
        <w:rPr>
          <w:rFonts w:ascii="Times New Roman" w:hAnsi="Times New Roman"/>
          <w:i w:val="1"/>
          <w:iCs w:val="1"/>
          <w:sz w:val="30"/>
          <w:szCs w:val="30"/>
          <w:rtl w:val="0"/>
          <w:lang w:val="en-US"/>
        </w:rPr>
        <w:t>Thecla to lead an independent and autonomous life.</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36"/>
      </w:r>
      <w:r>
        <w:rPr>
          <w:rFonts w:ascii="Times New Roman" w:hAnsi="Times New Roman"/>
          <w:sz w:val="30"/>
          <w:szCs w:val="30"/>
          <w:rtl w:val="0"/>
          <w:lang w:val="en-US"/>
        </w:rPr>
        <w:t xml:space="preserve">   </w:t>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After surviving her trials and ordeal in Antioch, Thecla goes in search of Paul, who had been sent away from the city by Alexander and the Governor. When Thecla finally reaches Paul</w:t>
      </w:r>
      <w:r>
        <w:rPr>
          <w:rFonts w:ascii="Times New Roman" w:hAnsi="Times New Roman" w:hint="default"/>
          <w:sz w:val="30"/>
          <w:szCs w:val="30"/>
          <w:rtl w:val="0"/>
          <w:lang w:val="en-US"/>
        </w:rPr>
        <w:t>’</w:t>
      </w:r>
      <w:r>
        <w:rPr>
          <w:rFonts w:ascii="Times New Roman" w:hAnsi="Times New Roman"/>
          <w:sz w:val="30"/>
          <w:szCs w:val="30"/>
          <w:rtl w:val="0"/>
          <w:lang w:val="en-US"/>
        </w:rPr>
        <w:t xml:space="preserve">s location, she tells him of her ordeal, how she had baptised herself, and of her intentions to return home to Iconium. For her journey, Paul tasks her to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Go and teach the word of God</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37"/>
      </w:r>
      <w:r>
        <w:rPr>
          <w:rFonts w:ascii="Times New Roman" w:hAnsi="Times New Roman"/>
          <w:sz w:val="30"/>
          <w:szCs w:val="30"/>
          <w:rtl w:val="0"/>
          <w:lang w:val="en-US"/>
        </w:rPr>
        <w:t>, which Thecla accepts and returns home before traveling to Seleucia,</w:t>
      </w:r>
      <w:r>
        <w:rPr>
          <w:rFonts w:ascii="Times New Roman" w:cs="Times New Roman" w:hAnsi="Times New Roman" w:eastAsia="Times New Roman"/>
          <w:sz w:val="30"/>
          <w:szCs w:val="30"/>
          <w:vertAlign w:val="superscript"/>
        </w:rPr>
        <w:footnoteReference w:id="38"/>
      </w:r>
      <w:r>
        <w:rPr>
          <w:rFonts w:ascii="Times New Roman" w:hAnsi="Times New Roman"/>
          <w:sz w:val="30"/>
          <w:szCs w:val="30"/>
          <w:rtl w:val="0"/>
          <w:lang w:val="en-US"/>
        </w:rPr>
        <w:t xml:space="preserve"> where she continued to preach the word of God and of the pure and celibate life, before finally passing away peacefully, untouched by man.</w:t>
      </w:r>
      <w:r>
        <w:rPr>
          <w:rFonts w:ascii="Times New Roman" w:cs="Times New Roman" w:hAnsi="Times New Roman" w:eastAsia="Times New Roman"/>
          <w:sz w:val="30"/>
          <w:szCs w:val="30"/>
          <w:vertAlign w:val="superscript"/>
        </w:rPr>
        <w:footnoteReference w:id="39"/>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u w:val="single"/>
        </w:rPr>
      </w:pPr>
      <w:r>
        <w:rPr>
          <w:rFonts w:ascii="Times New Roman" w:hAnsi="Times New Roman"/>
          <w:sz w:val="30"/>
          <w:szCs w:val="30"/>
          <w:u w:val="single"/>
          <w:rtl w:val="0"/>
          <w:lang w:val="en-US"/>
        </w:rPr>
        <w:t>Thecla</w:t>
      </w:r>
      <w:r>
        <w:rPr>
          <w:rFonts w:ascii="Times New Roman" w:hAnsi="Times New Roman" w:hint="default"/>
          <w:sz w:val="30"/>
          <w:szCs w:val="30"/>
          <w:u w:val="single"/>
          <w:rtl w:val="0"/>
          <w:lang w:val="en-US"/>
        </w:rPr>
        <w:t>’</w:t>
      </w:r>
      <w:r>
        <w:rPr>
          <w:rFonts w:ascii="Times New Roman" w:hAnsi="Times New Roman"/>
          <w:sz w:val="30"/>
          <w:szCs w:val="30"/>
          <w:u w:val="single"/>
          <w:rtl w:val="0"/>
          <w:lang w:val="en-US"/>
        </w:rPr>
        <w:t>s Legacy</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Although the anecdotes of Thecla</w:t>
      </w:r>
      <w:r>
        <w:rPr>
          <w:rFonts w:ascii="Times New Roman" w:hAnsi="Times New Roman" w:hint="default"/>
          <w:sz w:val="30"/>
          <w:szCs w:val="30"/>
          <w:rtl w:val="0"/>
          <w:lang w:val="en-US"/>
        </w:rPr>
        <w:t>’</w:t>
      </w:r>
      <w:r>
        <w:rPr>
          <w:rFonts w:ascii="Times New Roman" w:hAnsi="Times New Roman"/>
          <w:sz w:val="30"/>
          <w:szCs w:val="30"/>
          <w:rtl w:val="0"/>
          <w:lang w:val="en-US"/>
        </w:rPr>
        <w:t xml:space="preserve">s life and her miracles seem short compared to that of Paul, or the other apostles for that matter, the impact that her story and journey had for women sparked a legacy. Thecla set an example for women converting to the ever growing followers of Jesus Christ; that, through the renunciation of sex and marriage, salvation and piety could be obtained through a pure and ascetic lifestyle. Thecla illustrated this lifestyle by denouncing her engagement to Thamyris to become a disciple and follower of the teachings of Paul, by rejecting the social normality that was expected of women during this period of playing their role as housewife and child bearer, and by living an ascetic lifestyle through celibacy until passing away; the perpetual virgin. Thecla became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a model for the woman who, through baptism and asceticism, was restored to the image of a God who was neither male nor female.</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40"/>
      </w:r>
      <w:r>
        <w:rPr>
          <w:rFonts w:ascii="Times New Roman" w:hAnsi="Times New Roman"/>
          <w:sz w:val="30"/>
          <w:szCs w:val="30"/>
          <w:rtl w:val="0"/>
          <w:lang w:val="en-US"/>
        </w:rPr>
        <w:t xml:space="preserve"> Thecla</w:t>
      </w:r>
      <w:r>
        <w:rPr>
          <w:rFonts w:ascii="Times New Roman" w:hAnsi="Times New Roman" w:hint="default"/>
          <w:sz w:val="30"/>
          <w:szCs w:val="30"/>
          <w:rtl w:val="0"/>
          <w:lang w:val="en-US"/>
        </w:rPr>
        <w:t>’</w:t>
      </w:r>
      <w:r>
        <w:rPr>
          <w:rFonts w:ascii="Times New Roman" w:hAnsi="Times New Roman"/>
          <w:sz w:val="30"/>
          <w:szCs w:val="30"/>
          <w:rtl w:val="0"/>
          <w:lang w:val="en-US"/>
        </w:rPr>
        <w:t xml:space="preserve">s refusal to marry her betrothed, and live a life of celibacy, allowed her to live her life freely, to carry out her work as a missionary, and to live without restraint from a man or her family. This idea of an ascetic life, this model that Thecla was presenting, was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 xml:space="preserve">a device to to liberate women from the sexual demands of their husbands </w:t>
      </w:r>
      <w:r>
        <w:rPr>
          <w:rFonts w:ascii="Times New Roman" w:hAnsi="Times New Roman" w:hint="default"/>
          <w:i w:val="1"/>
          <w:iCs w:val="1"/>
          <w:sz w:val="30"/>
          <w:szCs w:val="30"/>
          <w:rtl w:val="0"/>
          <w:lang w:val="en-US"/>
        </w:rPr>
        <w:t xml:space="preserve">… </w:t>
      </w:r>
      <w:r>
        <w:rPr>
          <w:rFonts w:ascii="Times New Roman" w:hAnsi="Times New Roman"/>
          <w:i w:val="1"/>
          <w:iCs w:val="1"/>
          <w:sz w:val="30"/>
          <w:szCs w:val="30"/>
          <w:rtl w:val="0"/>
          <w:lang w:val="en-US"/>
        </w:rPr>
        <w:t xml:space="preserve">an escape from the villainous plots of parents </w:t>
      </w:r>
      <w:r>
        <w:rPr>
          <w:rFonts w:ascii="Times New Roman" w:hAnsi="Times New Roman" w:hint="default"/>
          <w:i w:val="1"/>
          <w:iCs w:val="1"/>
          <w:sz w:val="30"/>
          <w:szCs w:val="30"/>
          <w:rtl w:val="0"/>
          <w:lang w:val="en-US"/>
        </w:rPr>
        <w:t xml:space="preserve">… </w:t>
      </w:r>
      <w:r>
        <w:rPr>
          <w:rFonts w:ascii="Times New Roman" w:hAnsi="Times New Roman"/>
          <w:sz w:val="30"/>
          <w:szCs w:val="30"/>
          <w:rtl w:val="0"/>
          <w:lang w:val="en-US"/>
        </w:rPr>
        <w:t xml:space="preserve">[and] </w:t>
      </w:r>
      <w:r>
        <w:rPr>
          <w:rFonts w:ascii="Times New Roman" w:hAnsi="Times New Roman"/>
          <w:i w:val="1"/>
          <w:iCs w:val="1"/>
          <w:sz w:val="30"/>
          <w:szCs w:val="30"/>
          <w:rtl w:val="0"/>
          <w:lang w:val="en-US"/>
        </w:rPr>
        <w:t>gave women licence to teach and baptise</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41"/>
      </w:r>
      <w:r>
        <w:rPr>
          <w:rFonts w:ascii="Times New Roman" w:hAnsi="Times New Roman"/>
          <w:sz w:val="30"/>
          <w:szCs w:val="30"/>
          <w:rtl w:val="0"/>
          <w:lang w:val="en-US"/>
        </w:rPr>
        <w:t>; a life of liberty, free from the the urges of man, bestowed by the divine.</w:t>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The story of the life of Thecla also showcases that women do not need to break their chaste, or to marry for that matter, to enjoy a wholesome companionship with a man. Upon first hearing Paul</w:t>
      </w:r>
      <w:r>
        <w:rPr>
          <w:rFonts w:ascii="Times New Roman" w:hAnsi="Times New Roman" w:hint="default"/>
          <w:sz w:val="30"/>
          <w:szCs w:val="30"/>
          <w:rtl w:val="0"/>
          <w:lang w:val="en-US"/>
        </w:rPr>
        <w:t>’</w:t>
      </w:r>
      <w:r>
        <w:rPr>
          <w:rFonts w:ascii="Times New Roman" w:hAnsi="Times New Roman"/>
          <w:sz w:val="30"/>
          <w:szCs w:val="30"/>
          <w:rtl w:val="0"/>
          <w:lang w:val="en-US"/>
        </w:rPr>
        <w:t>s sermons in Iconium, Thecla had set about to follow the Apostle, not out of lust or desire, but for want of knowledge of Jesus and salvation so that she may also spread the word of the Lord; showing know interest in pleasures from sexual activity, but to love Paul as a guide and a mentor in piety; a platonic love that would eventually be reciprocated by Paul after Thecla</w:t>
      </w:r>
      <w:r>
        <w:rPr>
          <w:rFonts w:ascii="Times New Roman" w:hAnsi="Times New Roman" w:hint="default"/>
          <w:sz w:val="30"/>
          <w:szCs w:val="30"/>
          <w:rtl w:val="0"/>
          <w:lang w:val="en-US"/>
        </w:rPr>
        <w:t>’</w:t>
      </w:r>
      <w:r>
        <w:rPr>
          <w:rFonts w:ascii="Times New Roman" w:hAnsi="Times New Roman"/>
          <w:sz w:val="30"/>
          <w:szCs w:val="30"/>
          <w:rtl w:val="0"/>
          <w:lang w:val="en-US"/>
        </w:rPr>
        <w:t>s own baptism. In her story, Thecla is even seen bribing her way into Paul</w:t>
      </w:r>
      <w:r>
        <w:rPr>
          <w:rFonts w:ascii="Times New Roman" w:hAnsi="Times New Roman" w:hint="default"/>
          <w:sz w:val="30"/>
          <w:szCs w:val="30"/>
          <w:rtl w:val="0"/>
          <w:lang w:val="en-US"/>
        </w:rPr>
        <w:t>’</w:t>
      </w:r>
      <w:r>
        <w:rPr>
          <w:rFonts w:ascii="Times New Roman" w:hAnsi="Times New Roman"/>
          <w:sz w:val="30"/>
          <w:szCs w:val="30"/>
          <w:rtl w:val="0"/>
          <w:lang w:val="en-US"/>
        </w:rPr>
        <w:t xml:space="preserve">s jail cell in Iconium so as to be with him; not sexually, but to listen to his words, with scholars and interpreters noting that </w:t>
      </w:r>
      <w:r>
        <w:rPr>
          <w:rFonts w:ascii="Times New Roman" w:hAnsi="Times New Roman" w:hint="default"/>
          <w:i w:val="1"/>
          <w:iCs w:val="1"/>
          <w:sz w:val="30"/>
          <w:szCs w:val="30"/>
          <w:rtl w:val="0"/>
          <w:lang w:val="en-US"/>
        </w:rPr>
        <w:t>“</w:t>
      </w:r>
      <w:r>
        <w:rPr>
          <w:rFonts w:ascii="Times New Roman" w:hAnsi="Times New Roman"/>
          <w:sz w:val="30"/>
          <w:szCs w:val="30"/>
          <w:rtl w:val="0"/>
          <w:lang w:val="en-US"/>
        </w:rPr>
        <w:t>[this]</w:t>
      </w:r>
      <w:r>
        <w:rPr>
          <w:rFonts w:ascii="Times New Roman" w:hAnsi="Times New Roman"/>
          <w:i w:val="1"/>
          <w:iCs w:val="1"/>
          <w:sz w:val="30"/>
          <w:szCs w:val="30"/>
          <w:rtl w:val="0"/>
          <w:lang w:val="en-US"/>
        </w:rPr>
        <w:t xml:space="preserve"> story </w:t>
      </w:r>
      <w:r>
        <w:rPr>
          <w:rFonts w:ascii="Times New Roman" w:hAnsi="Times New Roman" w:hint="default"/>
          <w:i w:val="1"/>
          <w:iCs w:val="1"/>
          <w:sz w:val="30"/>
          <w:szCs w:val="30"/>
          <w:rtl w:val="0"/>
          <w:lang w:val="en-US"/>
        </w:rPr>
        <w:t xml:space="preserve">… </w:t>
      </w:r>
      <w:r>
        <w:rPr>
          <w:rFonts w:ascii="Times New Roman" w:hAnsi="Times New Roman"/>
          <w:i w:val="1"/>
          <w:iCs w:val="1"/>
          <w:sz w:val="30"/>
          <w:szCs w:val="30"/>
          <w:rtl w:val="0"/>
          <w:lang w:val="en-US"/>
        </w:rPr>
        <w:t>is as much about the displacement of sexual desire as its renunciation.</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42"/>
      </w:r>
      <w:r>
        <w:rPr>
          <w:rFonts w:ascii="Times New Roman" w:hAnsi="Times New Roman"/>
          <w:i w:val="1"/>
          <w:iCs w:val="1"/>
          <w:sz w:val="30"/>
          <w:szCs w:val="30"/>
          <w:rtl w:val="0"/>
          <w:lang w:val="en-US"/>
        </w:rPr>
        <w:t xml:space="preserve"> </w:t>
      </w:r>
      <w:r>
        <w:rPr>
          <w:rFonts w:ascii="Times New Roman" w:hAnsi="Times New Roman"/>
          <w:sz w:val="30"/>
          <w:szCs w:val="30"/>
          <w:rtl w:val="0"/>
          <w:lang w:val="en-US"/>
        </w:rPr>
        <w:t xml:space="preserve">However, other scholars, such as Hansen, paints a picture of Paul as an unwilling reciprocate of the platonic love of Thecla that does not wish for her to follow him (due to being a female), claiming that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Paul</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s lack of support makes him an unattractive figure</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43"/>
      </w:r>
      <w:r>
        <w:rPr>
          <w:rFonts w:ascii="Times New Roman" w:hAnsi="Times New Roman"/>
          <w:i w:val="1"/>
          <w:iCs w:val="1"/>
          <w:sz w:val="30"/>
          <w:szCs w:val="30"/>
          <w:rtl w:val="0"/>
          <w:lang w:val="en-US"/>
        </w:rPr>
        <w:t xml:space="preserve"> </w:t>
      </w:r>
      <w:r>
        <w:rPr>
          <w:rFonts w:ascii="Times New Roman" w:hAnsi="Times New Roman"/>
          <w:sz w:val="30"/>
          <w:szCs w:val="30"/>
          <w:rtl w:val="0"/>
          <w:lang w:val="en-US"/>
        </w:rPr>
        <w:t>even stating that, during the pair</w:t>
      </w:r>
      <w:r>
        <w:rPr>
          <w:rFonts w:ascii="Times New Roman" w:hAnsi="Times New Roman" w:hint="default"/>
          <w:sz w:val="30"/>
          <w:szCs w:val="30"/>
          <w:rtl w:val="0"/>
          <w:lang w:val="en-US"/>
        </w:rPr>
        <w:t>’</w:t>
      </w:r>
      <w:r>
        <w:rPr>
          <w:rFonts w:ascii="Times New Roman" w:hAnsi="Times New Roman"/>
          <w:sz w:val="30"/>
          <w:szCs w:val="30"/>
          <w:rtl w:val="0"/>
          <w:lang w:val="en-US"/>
        </w:rPr>
        <w:t xml:space="preserve">s first encounter with Alexander in Antioch where they are mistaken for a prostitute and pimp,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he does not linger in Antioch during Thecla</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 xml:space="preserve">s </w:t>
      </w:r>
      <w:r>
        <w:rPr>
          <w:rFonts w:ascii="Times New Roman" w:hAnsi="Times New Roman"/>
          <w:sz w:val="30"/>
          <w:szCs w:val="30"/>
          <w:rtl w:val="0"/>
          <w:lang w:val="en-US"/>
        </w:rPr>
        <w:t>[trials]</w:t>
      </w:r>
      <w:r>
        <w:rPr>
          <w:rFonts w:ascii="Times New Roman" w:hAnsi="Times New Roman"/>
          <w:i w:val="1"/>
          <w:iCs w:val="1"/>
          <w:sz w:val="30"/>
          <w:szCs w:val="30"/>
          <w:rtl w:val="0"/>
          <w:lang w:val="en-US"/>
        </w:rPr>
        <w:t>, and it is cowardice when, in response to Alexander</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 xml:space="preserve">s inquiry, he </w:t>
      </w:r>
      <w:r>
        <w:rPr>
          <w:rFonts w:ascii="Times New Roman" w:hAnsi="Times New Roman"/>
          <w:sz w:val="30"/>
          <w:szCs w:val="30"/>
          <w:rtl w:val="0"/>
          <w:lang w:val="en-US"/>
        </w:rPr>
        <w:t xml:space="preserve">[Paul] </w:t>
      </w:r>
      <w:r>
        <w:rPr>
          <w:rFonts w:ascii="Times New Roman" w:hAnsi="Times New Roman"/>
          <w:i w:val="1"/>
          <w:iCs w:val="1"/>
          <w:sz w:val="30"/>
          <w:szCs w:val="30"/>
          <w:rtl w:val="0"/>
          <w:lang w:val="en-US"/>
        </w:rPr>
        <w:t>denies even knowing Thecla</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44"/>
      </w:r>
      <w:r>
        <w:rPr>
          <w:rFonts w:ascii="Times New Roman" w:hAnsi="Times New Roman"/>
          <w:sz w:val="30"/>
          <w:szCs w:val="30"/>
          <w:rtl w:val="0"/>
          <w:lang w:val="en-US"/>
        </w:rPr>
        <w:t xml:space="preserve">, going on to call Paul a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feckless mentor</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45"/>
      </w:r>
      <w:r>
        <w:rPr>
          <w:rFonts w:ascii="Times New Roman" w:hAnsi="Times New Roman"/>
          <w:sz w:val="30"/>
          <w:szCs w:val="30"/>
          <w:rtl w:val="0"/>
          <w:lang w:val="en-US"/>
        </w:rPr>
        <w:t xml:space="preserve"> despite Thecla</w:t>
      </w:r>
      <w:r>
        <w:rPr>
          <w:rFonts w:ascii="Times New Roman" w:hAnsi="Times New Roman" w:hint="default"/>
          <w:sz w:val="30"/>
          <w:szCs w:val="30"/>
          <w:rtl w:val="0"/>
          <w:lang w:val="en-US"/>
        </w:rPr>
        <w:t>’</w:t>
      </w:r>
      <w:r>
        <w:rPr>
          <w:rFonts w:ascii="Times New Roman" w:hAnsi="Times New Roman"/>
          <w:sz w:val="30"/>
          <w:szCs w:val="30"/>
          <w:rtl w:val="0"/>
          <w:lang w:val="en-US"/>
        </w:rPr>
        <w:t>s passion for religion being incited by him.</w:t>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Thecla</w:t>
      </w:r>
      <w:r>
        <w:rPr>
          <w:rFonts w:ascii="Times New Roman" w:hAnsi="Times New Roman" w:hint="default"/>
          <w:sz w:val="30"/>
          <w:szCs w:val="30"/>
          <w:rtl w:val="0"/>
          <w:lang w:val="en-US"/>
        </w:rPr>
        <w:t>’</w:t>
      </w:r>
      <w:r>
        <w:rPr>
          <w:rFonts w:ascii="Times New Roman" w:hAnsi="Times New Roman"/>
          <w:sz w:val="30"/>
          <w:szCs w:val="30"/>
          <w:rtl w:val="0"/>
          <w:lang w:val="en-US"/>
        </w:rPr>
        <w:t>s Legacy would continue long after her death though, with her and Paul</w:t>
      </w:r>
      <w:r>
        <w:rPr>
          <w:rFonts w:ascii="Times New Roman" w:hAnsi="Times New Roman" w:hint="default"/>
          <w:sz w:val="30"/>
          <w:szCs w:val="30"/>
          <w:rtl w:val="0"/>
          <w:lang w:val="en-US"/>
        </w:rPr>
        <w:t>’</w:t>
      </w:r>
      <w:r>
        <w:rPr>
          <w:rFonts w:ascii="Times New Roman" w:hAnsi="Times New Roman"/>
          <w:sz w:val="30"/>
          <w:szCs w:val="30"/>
          <w:rtl w:val="0"/>
          <w:lang w:val="en-US"/>
        </w:rPr>
        <w:t xml:space="preserve">s story being used as an example, by both men and women of the faith, to promote the rights of women to both teach and perform baptisms, with women following her example to lead a life of celibacy to teach the ways of the Lord and to baptise people into the faith. This idea would expand further into collectives of women living in Christian communities, setting aside sexual activities and men, taking on the </w:t>
      </w:r>
      <w:r>
        <w:rPr>
          <w:rFonts w:ascii="Times New Roman" w:hAnsi="Times New Roman" w:hint="default"/>
          <w:sz w:val="30"/>
          <w:szCs w:val="30"/>
          <w:rtl w:val="0"/>
          <w:lang w:val="en-US"/>
        </w:rPr>
        <w:t>‘</w:t>
      </w:r>
      <w:r>
        <w:rPr>
          <w:rFonts w:ascii="Times New Roman" w:hAnsi="Times New Roman"/>
          <w:sz w:val="30"/>
          <w:szCs w:val="30"/>
          <w:rtl w:val="0"/>
          <w:lang w:val="en-US"/>
        </w:rPr>
        <w:t>male</w:t>
      </w:r>
      <w:r>
        <w:rPr>
          <w:rFonts w:ascii="Times New Roman" w:hAnsi="Times New Roman" w:hint="default"/>
          <w:sz w:val="30"/>
          <w:szCs w:val="30"/>
          <w:rtl w:val="0"/>
          <w:lang w:val="en-US"/>
        </w:rPr>
        <w:t xml:space="preserve">’ </w:t>
      </w:r>
      <w:r>
        <w:rPr>
          <w:rFonts w:ascii="Times New Roman" w:hAnsi="Times New Roman"/>
          <w:sz w:val="30"/>
          <w:szCs w:val="30"/>
          <w:rtl w:val="0"/>
          <w:lang w:val="en-US"/>
        </w:rPr>
        <w:t xml:space="preserve">duties themselves as strong independent women, with these communities appearing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in places as far apart as Rome and Africa.</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46"/>
      </w:r>
      <w:r>
        <w:rPr>
          <w:rFonts w:ascii="Times New Roman" w:hAnsi="Times New Roman"/>
          <w:i w:val="1"/>
          <w:iCs w:val="1"/>
          <w:sz w:val="30"/>
          <w:szCs w:val="30"/>
          <w:rtl w:val="0"/>
          <w:lang w:val="en-US"/>
        </w:rPr>
        <w:t xml:space="preserve"> </w:t>
      </w:r>
      <w:r>
        <w:rPr>
          <w:rFonts w:ascii="Times New Roman" w:hAnsi="Times New Roman"/>
          <w:sz w:val="30"/>
          <w:szCs w:val="30"/>
          <w:rtl w:val="0"/>
          <w:lang w:val="en-US"/>
        </w:rPr>
        <w:t xml:space="preserve">As this </w:t>
      </w:r>
      <w:r>
        <w:rPr>
          <w:rFonts w:ascii="Times New Roman" w:hAnsi="Times New Roman" w:hint="default"/>
          <w:sz w:val="30"/>
          <w:szCs w:val="30"/>
          <w:rtl w:val="0"/>
          <w:lang w:val="en-US"/>
        </w:rPr>
        <w:t>‘</w:t>
      </w:r>
      <w:r>
        <w:rPr>
          <w:rFonts w:ascii="Times New Roman" w:hAnsi="Times New Roman"/>
          <w:sz w:val="30"/>
          <w:szCs w:val="30"/>
          <w:rtl w:val="0"/>
          <w:lang w:val="en-US"/>
        </w:rPr>
        <w:t>cult</w:t>
      </w:r>
      <w:r>
        <w:rPr>
          <w:rFonts w:ascii="Times New Roman" w:hAnsi="Times New Roman" w:hint="default"/>
          <w:sz w:val="30"/>
          <w:szCs w:val="30"/>
          <w:rtl w:val="0"/>
          <w:lang w:val="en-US"/>
        </w:rPr>
        <w:t xml:space="preserve">’ </w:t>
      </w:r>
      <w:r>
        <w:rPr>
          <w:rFonts w:ascii="Times New Roman" w:hAnsi="Times New Roman"/>
          <w:sz w:val="30"/>
          <w:szCs w:val="30"/>
          <w:rtl w:val="0"/>
          <w:lang w:val="en-US"/>
        </w:rPr>
        <w:t xml:space="preserve">spread, so did the principles that it was built upon; with the meaning of virginity changing with it. It would begin to appear as an aspect of consent on the behalf of the female; so that the female was still </w:t>
      </w:r>
      <w:r>
        <w:rPr>
          <w:rFonts w:ascii="Times New Roman" w:hAnsi="Times New Roman" w:hint="default"/>
          <w:sz w:val="30"/>
          <w:szCs w:val="30"/>
          <w:rtl w:val="0"/>
          <w:lang w:val="en-US"/>
        </w:rPr>
        <w:t>‘</w:t>
      </w:r>
      <w:r>
        <w:rPr>
          <w:rFonts w:ascii="Times New Roman" w:hAnsi="Times New Roman"/>
          <w:sz w:val="30"/>
          <w:szCs w:val="30"/>
          <w:rtl w:val="0"/>
          <w:lang w:val="en-US"/>
        </w:rPr>
        <w:t>pure</w:t>
      </w:r>
      <w:r>
        <w:rPr>
          <w:rFonts w:ascii="Times New Roman" w:hAnsi="Times New Roman" w:hint="default"/>
          <w:sz w:val="30"/>
          <w:szCs w:val="30"/>
          <w:rtl w:val="0"/>
          <w:lang w:val="en-US"/>
        </w:rPr>
        <w:t>’</w:t>
      </w:r>
      <w:r>
        <w:rPr>
          <w:rFonts w:ascii="Times New Roman" w:hAnsi="Times New Roman"/>
          <w:sz w:val="30"/>
          <w:szCs w:val="30"/>
          <w:rtl w:val="0"/>
          <w:lang w:val="en-US"/>
        </w:rPr>
        <w:t>, like a virgin, if she had given herself willingly to a partner, for example such as widows and divorcees, before beginning a life of celibacy.</w:t>
      </w:r>
      <w:r>
        <w:rPr>
          <w:rFonts w:ascii="Times New Roman" w:cs="Times New Roman" w:hAnsi="Times New Roman" w:eastAsia="Times New Roman"/>
          <w:sz w:val="30"/>
          <w:szCs w:val="30"/>
          <w:vertAlign w:val="superscript"/>
        </w:rPr>
        <w:footnoteReference w:id="47"/>
      </w:r>
      <w:r>
        <w:rPr>
          <w:rFonts w:ascii="Times New Roman" w:hAnsi="Times New Roman"/>
          <w:sz w:val="30"/>
          <w:szCs w:val="30"/>
          <w:rtl w:val="0"/>
          <w:lang w:val="en-US"/>
        </w:rPr>
        <w:t xml:space="preserve"> </w:t>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This cult surrounding the person and the principles of Thecla clearly gained a substantial enough following, with a shrine dedicated to her appearing in Seleucia, where she spent her final days. The hilltop shrine, named Hagia Thekla, dates back to at least the Fourth Century as a site of pilgrimage for those followers of the cult of Thecla, but may have been a place of worship earlier.</w:t>
      </w:r>
      <w:r>
        <w:rPr>
          <w:rFonts w:ascii="Times New Roman" w:cs="Times New Roman" w:hAnsi="Times New Roman" w:eastAsia="Times New Roman"/>
          <w:sz w:val="30"/>
          <w:szCs w:val="30"/>
          <w:vertAlign w:val="superscript"/>
        </w:rPr>
        <w:footnoteReference w:id="48"/>
      </w:r>
      <w:r>
        <w:rPr>
          <w:rFonts w:ascii="Times New Roman" w:hAnsi="Times New Roman"/>
          <w:sz w:val="30"/>
          <w:szCs w:val="30"/>
          <w:rtl w:val="0"/>
          <w:lang w:val="en-US"/>
        </w:rPr>
        <w:t xml:space="preserve"> It was on the site of this shrine that the Emperor Zeno began the construction of a much larger church in dedication to Thecla around AD476</w:t>
      </w:r>
      <w:r>
        <w:rPr>
          <w:rFonts w:ascii="Times New Roman" w:cs="Times New Roman" w:hAnsi="Times New Roman" w:eastAsia="Times New Roman"/>
          <w:sz w:val="30"/>
          <w:szCs w:val="30"/>
          <w:vertAlign w:val="superscript"/>
        </w:rPr>
        <w:footnoteReference w:id="49"/>
      </w:r>
      <w:r>
        <w:rPr>
          <w:rFonts w:ascii="Times New Roman" w:hAnsi="Times New Roman"/>
          <w:sz w:val="30"/>
          <w:szCs w:val="30"/>
          <w:rtl w:val="0"/>
          <w:lang w:val="en-US"/>
        </w:rPr>
        <w:t>, after she had supposedly appeared to the, at the time, usurped Emperor whilst he was in the region, promising him that he would soon be reinstated as Emperor.</w:t>
      </w:r>
      <w:r>
        <w:rPr>
          <w:rFonts w:ascii="Times New Roman" w:cs="Times New Roman" w:hAnsi="Times New Roman" w:eastAsia="Times New Roman"/>
          <w:sz w:val="30"/>
          <w:szCs w:val="30"/>
          <w:vertAlign w:val="superscript"/>
        </w:rPr>
        <w:footnoteReference w:id="50"/>
      </w:r>
      <w:r>
        <w:rPr>
          <w:rFonts w:ascii="Times New Roman" w:hAnsi="Times New Roman"/>
          <w:sz w:val="30"/>
          <w:szCs w:val="30"/>
          <w:rtl w:val="0"/>
          <w:lang w:val="en-US"/>
        </w:rPr>
        <w:t xml:space="preserve"> This newly founded, much larger church to Thecla would see her cult grow further, with a resurgence in writings about her life and miracles as part of the patronage towards her from Zeno, with vast amounts of pieces of literature surrounding her life coming out of the site throughout the remainder of the century; as well as promoting the site as a place of healing.</w:t>
      </w:r>
      <w:r>
        <w:rPr>
          <w:rFonts w:ascii="Times New Roman" w:cs="Times New Roman" w:hAnsi="Times New Roman" w:eastAsia="Times New Roman"/>
          <w:sz w:val="30"/>
          <w:szCs w:val="30"/>
          <w:vertAlign w:val="superscript"/>
        </w:rPr>
        <w:footnoteReference w:id="51"/>
      </w:r>
      <w:r>
        <w:rPr>
          <w:rFonts w:ascii="Times New Roman" w:hAnsi="Times New Roman"/>
          <w:sz w:val="30"/>
          <w:szCs w:val="30"/>
          <w:rtl w:val="0"/>
          <w:lang w:val="en-US"/>
        </w:rPr>
        <w:t xml:space="preserve"> Continuing into the Sixth century, the religious site continued to expand into a major hub of pilgrimage for worshipers of Thecla, and, by this point, the cult had a substantial following, </w:t>
      </w:r>
      <w:r>
        <w:rPr>
          <w:rFonts w:ascii="Times New Roman" w:hAnsi="Times New Roman"/>
          <w:sz w:val="30"/>
          <w:szCs w:val="30"/>
          <w:rtl w:val="0"/>
          <w:lang w:val="en-US"/>
        </w:rPr>
        <w:t>including smaller churches in dedication to her,</w:t>
      </w:r>
      <w:r>
        <w:rPr>
          <w:rFonts w:ascii="Times New Roman" w:hAnsi="Times New Roman"/>
          <w:sz w:val="30"/>
          <w:szCs w:val="30"/>
          <w:rtl w:val="0"/>
          <w:lang w:val="en-US"/>
        </w:rPr>
        <w:t xml:space="preserve"> across both the Eastern and Western Empires, as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 xml:space="preserve">Devotion </w:t>
      </w:r>
      <w:r>
        <w:rPr>
          <w:rFonts w:ascii="Times New Roman" w:hAnsi="Times New Roman" w:hint="default"/>
          <w:i w:val="1"/>
          <w:iCs w:val="1"/>
          <w:sz w:val="30"/>
          <w:szCs w:val="30"/>
          <w:rtl w:val="0"/>
          <w:lang w:val="en-US"/>
        </w:rPr>
        <w:t xml:space="preserve">… </w:t>
      </w:r>
      <w:r>
        <w:rPr>
          <w:rFonts w:ascii="Times New Roman" w:hAnsi="Times New Roman"/>
          <w:i w:val="1"/>
          <w:iCs w:val="1"/>
          <w:sz w:val="30"/>
          <w:szCs w:val="30"/>
          <w:rtl w:val="0"/>
          <w:lang w:val="en-US"/>
        </w:rPr>
        <w:t>was widespread in Egypt, Syria and even Rome.</w:t>
      </w:r>
      <w:r>
        <w:rPr>
          <w:rFonts w:ascii="Times New Roman" w:hAnsi="Times New Roman" w:hint="default"/>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52"/>
      </w:r>
      <w:r>
        <w:rPr>
          <w:rFonts w:ascii="Times New Roman" w:hAnsi="Times New Roman"/>
          <w:sz w:val="30"/>
          <w:szCs w:val="30"/>
          <w:rtl w:val="0"/>
          <w:lang w:val="en-US"/>
        </w:rPr>
        <w:t xml:space="preserve"> </w:t>
      </w:r>
    </w:p>
    <w:p>
      <w:pPr>
        <w:pStyle w:val="Body"/>
        <w:jc w:val="left"/>
        <w:rPr>
          <w:rFonts w:ascii="Times New Roman" w:cs="Times New Roman" w:hAnsi="Times New Roman" w:eastAsia="Times New Roman"/>
          <w:sz w:val="30"/>
          <w:szCs w:val="30"/>
        </w:rPr>
      </w:pPr>
      <w:r>
        <w:rPr>
          <w:rFonts w:ascii="Times New Roman" w:cs="Times New Roman" w:hAnsi="Times New Roman" w:eastAsia="Times New Roman"/>
          <w:sz w:val="30"/>
          <w:szCs w:val="30"/>
          <w:rtl w:val="0"/>
        </w:rPr>
        <w:tab/>
        <w:t xml:space="preserve">Thecla undoubtedly left a remarkable imprint of the Early Christian world, and what it meant to be a woman during that period, opening up opportunities for women to play a pivotal role in the teachings of Jesus, and as an example of how salvation may be achieved through living an ascetic life of purity. The example and strength that Thecla set via her life of celibacy, </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a celibate strength</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w:t>
      </w:r>
      <w:r>
        <w:rPr>
          <w:rFonts w:ascii="Times New Roman" w:cs="Times New Roman" w:hAnsi="Times New Roman" w:eastAsia="Times New Roman"/>
          <w:i w:val="1"/>
          <w:iCs w:val="1"/>
          <w:sz w:val="30"/>
          <w:szCs w:val="30"/>
          <w:vertAlign w:val="superscript"/>
        </w:rPr>
        <w:footnoteReference w:id="53"/>
      </w:r>
      <w:r>
        <w:rPr>
          <w:rFonts w:ascii="Times New Roman" w:hAnsi="Times New Roman"/>
          <w:sz w:val="30"/>
          <w:szCs w:val="30"/>
          <w:rtl w:val="0"/>
          <w:lang w:val="en-US"/>
        </w:rPr>
        <w:t xml:space="preserve"> would ring out throughout history; emulated by other powerful, celibate women such as Joan of Arc and Queen Elizabeth I.</w:t>
      </w:r>
    </w:p>
    <w:p>
      <w:pPr>
        <w:pStyle w:val="Body"/>
        <w:jc w:val="left"/>
      </w:pPr>
      <w:r>
        <w:rPr>
          <w:rFonts w:ascii="Arial Unicode MS" w:cs="Arial Unicode MS" w:hAnsi="Arial Unicode MS" w:eastAsia="Arial Unicode MS"/>
          <w:b w:val="0"/>
          <w:bCs w:val="0"/>
          <w:i w:val="0"/>
          <w:iCs w:val="0"/>
          <w:sz w:val="30"/>
          <w:szCs w:val="30"/>
        </w:rPr>
        <w:br w:type="page"/>
      </w:r>
    </w:p>
    <w:p>
      <w:pPr>
        <w:pStyle w:val="Body"/>
        <w:jc w:val="left"/>
        <w:rPr>
          <w:rFonts w:ascii="Times New Roman" w:cs="Times New Roman" w:hAnsi="Times New Roman" w:eastAsia="Times New Roman"/>
          <w:sz w:val="30"/>
          <w:szCs w:val="30"/>
          <w:u w:val="single"/>
        </w:rPr>
      </w:pPr>
      <w:r>
        <w:rPr>
          <w:rFonts w:ascii="Times New Roman" w:hAnsi="Times New Roman"/>
          <w:sz w:val="30"/>
          <w:szCs w:val="30"/>
          <w:u w:val="single"/>
          <w:rtl w:val="0"/>
          <w:lang w:val="en-US"/>
        </w:rPr>
        <w:t>Bibliography</w:t>
      </w: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Ancient Sources</w:t>
      </w: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Cicero, </w:t>
      </w:r>
      <w:r>
        <w:rPr>
          <w:rFonts w:ascii="Times New Roman" w:hAnsi="Times New Roman"/>
          <w:i w:val="1"/>
          <w:iCs w:val="1"/>
          <w:sz w:val="30"/>
          <w:szCs w:val="30"/>
          <w:rtl w:val="0"/>
          <w:lang w:val="en-US"/>
        </w:rPr>
        <w:t xml:space="preserve">The Nature of the Gods. </w:t>
      </w:r>
      <w:r>
        <w:rPr>
          <w:rFonts w:ascii="Times New Roman" w:hAnsi="Times New Roman"/>
          <w:sz w:val="30"/>
          <w:szCs w:val="30"/>
          <w:rtl w:val="0"/>
          <w:lang w:val="en-US"/>
        </w:rPr>
        <w:t>H. C. P. McGregor (trans.). 1972. London: The Penguin Group.</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Eusebius, </w:t>
      </w:r>
      <w:r>
        <w:rPr>
          <w:rFonts w:ascii="Times New Roman" w:hAnsi="Times New Roman"/>
          <w:i w:val="1"/>
          <w:iCs w:val="1"/>
          <w:sz w:val="30"/>
          <w:szCs w:val="30"/>
          <w:rtl w:val="0"/>
          <w:lang w:val="en-US"/>
        </w:rPr>
        <w:t xml:space="preserve">The History of the Church. </w:t>
      </w:r>
      <w:r>
        <w:rPr>
          <w:rFonts w:ascii="Times New Roman" w:hAnsi="Times New Roman"/>
          <w:sz w:val="30"/>
          <w:szCs w:val="30"/>
          <w:rtl w:val="0"/>
          <w:lang w:val="en-US"/>
        </w:rPr>
        <w:t>G. A. Williamson (trans.). 1989. London: The Penguin Group.</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Plutarch, </w:t>
      </w:r>
      <w:r>
        <w:rPr>
          <w:rFonts w:ascii="Times New Roman" w:hAnsi="Times New Roman"/>
          <w:i w:val="1"/>
          <w:iCs w:val="1"/>
          <w:sz w:val="30"/>
          <w:szCs w:val="30"/>
          <w:rtl w:val="0"/>
          <w:lang w:val="en-US"/>
        </w:rPr>
        <w:t xml:space="preserve">Fall of the Roman Republic. </w:t>
      </w:r>
      <w:r>
        <w:rPr>
          <w:rFonts w:ascii="Times New Roman" w:hAnsi="Times New Roman"/>
          <w:sz w:val="30"/>
          <w:szCs w:val="30"/>
          <w:rtl w:val="0"/>
          <w:lang w:val="en-US"/>
        </w:rPr>
        <w:t>R. Warner (trans.). 1986. Harmondsworth: Penguin Books LTD.</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Suetonius, </w:t>
      </w:r>
      <w:r>
        <w:rPr>
          <w:rFonts w:ascii="Times New Roman" w:hAnsi="Times New Roman"/>
          <w:i w:val="1"/>
          <w:iCs w:val="1"/>
          <w:sz w:val="30"/>
          <w:szCs w:val="30"/>
          <w:rtl w:val="0"/>
          <w:lang w:val="en-US"/>
        </w:rPr>
        <w:t xml:space="preserve">The Twelve Caesars. </w:t>
      </w:r>
      <w:r>
        <w:rPr>
          <w:rFonts w:ascii="Times New Roman" w:hAnsi="Times New Roman"/>
          <w:sz w:val="30"/>
          <w:szCs w:val="30"/>
          <w:rtl w:val="0"/>
          <w:lang w:val="en-US"/>
        </w:rPr>
        <w:t>R. Graves (trans.). 2007. London: The Penguin Group.</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Virgil, </w:t>
      </w:r>
      <w:r>
        <w:rPr>
          <w:rFonts w:ascii="Times New Roman" w:hAnsi="Times New Roman"/>
          <w:i w:val="1"/>
          <w:iCs w:val="1"/>
          <w:sz w:val="30"/>
          <w:szCs w:val="30"/>
          <w:rtl w:val="0"/>
          <w:lang w:val="en-US"/>
        </w:rPr>
        <w:t xml:space="preserve">The Aeneid. </w:t>
      </w:r>
      <w:r>
        <w:rPr>
          <w:rFonts w:ascii="Times New Roman" w:hAnsi="Times New Roman"/>
          <w:sz w:val="30"/>
          <w:szCs w:val="30"/>
          <w:rtl w:val="0"/>
          <w:lang w:val="en-US"/>
        </w:rPr>
        <w:t>D. West (trans.). 2003. London: The Penguin Group.</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Modern Scholarship</w:t>
      </w: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Allen, P. &amp; Hayward, C. T. R. 2004. </w:t>
      </w:r>
      <w:r>
        <w:rPr>
          <w:rFonts w:ascii="Times New Roman" w:hAnsi="Times New Roman"/>
          <w:i w:val="1"/>
          <w:iCs w:val="1"/>
          <w:sz w:val="30"/>
          <w:szCs w:val="30"/>
          <w:rtl w:val="0"/>
          <w:lang w:val="en-US"/>
        </w:rPr>
        <w:t xml:space="preserve">Severus of Antioch. </w:t>
      </w:r>
      <w:r>
        <w:rPr>
          <w:rFonts w:ascii="Times New Roman" w:hAnsi="Times New Roman"/>
          <w:sz w:val="30"/>
          <w:szCs w:val="30"/>
          <w:rtl w:val="0"/>
          <w:lang w:val="en-US"/>
        </w:rPr>
        <w:t>Abingdon: Routledge.</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BBC Home </w:t>
      </w:r>
      <w:r>
        <w:rPr>
          <w:rFonts w:ascii="Times New Roman" w:hAnsi="Times New Roman" w:hint="default"/>
          <w:sz w:val="30"/>
          <w:szCs w:val="30"/>
          <w:rtl w:val="0"/>
          <w:lang w:val="en-US"/>
        </w:rPr>
        <w:t>‘</w:t>
      </w:r>
      <w:r>
        <w:rPr>
          <w:rFonts w:ascii="Times New Roman" w:hAnsi="Times New Roman"/>
          <w:sz w:val="30"/>
          <w:szCs w:val="30"/>
          <w:rtl w:val="0"/>
          <w:lang w:val="en-US"/>
        </w:rPr>
        <w:t>Buddhism - An Introduction</w:t>
      </w:r>
      <w:r>
        <w:rPr>
          <w:rFonts w:ascii="Times New Roman" w:hAnsi="Times New Roman" w:hint="default"/>
          <w:sz w:val="30"/>
          <w:szCs w:val="30"/>
          <w:rtl w:val="0"/>
          <w:lang w:val="en-US"/>
        </w:rPr>
        <w:t xml:space="preserve">’ </w:t>
      </w:r>
      <w:r>
        <w:rPr>
          <w:rStyle w:val="Hyperlink.0"/>
          <w:rFonts w:ascii="Times New Roman" w:cs="Times New Roman" w:hAnsi="Times New Roman" w:eastAsia="Times New Roman"/>
          <w:sz w:val="30"/>
          <w:szCs w:val="30"/>
        </w:rPr>
        <w:fldChar w:fldCharType="begin" w:fldLock="0"/>
      </w:r>
      <w:r>
        <w:rPr>
          <w:rStyle w:val="Hyperlink.0"/>
          <w:rFonts w:ascii="Times New Roman" w:cs="Times New Roman" w:hAnsi="Times New Roman" w:eastAsia="Times New Roman"/>
          <w:sz w:val="30"/>
          <w:szCs w:val="30"/>
        </w:rPr>
        <w:instrText xml:space="preserve"> HYPERLINK "http://www.bbc.co.uk/schools/religion/buddhism/"</w:instrText>
      </w:r>
      <w:r>
        <w:rPr>
          <w:rStyle w:val="Hyperlink.0"/>
          <w:rFonts w:ascii="Times New Roman" w:cs="Times New Roman" w:hAnsi="Times New Roman" w:eastAsia="Times New Roman"/>
          <w:sz w:val="30"/>
          <w:szCs w:val="30"/>
        </w:rPr>
        <w:fldChar w:fldCharType="separate" w:fldLock="0"/>
      </w:r>
      <w:r>
        <w:rPr>
          <w:rStyle w:val="Hyperlink.0"/>
          <w:rFonts w:ascii="Times New Roman" w:hAnsi="Times New Roman"/>
          <w:sz w:val="30"/>
          <w:szCs w:val="30"/>
          <w:rtl w:val="0"/>
          <w:lang w:val="en-US"/>
        </w:rPr>
        <w:t>http://www.bbc.co.uk/schools/religion/buddhism/</w:t>
      </w:r>
      <w:r>
        <w:rPr>
          <w:rFonts w:ascii="Times New Roman" w:cs="Times New Roman" w:hAnsi="Times New Roman" w:eastAsia="Times New Roman"/>
          <w:sz w:val="30"/>
          <w:szCs w:val="30"/>
        </w:rPr>
        <w:fldChar w:fldCharType="end" w:fldLock="0"/>
      </w:r>
      <w:r>
        <w:rPr>
          <w:rFonts w:ascii="Times New Roman" w:hAnsi="Times New Roman"/>
          <w:sz w:val="30"/>
          <w:szCs w:val="30"/>
          <w:rtl w:val="0"/>
          <w:lang w:val="en-US"/>
        </w:rPr>
        <w:t xml:space="preserve"> [Accessed: 12th January 2019].</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BBC Home </w:t>
      </w:r>
      <w:r>
        <w:rPr>
          <w:rFonts w:ascii="Times New Roman" w:hAnsi="Times New Roman" w:hint="default"/>
          <w:sz w:val="30"/>
          <w:szCs w:val="30"/>
          <w:rtl w:val="0"/>
          <w:lang w:val="en-US"/>
        </w:rPr>
        <w:t>‘</w:t>
      </w:r>
      <w:r>
        <w:rPr>
          <w:rFonts w:ascii="Times New Roman" w:hAnsi="Times New Roman"/>
          <w:sz w:val="30"/>
          <w:szCs w:val="30"/>
          <w:rtl w:val="0"/>
          <w:lang w:val="en-US"/>
        </w:rPr>
        <w:t>Ramadan</w:t>
      </w:r>
      <w:r>
        <w:rPr>
          <w:rFonts w:ascii="Times New Roman" w:hAnsi="Times New Roman" w:hint="default"/>
          <w:sz w:val="30"/>
          <w:szCs w:val="30"/>
          <w:rtl w:val="0"/>
          <w:lang w:val="en-US"/>
        </w:rPr>
        <w:t xml:space="preserve">’ </w:t>
      </w:r>
      <w:r>
        <w:rPr>
          <w:rStyle w:val="Hyperlink.0"/>
          <w:rFonts w:ascii="Times New Roman" w:cs="Times New Roman" w:hAnsi="Times New Roman" w:eastAsia="Times New Roman"/>
          <w:sz w:val="30"/>
          <w:szCs w:val="30"/>
        </w:rPr>
        <w:fldChar w:fldCharType="begin" w:fldLock="0"/>
      </w:r>
      <w:r>
        <w:rPr>
          <w:rStyle w:val="Hyperlink.0"/>
          <w:rFonts w:ascii="Times New Roman" w:cs="Times New Roman" w:hAnsi="Times New Roman" w:eastAsia="Times New Roman"/>
          <w:sz w:val="30"/>
          <w:szCs w:val="30"/>
        </w:rPr>
        <w:instrText xml:space="preserve"> HYPERLINK "http://www.bbc.co.uk/schools/religion/islam/ramadan.shtml"</w:instrText>
      </w:r>
      <w:r>
        <w:rPr>
          <w:rStyle w:val="Hyperlink.0"/>
          <w:rFonts w:ascii="Times New Roman" w:cs="Times New Roman" w:hAnsi="Times New Roman" w:eastAsia="Times New Roman"/>
          <w:sz w:val="30"/>
          <w:szCs w:val="30"/>
        </w:rPr>
        <w:fldChar w:fldCharType="separate" w:fldLock="0"/>
      </w:r>
      <w:r>
        <w:rPr>
          <w:rStyle w:val="Hyperlink.0"/>
          <w:rFonts w:ascii="Times New Roman" w:hAnsi="Times New Roman"/>
          <w:sz w:val="30"/>
          <w:szCs w:val="30"/>
          <w:rtl w:val="0"/>
          <w:lang w:val="en-US"/>
        </w:rPr>
        <w:t>http://www.bbc.co.uk/schools/religion/islam/ramadan.shtml</w:t>
      </w:r>
      <w:r>
        <w:rPr>
          <w:rFonts w:ascii="Times New Roman" w:cs="Times New Roman" w:hAnsi="Times New Roman" w:eastAsia="Times New Roman"/>
          <w:sz w:val="30"/>
          <w:szCs w:val="30"/>
        </w:rPr>
        <w:fldChar w:fldCharType="end" w:fldLock="0"/>
      </w:r>
      <w:r>
        <w:rPr>
          <w:rFonts w:ascii="Times New Roman" w:hAnsi="Times New Roman"/>
          <w:sz w:val="30"/>
          <w:szCs w:val="30"/>
          <w:rtl w:val="0"/>
          <w:lang w:val="en-US"/>
        </w:rPr>
        <w:t xml:space="preserve"> [Accessed: 12th January 2019].</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Bremmer, J. N. 1996. </w:t>
      </w:r>
      <w:r>
        <w:rPr>
          <w:rFonts w:ascii="Times New Roman" w:hAnsi="Times New Roman"/>
          <w:i w:val="1"/>
          <w:iCs w:val="1"/>
          <w:sz w:val="30"/>
          <w:szCs w:val="30"/>
          <w:rtl w:val="0"/>
          <w:lang w:val="en-US"/>
        </w:rPr>
        <w:t xml:space="preserve">The Apocryphal Acts of Paul and Thecla. </w:t>
      </w:r>
      <w:r>
        <w:rPr>
          <w:rFonts w:ascii="Times New Roman" w:hAnsi="Times New Roman"/>
          <w:sz w:val="30"/>
          <w:szCs w:val="30"/>
          <w:rtl w:val="0"/>
          <w:lang w:val="en-US"/>
        </w:rPr>
        <w:t>Kampen: Kok Pharos Publishing House.</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Bremmer, J. N. 1998. </w:t>
      </w:r>
      <w:r>
        <w:rPr>
          <w:rFonts w:ascii="Times New Roman" w:hAnsi="Times New Roman"/>
          <w:i w:val="1"/>
          <w:iCs w:val="1"/>
          <w:sz w:val="30"/>
          <w:szCs w:val="30"/>
          <w:rtl w:val="0"/>
          <w:lang w:val="en-US"/>
        </w:rPr>
        <w:t xml:space="preserve">The Apocryphal Acts of Peter. </w:t>
      </w:r>
      <w:r>
        <w:rPr>
          <w:rFonts w:ascii="Times New Roman" w:hAnsi="Times New Roman"/>
          <w:sz w:val="30"/>
          <w:szCs w:val="30"/>
          <w:rtl w:val="0"/>
          <w:lang w:val="en-US"/>
        </w:rPr>
        <w:t>Leuven: Peeters.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Burrus, V. 1987. </w:t>
      </w:r>
      <w:r>
        <w:rPr>
          <w:rFonts w:ascii="Times New Roman" w:hAnsi="Times New Roman"/>
          <w:i w:val="1"/>
          <w:iCs w:val="1"/>
          <w:sz w:val="30"/>
          <w:szCs w:val="30"/>
          <w:rtl w:val="0"/>
          <w:lang w:val="en-US"/>
        </w:rPr>
        <w:t xml:space="preserve">Chastity as Autonomy: Women in the Stories of Apocryphal Acts. </w:t>
      </w:r>
      <w:r>
        <w:rPr>
          <w:rFonts w:ascii="Times New Roman" w:hAnsi="Times New Roman"/>
          <w:sz w:val="30"/>
          <w:szCs w:val="30"/>
          <w:rtl w:val="0"/>
          <w:lang w:val="en-US"/>
        </w:rPr>
        <w:t>Lewiston: The Edwin Mellen Press.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Cambridge Dictionary </w:t>
      </w:r>
      <w:r>
        <w:rPr>
          <w:rFonts w:ascii="Times New Roman" w:hAnsi="Times New Roman" w:hint="default"/>
          <w:sz w:val="30"/>
          <w:szCs w:val="30"/>
          <w:rtl w:val="0"/>
          <w:lang w:val="en-US"/>
        </w:rPr>
        <w:t>‘</w:t>
      </w:r>
      <w:r>
        <w:rPr>
          <w:rFonts w:ascii="Times New Roman" w:hAnsi="Times New Roman"/>
          <w:sz w:val="30"/>
          <w:szCs w:val="30"/>
          <w:rtl w:val="0"/>
          <w:lang w:val="en-US"/>
        </w:rPr>
        <w:t>Ascetic</w:t>
      </w:r>
      <w:r>
        <w:rPr>
          <w:rFonts w:ascii="Times New Roman" w:hAnsi="Times New Roman" w:hint="default"/>
          <w:sz w:val="30"/>
          <w:szCs w:val="30"/>
          <w:rtl w:val="0"/>
          <w:lang w:val="en-US"/>
        </w:rPr>
        <w:t xml:space="preserve">’ </w:t>
      </w:r>
      <w:r>
        <w:rPr>
          <w:rStyle w:val="Hyperlink.0"/>
          <w:rFonts w:ascii="Times New Roman" w:cs="Times New Roman" w:hAnsi="Times New Roman" w:eastAsia="Times New Roman"/>
          <w:sz w:val="30"/>
          <w:szCs w:val="30"/>
        </w:rPr>
        <w:fldChar w:fldCharType="begin" w:fldLock="0"/>
      </w:r>
      <w:r>
        <w:rPr>
          <w:rStyle w:val="Hyperlink.0"/>
          <w:rFonts w:ascii="Times New Roman" w:cs="Times New Roman" w:hAnsi="Times New Roman" w:eastAsia="Times New Roman"/>
          <w:sz w:val="30"/>
          <w:szCs w:val="30"/>
        </w:rPr>
        <w:instrText xml:space="preserve"> HYPERLINK "https://dictionary.cambridge.org/dictionary/english/ascetic?q=asceticism"</w:instrText>
      </w:r>
      <w:r>
        <w:rPr>
          <w:rStyle w:val="Hyperlink.0"/>
          <w:rFonts w:ascii="Times New Roman" w:cs="Times New Roman" w:hAnsi="Times New Roman" w:eastAsia="Times New Roman"/>
          <w:sz w:val="30"/>
          <w:szCs w:val="30"/>
        </w:rPr>
        <w:fldChar w:fldCharType="separate" w:fldLock="0"/>
      </w:r>
      <w:r>
        <w:rPr>
          <w:rStyle w:val="Hyperlink.0"/>
          <w:rFonts w:ascii="Times New Roman" w:hAnsi="Times New Roman"/>
          <w:sz w:val="30"/>
          <w:szCs w:val="30"/>
          <w:rtl w:val="0"/>
          <w:lang w:val="en-US"/>
        </w:rPr>
        <w:t>https://dictionary.cambridge.org/dictionary/english/ascetic?q=asceticism</w:t>
      </w:r>
      <w:r>
        <w:rPr>
          <w:rFonts w:ascii="Times New Roman" w:cs="Times New Roman" w:hAnsi="Times New Roman" w:eastAsia="Times New Roman"/>
          <w:sz w:val="30"/>
          <w:szCs w:val="30"/>
        </w:rPr>
        <w:fldChar w:fldCharType="end" w:fldLock="0"/>
      </w:r>
      <w:r>
        <w:rPr>
          <w:rFonts w:ascii="Times New Roman" w:hAnsi="Times New Roman"/>
          <w:sz w:val="30"/>
          <w:szCs w:val="30"/>
          <w:rtl w:val="0"/>
          <w:lang w:val="en-US"/>
        </w:rPr>
        <w:t xml:space="preserve"> [Accessed: 115th January 2019]</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Cambridge Dictionary </w:t>
      </w:r>
      <w:r>
        <w:rPr>
          <w:rFonts w:ascii="Times New Roman" w:hAnsi="Times New Roman" w:hint="default"/>
          <w:sz w:val="30"/>
          <w:szCs w:val="30"/>
          <w:rtl w:val="0"/>
          <w:lang w:val="en-US"/>
        </w:rPr>
        <w:t>‘</w:t>
      </w:r>
      <w:r>
        <w:rPr>
          <w:rFonts w:ascii="Times New Roman" w:hAnsi="Times New Roman"/>
          <w:sz w:val="30"/>
          <w:szCs w:val="30"/>
          <w:rtl w:val="0"/>
          <w:lang w:val="en-US"/>
        </w:rPr>
        <w:t>Celibacy</w:t>
      </w:r>
      <w:r>
        <w:rPr>
          <w:rFonts w:ascii="Times New Roman" w:hAnsi="Times New Roman" w:hint="default"/>
          <w:sz w:val="30"/>
          <w:szCs w:val="30"/>
          <w:rtl w:val="0"/>
          <w:lang w:val="en-US"/>
        </w:rPr>
        <w:t xml:space="preserve">’ </w:t>
      </w:r>
      <w:r>
        <w:rPr>
          <w:rStyle w:val="Hyperlink.0"/>
          <w:rFonts w:ascii="Times New Roman" w:cs="Times New Roman" w:hAnsi="Times New Roman" w:eastAsia="Times New Roman"/>
          <w:sz w:val="30"/>
          <w:szCs w:val="30"/>
        </w:rPr>
        <w:fldChar w:fldCharType="begin" w:fldLock="0"/>
      </w:r>
      <w:r>
        <w:rPr>
          <w:rStyle w:val="Hyperlink.0"/>
          <w:rFonts w:ascii="Times New Roman" w:cs="Times New Roman" w:hAnsi="Times New Roman" w:eastAsia="Times New Roman"/>
          <w:sz w:val="30"/>
          <w:szCs w:val="30"/>
        </w:rPr>
        <w:instrText xml:space="preserve"> HYPERLINK "https://dictionary.cambridge.org/dictionary/english/celibacy"</w:instrText>
      </w:r>
      <w:r>
        <w:rPr>
          <w:rStyle w:val="Hyperlink.0"/>
          <w:rFonts w:ascii="Times New Roman" w:cs="Times New Roman" w:hAnsi="Times New Roman" w:eastAsia="Times New Roman"/>
          <w:sz w:val="30"/>
          <w:szCs w:val="30"/>
        </w:rPr>
        <w:fldChar w:fldCharType="separate" w:fldLock="0"/>
      </w:r>
      <w:r>
        <w:rPr>
          <w:rStyle w:val="Hyperlink.0"/>
          <w:rFonts w:ascii="Times New Roman" w:hAnsi="Times New Roman"/>
          <w:sz w:val="30"/>
          <w:szCs w:val="30"/>
          <w:rtl w:val="0"/>
          <w:lang w:val="en-US"/>
        </w:rPr>
        <w:t>https://dictionary.cambridge.org/dictionary/english/celibacy</w:t>
      </w:r>
      <w:r>
        <w:rPr>
          <w:rFonts w:ascii="Times New Roman" w:cs="Times New Roman" w:hAnsi="Times New Roman" w:eastAsia="Times New Roman"/>
          <w:sz w:val="30"/>
          <w:szCs w:val="30"/>
        </w:rPr>
        <w:fldChar w:fldCharType="end" w:fldLock="0"/>
      </w:r>
      <w:r>
        <w:rPr>
          <w:rFonts w:ascii="Times New Roman" w:hAnsi="Times New Roman"/>
          <w:sz w:val="30"/>
          <w:szCs w:val="30"/>
          <w:rtl w:val="0"/>
          <w:lang w:val="en-US"/>
        </w:rPr>
        <w:t xml:space="preserve"> [Accessed: 15th January 2019].</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Cambridge Dictionary </w:t>
      </w:r>
      <w:r>
        <w:rPr>
          <w:rFonts w:ascii="Times New Roman" w:hAnsi="Times New Roman" w:hint="default"/>
          <w:sz w:val="30"/>
          <w:szCs w:val="30"/>
          <w:rtl w:val="0"/>
          <w:lang w:val="en-US"/>
        </w:rPr>
        <w:t>‘</w:t>
      </w:r>
      <w:r>
        <w:rPr>
          <w:rFonts w:ascii="Times New Roman" w:hAnsi="Times New Roman"/>
          <w:sz w:val="30"/>
          <w:szCs w:val="30"/>
          <w:rtl w:val="0"/>
          <w:lang w:val="en-US"/>
        </w:rPr>
        <w:t>Celibate</w:t>
      </w:r>
      <w:r>
        <w:rPr>
          <w:rFonts w:ascii="Times New Roman" w:hAnsi="Times New Roman" w:hint="default"/>
          <w:sz w:val="30"/>
          <w:szCs w:val="30"/>
          <w:rtl w:val="0"/>
          <w:lang w:val="en-US"/>
        </w:rPr>
        <w:t xml:space="preserve">’ </w:t>
      </w:r>
      <w:r>
        <w:rPr>
          <w:rStyle w:val="Hyperlink.0"/>
          <w:rFonts w:ascii="Times New Roman" w:cs="Times New Roman" w:hAnsi="Times New Roman" w:eastAsia="Times New Roman"/>
          <w:sz w:val="30"/>
          <w:szCs w:val="30"/>
        </w:rPr>
        <w:fldChar w:fldCharType="begin" w:fldLock="0"/>
      </w:r>
      <w:r>
        <w:rPr>
          <w:rStyle w:val="Hyperlink.0"/>
          <w:rFonts w:ascii="Times New Roman" w:cs="Times New Roman" w:hAnsi="Times New Roman" w:eastAsia="Times New Roman"/>
          <w:sz w:val="30"/>
          <w:szCs w:val="30"/>
        </w:rPr>
        <w:instrText xml:space="preserve"> HYPERLINK "https://dictionary.cambridge.org/dictionary/english/celibate"</w:instrText>
      </w:r>
      <w:r>
        <w:rPr>
          <w:rStyle w:val="Hyperlink.0"/>
          <w:rFonts w:ascii="Times New Roman" w:cs="Times New Roman" w:hAnsi="Times New Roman" w:eastAsia="Times New Roman"/>
          <w:sz w:val="30"/>
          <w:szCs w:val="30"/>
        </w:rPr>
        <w:fldChar w:fldCharType="separate" w:fldLock="0"/>
      </w:r>
      <w:r>
        <w:rPr>
          <w:rStyle w:val="Hyperlink.0"/>
          <w:rFonts w:ascii="Times New Roman" w:hAnsi="Times New Roman"/>
          <w:sz w:val="30"/>
          <w:szCs w:val="30"/>
          <w:rtl w:val="0"/>
          <w:lang w:val="en-US"/>
        </w:rPr>
        <w:t>https://dictionary.cambridge.org/dictionary/english/celibate</w:t>
      </w:r>
      <w:r>
        <w:rPr>
          <w:rFonts w:ascii="Times New Roman" w:cs="Times New Roman" w:hAnsi="Times New Roman" w:eastAsia="Times New Roman"/>
          <w:sz w:val="30"/>
          <w:szCs w:val="30"/>
        </w:rPr>
        <w:fldChar w:fldCharType="end" w:fldLock="0"/>
      </w:r>
      <w:r>
        <w:rPr>
          <w:rFonts w:ascii="Times New Roman" w:hAnsi="Times New Roman"/>
          <w:sz w:val="30"/>
          <w:szCs w:val="30"/>
          <w:rtl w:val="0"/>
          <w:lang w:val="en-US"/>
        </w:rPr>
        <w:t xml:space="preserve"> [Accessed: 15th January 2019].</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Cartlidge, D. R. &amp; Elliott, J. K. 2001. </w:t>
      </w:r>
      <w:r>
        <w:rPr>
          <w:rFonts w:ascii="Times New Roman" w:hAnsi="Times New Roman"/>
          <w:i w:val="1"/>
          <w:iCs w:val="1"/>
          <w:sz w:val="30"/>
          <w:szCs w:val="30"/>
          <w:rtl w:val="0"/>
          <w:lang w:val="en-US"/>
        </w:rPr>
        <w:t xml:space="preserve">Art &amp; the Christian Apocrypha. </w:t>
      </w:r>
      <w:r>
        <w:rPr>
          <w:rFonts w:ascii="Times New Roman" w:hAnsi="Times New Roman"/>
          <w:sz w:val="30"/>
          <w:szCs w:val="30"/>
          <w:rtl w:val="0"/>
          <w:lang w:val="en-US"/>
        </w:rPr>
        <w:t>London: Routledge.</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Cline, S. 1993. </w:t>
      </w:r>
      <w:r>
        <w:rPr>
          <w:rFonts w:ascii="Times New Roman" w:hAnsi="Times New Roman"/>
          <w:i w:val="1"/>
          <w:iCs w:val="1"/>
          <w:sz w:val="30"/>
          <w:szCs w:val="30"/>
          <w:rtl w:val="0"/>
          <w:lang w:val="en-US"/>
        </w:rPr>
        <w:t xml:space="preserve">Women, Celibacy, and Passion. </w:t>
      </w:r>
      <w:r>
        <w:rPr>
          <w:rFonts w:ascii="Times New Roman" w:hAnsi="Times New Roman"/>
          <w:sz w:val="30"/>
          <w:szCs w:val="30"/>
          <w:rtl w:val="0"/>
          <w:lang w:val="en-US"/>
        </w:rPr>
        <w:t>London: Andr</w:t>
      </w:r>
      <w:r>
        <w:rPr>
          <w:rFonts w:ascii="Times New Roman" w:hAnsi="Times New Roman" w:hint="default"/>
          <w:sz w:val="30"/>
          <w:szCs w:val="30"/>
          <w:rtl w:val="0"/>
          <w:lang w:val="en-US"/>
        </w:rPr>
        <w:t xml:space="preserve">é </w:t>
      </w:r>
      <w:r>
        <w:rPr>
          <w:rFonts w:ascii="Times New Roman" w:hAnsi="Times New Roman"/>
          <w:sz w:val="30"/>
          <w:szCs w:val="30"/>
          <w:rtl w:val="0"/>
          <w:lang w:val="en-US"/>
        </w:rPr>
        <w:t>Deutsch Limited.</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Cotterell, A. &amp; Storm, R. 1999. </w:t>
      </w:r>
      <w:r>
        <w:rPr>
          <w:rFonts w:ascii="Times New Roman" w:hAnsi="Times New Roman"/>
          <w:i w:val="1"/>
          <w:iCs w:val="1"/>
          <w:sz w:val="30"/>
          <w:szCs w:val="30"/>
          <w:rtl w:val="0"/>
          <w:lang w:val="en-US"/>
        </w:rPr>
        <w:t xml:space="preserve">The Ultimate Encyclopaedia of Mythology. </w:t>
      </w:r>
      <w:r>
        <w:rPr>
          <w:rFonts w:ascii="Times New Roman" w:hAnsi="Times New Roman"/>
          <w:sz w:val="30"/>
          <w:szCs w:val="30"/>
          <w:rtl w:val="0"/>
          <w:lang w:val="en-US"/>
        </w:rPr>
        <w:t>London: Hermes House.</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Davis, S. J. 2001. </w:t>
      </w:r>
      <w:r>
        <w:rPr>
          <w:rFonts w:ascii="Times New Roman" w:hAnsi="Times New Roman"/>
          <w:i w:val="1"/>
          <w:iCs w:val="1"/>
          <w:sz w:val="30"/>
          <w:szCs w:val="30"/>
          <w:rtl w:val="0"/>
          <w:lang w:val="en-US"/>
        </w:rPr>
        <w:t xml:space="preserve">The Cult of St. Thecla. </w:t>
      </w:r>
      <w:r>
        <w:rPr>
          <w:rFonts w:ascii="Times New Roman" w:hAnsi="Times New Roman"/>
          <w:sz w:val="30"/>
          <w:szCs w:val="30"/>
          <w:rtl w:val="0"/>
          <w:lang w:val="en-US"/>
        </w:rPr>
        <w:t>Oxford: Oxford University Press.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Deming, W. 1995. </w:t>
      </w:r>
      <w:r>
        <w:rPr>
          <w:rFonts w:ascii="Times New Roman" w:hAnsi="Times New Roman"/>
          <w:i w:val="1"/>
          <w:iCs w:val="1"/>
          <w:sz w:val="30"/>
          <w:szCs w:val="30"/>
          <w:rtl w:val="0"/>
          <w:lang w:val="en-US"/>
        </w:rPr>
        <w:t xml:space="preserve">Paul on Marriage and Celibacy. </w:t>
      </w:r>
      <w:r>
        <w:rPr>
          <w:rFonts w:ascii="Times New Roman" w:hAnsi="Times New Roman"/>
          <w:sz w:val="30"/>
          <w:szCs w:val="30"/>
          <w:rtl w:val="0"/>
          <w:lang w:val="en-US"/>
        </w:rPr>
        <w:t>Cambridge: Cambridge University Press.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Ehrman, B. D. 2003. </w:t>
      </w:r>
      <w:r>
        <w:rPr>
          <w:rFonts w:ascii="Times New Roman" w:hAnsi="Times New Roman"/>
          <w:i w:val="1"/>
          <w:iCs w:val="1"/>
          <w:sz w:val="30"/>
          <w:szCs w:val="30"/>
          <w:rtl w:val="0"/>
          <w:lang w:val="en-US"/>
        </w:rPr>
        <w:t xml:space="preserve">Lost Christianities: The Battles for Scripture and the Faiths We Never Knew. </w:t>
      </w:r>
      <w:r>
        <w:rPr>
          <w:rFonts w:ascii="Times New Roman" w:hAnsi="Times New Roman"/>
          <w:sz w:val="30"/>
          <w:szCs w:val="30"/>
          <w:rtl w:val="0"/>
          <w:lang w:val="en-US"/>
        </w:rPr>
        <w:t>Oxford: Oxford University Press.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Encyclopaedia Britannica </w:t>
      </w:r>
      <w:r>
        <w:rPr>
          <w:rFonts w:ascii="Times New Roman" w:hAnsi="Times New Roman" w:hint="default"/>
          <w:sz w:val="30"/>
          <w:szCs w:val="30"/>
          <w:rtl w:val="0"/>
          <w:lang w:val="en-US"/>
        </w:rPr>
        <w:t>‘</w:t>
      </w:r>
      <w:r>
        <w:rPr>
          <w:rFonts w:ascii="Times New Roman" w:hAnsi="Times New Roman"/>
          <w:sz w:val="30"/>
          <w:szCs w:val="30"/>
          <w:rtl w:val="0"/>
          <w:lang w:val="en-US"/>
        </w:rPr>
        <w:t>St. Paul, The Apostle</w:t>
      </w:r>
      <w:r>
        <w:rPr>
          <w:rFonts w:ascii="Times New Roman" w:hAnsi="Times New Roman" w:hint="default"/>
          <w:sz w:val="30"/>
          <w:szCs w:val="30"/>
          <w:rtl w:val="0"/>
          <w:lang w:val="en-US"/>
        </w:rPr>
        <w:t xml:space="preserve">’ </w:t>
      </w:r>
      <w:r>
        <w:rPr>
          <w:rStyle w:val="Hyperlink.0"/>
          <w:rFonts w:ascii="Times New Roman" w:cs="Times New Roman" w:hAnsi="Times New Roman" w:eastAsia="Times New Roman"/>
          <w:sz w:val="30"/>
          <w:szCs w:val="30"/>
        </w:rPr>
        <w:fldChar w:fldCharType="begin" w:fldLock="0"/>
      </w:r>
      <w:r>
        <w:rPr>
          <w:rStyle w:val="Hyperlink.0"/>
          <w:rFonts w:ascii="Times New Roman" w:cs="Times New Roman" w:hAnsi="Times New Roman" w:eastAsia="Times New Roman"/>
          <w:sz w:val="30"/>
          <w:szCs w:val="30"/>
        </w:rPr>
        <w:instrText xml:space="preserve"> HYPERLINK "https://www.britannica.com/biography/Saint-Paul-the-Apostle"</w:instrText>
      </w:r>
      <w:r>
        <w:rPr>
          <w:rStyle w:val="Hyperlink.0"/>
          <w:rFonts w:ascii="Times New Roman" w:cs="Times New Roman" w:hAnsi="Times New Roman" w:eastAsia="Times New Roman"/>
          <w:sz w:val="30"/>
          <w:szCs w:val="30"/>
        </w:rPr>
        <w:fldChar w:fldCharType="separate" w:fldLock="0"/>
      </w:r>
      <w:r>
        <w:rPr>
          <w:rStyle w:val="Hyperlink.0"/>
          <w:rFonts w:ascii="Times New Roman" w:hAnsi="Times New Roman"/>
          <w:sz w:val="30"/>
          <w:szCs w:val="30"/>
          <w:rtl w:val="0"/>
          <w:lang w:val="en-US"/>
        </w:rPr>
        <w:t>https://www.britannica.com/biography/Saint-Paul-the-Apostle</w:t>
      </w:r>
      <w:r>
        <w:rPr>
          <w:rFonts w:ascii="Times New Roman" w:cs="Times New Roman" w:hAnsi="Times New Roman" w:eastAsia="Times New Roman"/>
          <w:sz w:val="30"/>
          <w:szCs w:val="30"/>
        </w:rPr>
        <w:fldChar w:fldCharType="end" w:fldLock="0"/>
      </w:r>
      <w:r>
        <w:rPr>
          <w:rFonts w:ascii="Times New Roman" w:hAnsi="Times New Roman"/>
          <w:sz w:val="30"/>
          <w:szCs w:val="30"/>
          <w:rtl w:val="0"/>
          <w:lang w:val="en-US"/>
        </w:rPr>
        <w:t xml:space="preserve"> [Accessed: 16th January 2019]. </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Finn OP, R. 2009. </w:t>
      </w:r>
      <w:r>
        <w:rPr>
          <w:rFonts w:ascii="Times New Roman" w:hAnsi="Times New Roman"/>
          <w:i w:val="1"/>
          <w:iCs w:val="1"/>
          <w:sz w:val="30"/>
          <w:szCs w:val="30"/>
          <w:rtl w:val="0"/>
          <w:lang w:val="en-US"/>
        </w:rPr>
        <w:t xml:space="preserve">Asceticism in the Graeco-Roman World. </w:t>
      </w:r>
      <w:r>
        <w:rPr>
          <w:rFonts w:ascii="Times New Roman" w:hAnsi="Times New Roman"/>
          <w:sz w:val="30"/>
          <w:szCs w:val="30"/>
          <w:rtl w:val="0"/>
          <w:lang w:val="en-US"/>
        </w:rPr>
        <w:t>Cambridge: Cambridge University Press.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Flood, G. 2004. </w:t>
      </w:r>
      <w:r>
        <w:rPr>
          <w:rFonts w:ascii="Times New Roman" w:hAnsi="Times New Roman"/>
          <w:i w:val="1"/>
          <w:iCs w:val="1"/>
          <w:sz w:val="30"/>
          <w:szCs w:val="30"/>
          <w:rtl w:val="0"/>
          <w:lang w:val="en-US"/>
        </w:rPr>
        <w:t xml:space="preserve">The Ascetic Self. </w:t>
      </w:r>
      <w:r>
        <w:rPr>
          <w:rFonts w:ascii="Times New Roman" w:hAnsi="Times New Roman"/>
          <w:sz w:val="30"/>
          <w:szCs w:val="30"/>
          <w:rtl w:val="0"/>
          <w:lang w:val="en-US"/>
        </w:rPr>
        <w:t>Cambridge: Cambridge University Press.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Heine, S. 1987. </w:t>
      </w:r>
      <w:r>
        <w:rPr>
          <w:rFonts w:ascii="Times New Roman" w:hAnsi="Times New Roman"/>
          <w:i w:val="1"/>
          <w:iCs w:val="1"/>
          <w:sz w:val="30"/>
          <w:szCs w:val="30"/>
          <w:rtl w:val="0"/>
          <w:lang w:val="en-US"/>
        </w:rPr>
        <w:t xml:space="preserve">Women and Early Christianity </w:t>
      </w:r>
      <w:r>
        <w:rPr>
          <w:rFonts w:ascii="Times New Roman" w:hAnsi="Times New Roman"/>
          <w:sz w:val="30"/>
          <w:szCs w:val="30"/>
          <w:rtl w:val="0"/>
          <w:lang w:val="en-US"/>
        </w:rPr>
        <w:t>(J. Bowden (trans.). G</w:t>
      </w:r>
      <w:r>
        <w:rPr>
          <w:rFonts w:ascii="Times New Roman" w:hAnsi="Times New Roman" w:hint="default"/>
          <w:sz w:val="30"/>
          <w:szCs w:val="30"/>
          <w:rtl w:val="0"/>
          <w:lang w:val="en-US"/>
        </w:rPr>
        <w:t>ö</w:t>
      </w:r>
      <w:r>
        <w:rPr>
          <w:rFonts w:ascii="Times New Roman" w:hAnsi="Times New Roman"/>
          <w:sz w:val="30"/>
          <w:szCs w:val="30"/>
          <w:rtl w:val="0"/>
          <w:lang w:val="en-US"/>
        </w:rPr>
        <w:t>ttingen: Vandenhoeck and Ruprecht.</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Hansen, W. 1998. </w:t>
      </w:r>
      <w:r>
        <w:rPr>
          <w:rFonts w:ascii="Times New Roman" w:hAnsi="Times New Roman"/>
          <w:i w:val="1"/>
          <w:iCs w:val="1"/>
          <w:sz w:val="30"/>
          <w:szCs w:val="30"/>
          <w:rtl w:val="0"/>
          <w:lang w:val="en-US"/>
        </w:rPr>
        <w:t>Anthology of Ancient Greek Popular Culture.</w:t>
      </w:r>
      <w:r>
        <w:rPr>
          <w:rFonts w:ascii="Times New Roman" w:hAnsi="Times New Roman"/>
          <w:sz w:val="30"/>
          <w:szCs w:val="30"/>
          <w:rtl w:val="0"/>
          <w:lang w:val="en-US"/>
        </w:rPr>
        <w:t xml:space="preserve"> Bloomington: Indiana University Press.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Holland, T. 2009. </w:t>
      </w:r>
      <w:r>
        <w:rPr>
          <w:rFonts w:ascii="Times New Roman" w:hAnsi="Times New Roman"/>
          <w:i w:val="1"/>
          <w:iCs w:val="1"/>
          <w:sz w:val="30"/>
          <w:szCs w:val="30"/>
          <w:rtl w:val="0"/>
          <w:lang w:val="en-US"/>
        </w:rPr>
        <w:t xml:space="preserve">Rubicon. </w:t>
      </w:r>
      <w:r>
        <w:rPr>
          <w:rFonts w:ascii="Times New Roman" w:hAnsi="Times New Roman"/>
          <w:sz w:val="30"/>
          <w:szCs w:val="30"/>
          <w:rtl w:val="0"/>
          <w:lang w:val="en-US"/>
        </w:rPr>
        <w:t>London: Abacus.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Holland, R. 2000. </w:t>
      </w:r>
      <w:r>
        <w:rPr>
          <w:rFonts w:ascii="Times New Roman" w:hAnsi="Times New Roman"/>
          <w:i w:val="1"/>
          <w:iCs w:val="1"/>
          <w:sz w:val="30"/>
          <w:szCs w:val="30"/>
          <w:rtl w:val="0"/>
          <w:lang w:val="en-US"/>
        </w:rPr>
        <w:t xml:space="preserve">Nero: The Man Behind the Myth. </w:t>
      </w:r>
      <w:r>
        <w:rPr>
          <w:rFonts w:ascii="Times New Roman" w:hAnsi="Times New Roman"/>
          <w:sz w:val="30"/>
          <w:szCs w:val="30"/>
          <w:rtl w:val="0"/>
          <w:lang w:val="en-US"/>
        </w:rPr>
        <w:t>Stroud: Sutton Publishing Limited.</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Hope Moncrieff, A. R. 1994. </w:t>
      </w:r>
      <w:r>
        <w:rPr>
          <w:rFonts w:ascii="Times New Roman" w:hAnsi="Times New Roman"/>
          <w:i w:val="1"/>
          <w:iCs w:val="1"/>
          <w:sz w:val="30"/>
          <w:szCs w:val="30"/>
          <w:rtl w:val="0"/>
          <w:lang w:val="en-US"/>
        </w:rPr>
        <w:t xml:space="preserve">Classical Mythology. </w:t>
      </w:r>
      <w:r>
        <w:rPr>
          <w:rFonts w:ascii="Times New Roman" w:hAnsi="Times New Roman"/>
          <w:sz w:val="30"/>
          <w:szCs w:val="30"/>
          <w:rtl w:val="0"/>
          <w:lang w:val="en-US"/>
        </w:rPr>
        <w:t>London: Senate.</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Johnson, S. F. 2006. </w:t>
      </w:r>
      <w:r>
        <w:rPr>
          <w:rFonts w:ascii="Times New Roman" w:hAnsi="Times New Roman"/>
          <w:i w:val="1"/>
          <w:iCs w:val="1"/>
          <w:sz w:val="30"/>
          <w:szCs w:val="30"/>
          <w:rtl w:val="0"/>
          <w:lang w:val="en-US"/>
        </w:rPr>
        <w:t xml:space="preserve">The Life and Miracles of Thekla: A Literary Study. </w:t>
      </w:r>
      <w:r>
        <w:rPr>
          <w:rFonts w:ascii="Times New Roman" w:hAnsi="Times New Roman"/>
          <w:sz w:val="30"/>
          <w:szCs w:val="30"/>
          <w:rtl w:val="0"/>
          <w:lang w:val="en-US"/>
        </w:rPr>
        <w:t>Cambridge (Mass.): Harvard University Press.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Kvam, K. E., Shearing, L. S., &amp; Ziegler, V. H. 1999. </w:t>
      </w:r>
      <w:r>
        <w:rPr>
          <w:rFonts w:ascii="Times New Roman" w:hAnsi="Times New Roman"/>
          <w:i w:val="1"/>
          <w:iCs w:val="1"/>
          <w:sz w:val="30"/>
          <w:szCs w:val="30"/>
          <w:rtl w:val="0"/>
          <w:lang w:val="en-US"/>
        </w:rPr>
        <w:t xml:space="preserve">Eve &amp; Adam. </w:t>
      </w:r>
      <w:r>
        <w:rPr>
          <w:rFonts w:ascii="Times New Roman" w:hAnsi="Times New Roman"/>
          <w:sz w:val="30"/>
          <w:szCs w:val="30"/>
          <w:rtl w:val="0"/>
          <w:lang w:val="en-US"/>
        </w:rPr>
        <w:t>Bloomington: Indiana University Press.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Latin-Dictionary </w:t>
      </w:r>
      <w:r>
        <w:rPr>
          <w:rFonts w:ascii="Times New Roman" w:hAnsi="Times New Roman" w:hint="default"/>
          <w:sz w:val="30"/>
          <w:szCs w:val="30"/>
          <w:rtl w:val="0"/>
          <w:lang w:val="en-US"/>
        </w:rPr>
        <w:t>‘</w:t>
      </w:r>
      <w:r>
        <w:rPr>
          <w:rFonts w:ascii="Times New Roman" w:hAnsi="Times New Roman"/>
          <w:sz w:val="30"/>
          <w:szCs w:val="30"/>
          <w:rtl w:val="0"/>
          <w:lang w:val="en-US"/>
        </w:rPr>
        <w:t>Caelibatus</w:t>
      </w:r>
      <w:r>
        <w:rPr>
          <w:rFonts w:ascii="Times New Roman" w:hAnsi="Times New Roman" w:hint="default"/>
          <w:sz w:val="30"/>
          <w:szCs w:val="30"/>
          <w:rtl w:val="0"/>
          <w:lang w:val="en-US"/>
        </w:rPr>
        <w:t xml:space="preserve">’ </w:t>
      </w:r>
      <w:r>
        <w:rPr>
          <w:rStyle w:val="Hyperlink.0"/>
          <w:rFonts w:ascii="Times New Roman" w:cs="Times New Roman" w:hAnsi="Times New Roman" w:eastAsia="Times New Roman"/>
          <w:sz w:val="30"/>
          <w:szCs w:val="30"/>
        </w:rPr>
        <w:fldChar w:fldCharType="begin" w:fldLock="0"/>
      </w:r>
      <w:r>
        <w:rPr>
          <w:rStyle w:val="Hyperlink.0"/>
          <w:rFonts w:ascii="Times New Roman" w:cs="Times New Roman" w:hAnsi="Times New Roman" w:eastAsia="Times New Roman"/>
          <w:sz w:val="30"/>
          <w:szCs w:val="30"/>
        </w:rPr>
        <w:instrText xml:space="preserve"> HYPERLINK "http://latin-dictionary.net/definition/7301/caelibatus-caelibatus"</w:instrText>
      </w:r>
      <w:r>
        <w:rPr>
          <w:rStyle w:val="Hyperlink.0"/>
          <w:rFonts w:ascii="Times New Roman" w:cs="Times New Roman" w:hAnsi="Times New Roman" w:eastAsia="Times New Roman"/>
          <w:sz w:val="30"/>
          <w:szCs w:val="30"/>
        </w:rPr>
        <w:fldChar w:fldCharType="separate" w:fldLock="0"/>
      </w:r>
      <w:r>
        <w:rPr>
          <w:rStyle w:val="Hyperlink.0"/>
          <w:rFonts w:ascii="Times New Roman" w:hAnsi="Times New Roman"/>
          <w:sz w:val="30"/>
          <w:szCs w:val="30"/>
          <w:rtl w:val="0"/>
          <w:lang w:val="en-US"/>
        </w:rPr>
        <w:t>http://latin-dictionary.net/definition/7301/caelibatus-caelibatus</w:t>
      </w:r>
      <w:r>
        <w:rPr>
          <w:rFonts w:ascii="Times New Roman" w:cs="Times New Roman" w:hAnsi="Times New Roman" w:eastAsia="Times New Roman"/>
          <w:sz w:val="30"/>
          <w:szCs w:val="30"/>
        </w:rPr>
        <w:fldChar w:fldCharType="end" w:fldLock="0"/>
      </w:r>
      <w:r>
        <w:rPr>
          <w:rFonts w:ascii="Times New Roman" w:hAnsi="Times New Roman"/>
          <w:sz w:val="30"/>
          <w:szCs w:val="30"/>
          <w:rtl w:val="0"/>
          <w:lang w:val="en-US"/>
        </w:rPr>
        <w:t xml:space="preserve"> [Accessed: 15th January 2019].</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Psychology Today </w:t>
      </w:r>
      <w:r>
        <w:rPr>
          <w:rFonts w:ascii="Times New Roman" w:hAnsi="Times New Roman" w:hint="default"/>
          <w:sz w:val="30"/>
          <w:szCs w:val="30"/>
          <w:rtl w:val="0"/>
          <w:lang w:val="en-US"/>
        </w:rPr>
        <w:t>‘</w:t>
      </w:r>
      <w:r>
        <w:rPr>
          <w:rFonts w:ascii="Times New Roman" w:hAnsi="Times New Roman"/>
          <w:sz w:val="30"/>
          <w:szCs w:val="30"/>
          <w:rtl w:val="0"/>
          <w:lang w:val="en-US"/>
        </w:rPr>
        <w:t>Asexuals: Who Are They and Why Are They Important?</w:t>
      </w:r>
      <w:r>
        <w:rPr>
          <w:rFonts w:ascii="Times New Roman" w:hAnsi="Times New Roman" w:hint="default"/>
          <w:sz w:val="30"/>
          <w:szCs w:val="30"/>
          <w:rtl w:val="0"/>
          <w:lang w:val="en-US"/>
        </w:rPr>
        <w:t xml:space="preserve">’ </w:t>
      </w:r>
      <w:r>
        <w:rPr>
          <w:rStyle w:val="Hyperlink.0"/>
          <w:rFonts w:ascii="Times New Roman" w:cs="Times New Roman" w:hAnsi="Times New Roman" w:eastAsia="Times New Roman"/>
          <w:sz w:val="30"/>
          <w:szCs w:val="30"/>
        </w:rPr>
        <w:fldChar w:fldCharType="begin" w:fldLock="0"/>
      </w:r>
      <w:r>
        <w:rPr>
          <w:rStyle w:val="Hyperlink.0"/>
          <w:rFonts w:ascii="Times New Roman" w:cs="Times New Roman" w:hAnsi="Times New Roman" w:eastAsia="Times New Roman"/>
          <w:sz w:val="30"/>
          <w:szCs w:val="30"/>
        </w:rPr>
        <w:instrText xml:space="preserve"> HYPERLINK "https://www.psychologytoday.com/gb/blog/living-single/200912/asexuals-who-are-they-and-why-are-they-important"</w:instrText>
      </w:r>
      <w:r>
        <w:rPr>
          <w:rStyle w:val="Hyperlink.0"/>
          <w:rFonts w:ascii="Times New Roman" w:cs="Times New Roman" w:hAnsi="Times New Roman" w:eastAsia="Times New Roman"/>
          <w:sz w:val="30"/>
          <w:szCs w:val="30"/>
        </w:rPr>
        <w:fldChar w:fldCharType="separate" w:fldLock="0"/>
      </w:r>
      <w:r>
        <w:rPr>
          <w:rStyle w:val="Hyperlink.0"/>
          <w:rFonts w:ascii="Times New Roman" w:hAnsi="Times New Roman"/>
          <w:sz w:val="30"/>
          <w:szCs w:val="30"/>
          <w:rtl w:val="0"/>
          <w:lang w:val="en-US"/>
        </w:rPr>
        <w:t>https://www.psychologytoday.com/gb/blog/living-single/200912/asexuals-who-are-they-and-why-are-they-important</w:t>
      </w:r>
      <w:r>
        <w:rPr>
          <w:rFonts w:ascii="Times New Roman" w:cs="Times New Roman" w:hAnsi="Times New Roman" w:eastAsia="Times New Roman"/>
          <w:sz w:val="30"/>
          <w:szCs w:val="30"/>
        </w:rPr>
        <w:fldChar w:fldCharType="end" w:fldLock="0"/>
      </w:r>
      <w:r>
        <w:rPr>
          <w:rFonts w:ascii="Times New Roman" w:hAnsi="Times New Roman"/>
          <w:sz w:val="30"/>
          <w:szCs w:val="30"/>
          <w:rtl w:val="0"/>
          <w:lang w:val="en-US"/>
        </w:rPr>
        <w:t xml:space="preserve"> [Accessed: 16th January 2019].</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Roberts, J. 2007. </w:t>
      </w:r>
      <w:r>
        <w:rPr>
          <w:rFonts w:ascii="Times New Roman" w:hAnsi="Times New Roman"/>
          <w:i w:val="1"/>
          <w:iCs w:val="1"/>
          <w:sz w:val="30"/>
          <w:szCs w:val="30"/>
          <w:rtl w:val="0"/>
          <w:lang w:val="en-US"/>
        </w:rPr>
        <w:t xml:space="preserve">Oxford Dictionary of the Classical World. </w:t>
      </w:r>
      <w:r>
        <w:rPr>
          <w:rFonts w:ascii="Times New Roman" w:hAnsi="Times New Roman"/>
          <w:sz w:val="30"/>
          <w:szCs w:val="30"/>
          <w:rtl w:val="0"/>
          <w:lang w:val="en-US"/>
        </w:rPr>
        <w:t>Oxford: Oxford University Press.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Rose, H. J. 1959. </w:t>
      </w:r>
      <w:r>
        <w:rPr>
          <w:rFonts w:ascii="Times New Roman" w:hAnsi="Times New Roman"/>
          <w:i w:val="1"/>
          <w:iCs w:val="1"/>
          <w:sz w:val="30"/>
          <w:szCs w:val="30"/>
          <w:rtl w:val="0"/>
          <w:lang w:val="en-US"/>
        </w:rPr>
        <w:t xml:space="preserve">Religion in Greece and Rome. </w:t>
      </w:r>
      <w:r>
        <w:rPr>
          <w:rFonts w:ascii="Times New Roman" w:hAnsi="Times New Roman"/>
          <w:sz w:val="30"/>
          <w:szCs w:val="30"/>
          <w:rtl w:val="0"/>
          <w:lang w:val="en-US"/>
        </w:rPr>
        <w:t>New York: Harper Torchbook.</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Rouselle, A. 1988. </w:t>
      </w:r>
      <w:r>
        <w:rPr>
          <w:rFonts w:ascii="Times New Roman" w:hAnsi="Times New Roman"/>
          <w:i w:val="1"/>
          <w:iCs w:val="1"/>
          <w:sz w:val="30"/>
          <w:szCs w:val="30"/>
          <w:rtl w:val="0"/>
          <w:lang w:val="en-US"/>
        </w:rPr>
        <w:t xml:space="preserve">Porneia </w:t>
      </w:r>
      <w:r>
        <w:rPr>
          <w:rFonts w:ascii="Times New Roman" w:hAnsi="Times New Roman"/>
          <w:sz w:val="30"/>
          <w:szCs w:val="30"/>
          <w:rtl w:val="0"/>
          <w:lang w:val="en-US"/>
        </w:rPr>
        <w:t>(F. Pheasant (trans.)). Paris: Presses Universitaire de France.</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Schottroff, L. 1995. </w:t>
      </w:r>
      <w:r>
        <w:rPr>
          <w:rFonts w:ascii="Times New Roman" w:hAnsi="Times New Roman"/>
          <w:i w:val="1"/>
          <w:iCs w:val="1"/>
          <w:sz w:val="30"/>
          <w:szCs w:val="30"/>
          <w:rtl w:val="0"/>
          <w:lang w:val="en-US"/>
        </w:rPr>
        <w:t>Lydia</w:t>
      </w:r>
      <w:r>
        <w:rPr>
          <w:rFonts w:ascii="Times New Roman" w:hAnsi="Times New Roman" w:hint="default"/>
          <w:i w:val="1"/>
          <w:iCs w:val="1"/>
          <w:sz w:val="30"/>
          <w:szCs w:val="30"/>
          <w:rtl w:val="0"/>
          <w:lang w:val="en-US"/>
        </w:rPr>
        <w:t>’</w:t>
      </w:r>
      <w:r>
        <w:rPr>
          <w:rFonts w:ascii="Times New Roman" w:hAnsi="Times New Roman"/>
          <w:i w:val="1"/>
          <w:iCs w:val="1"/>
          <w:sz w:val="30"/>
          <w:szCs w:val="30"/>
          <w:rtl w:val="0"/>
          <w:lang w:val="en-US"/>
        </w:rPr>
        <w:t xml:space="preserve">s Impatient Sisters </w:t>
      </w:r>
      <w:r>
        <w:rPr>
          <w:rFonts w:ascii="Times New Roman" w:hAnsi="Times New Roman"/>
          <w:sz w:val="30"/>
          <w:szCs w:val="30"/>
          <w:rtl w:val="0"/>
          <w:lang w:val="en-US"/>
        </w:rPr>
        <w:t>(B. Rumscheidt &amp; M. Rumscheidt (trans.)). Louisville: Westminster John Knox Press.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Sissa, G. 1990. </w:t>
      </w:r>
      <w:r>
        <w:rPr>
          <w:rFonts w:ascii="Times New Roman" w:hAnsi="Times New Roman"/>
          <w:i w:val="1"/>
          <w:iCs w:val="1"/>
          <w:sz w:val="30"/>
          <w:szCs w:val="30"/>
          <w:rtl w:val="0"/>
          <w:lang w:val="en-US"/>
        </w:rPr>
        <w:t xml:space="preserve">Greek Virginity </w:t>
      </w:r>
      <w:r>
        <w:rPr>
          <w:rFonts w:ascii="Times New Roman" w:hAnsi="Times New Roman"/>
          <w:sz w:val="30"/>
          <w:szCs w:val="30"/>
          <w:rtl w:val="0"/>
          <w:lang w:val="en-US"/>
        </w:rPr>
        <w:t>(A. Goldhammer (trans.)). Cambridge (Mass.): Harvard University Press.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Stichele, C. V. &amp; Penner, T. 2009. </w:t>
      </w:r>
      <w:r>
        <w:rPr>
          <w:rFonts w:ascii="Times New Roman" w:hAnsi="Times New Roman"/>
          <w:i w:val="1"/>
          <w:iCs w:val="1"/>
          <w:sz w:val="30"/>
          <w:szCs w:val="30"/>
          <w:rtl w:val="0"/>
          <w:lang w:val="en-US"/>
        </w:rPr>
        <w:t xml:space="preserve">Contextualising Gender in Early Christian Discourse. </w:t>
      </w:r>
      <w:r>
        <w:rPr>
          <w:rFonts w:ascii="Times New Roman" w:hAnsi="Times New Roman"/>
          <w:sz w:val="30"/>
          <w:szCs w:val="30"/>
          <w:rtl w:val="0"/>
          <w:lang w:val="en-US"/>
        </w:rPr>
        <w:t>London: T&amp;T Clark International.</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Wallace-Hadrill, A. 2014. </w:t>
      </w:r>
      <w:r>
        <w:rPr>
          <w:rFonts w:ascii="Times New Roman" w:hAnsi="Times New Roman"/>
          <w:i w:val="1"/>
          <w:iCs w:val="1"/>
          <w:sz w:val="30"/>
          <w:szCs w:val="30"/>
          <w:rtl w:val="0"/>
          <w:lang w:val="en-US"/>
        </w:rPr>
        <w:t xml:space="preserve">Augustan Rome. </w:t>
      </w:r>
      <w:r>
        <w:rPr>
          <w:rFonts w:ascii="Times New Roman" w:hAnsi="Times New Roman"/>
          <w:sz w:val="30"/>
          <w:szCs w:val="30"/>
          <w:rtl w:val="0"/>
          <w:lang w:val="en-US"/>
        </w:rPr>
        <w:t>London: Bloomsbury.</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Zanker, P. 1990. </w:t>
      </w:r>
      <w:r>
        <w:rPr>
          <w:rFonts w:ascii="Times New Roman" w:hAnsi="Times New Roman"/>
          <w:i w:val="1"/>
          <w:iCs w:val="1"/>
          <w:sz w:val="30"/>
          <w:szCs w:val="30"/>
          <w:rtl w:val="0"/>
          <w:lang w:val="en-US"/>
        </w:rPr>
        <w:t xml:space="preserve">The Power of Images in the Age of Augustus </w:t>
      </w:r>
      <w:r>
        <w:rPr>
          <w:rFonts w:ascii="Times New Roman" w:hAnsi="Times New Roman"/>
          <w:sz w:val="30"/>
          <w:szCs w:val="30"/>
          <w:rtl w:val="0"/>
          <w:lang w:val="en-US"/>
        </w:rPr>
        <w:t>(A. Shapiro (trans.)). Ann Arbor: The University of Michigan Press.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hAnsi="Times New Roman"/>
          <w:sz w:val="30"/>
          <w:szCs w:val="30"/>
          <w:rtl w:val="0"/>
          <w:lang w:val="en-US"/>
        </w:rPr>
        <w:t xml:space="preserve">Ziesler, J. A. 1973. </w:t>
      </w:r>
      <w:r>
        <w:rPr>
          <w:rFonts w:ascii="Times New Roman" w:hAnsi="Times New Roman"/>
          <w:i w:val="1"/>
          <w:iCs w:val="1"/>
          <w:sz w:val="30"/>
          <w:szCs w:val="30"/>
          <w:rtl w:val="0"/>
          <w:lang w:val="en-US"/>
        </w:rPr>
        <w:t xml:space="preserve">Christian Asceticism. </w:t>
      </w:r>
      <w:r>
        <w:rPr>
          <w:rFonts w:ascii="Times New Roman" w:hAnsi="Times New Roman"/>
          <w:sz w:val="30"/>
          <w:szCs w:val="30"/>
          <w:rtl w:val="0"/>
          <w:lang w:val="en-US"/>
        </w:rPr>
        <w:t>London: SPCK.</w:t>
      </w:r>
    </w:p>
    <w:p>
      <w:pPr>
        <w:pStyle w:val="Body"/>
        <w:spacing w:line="288" w:lineRule="auto"/>
        <w:jc w:val="left"/>
        <w:rPr>
          <w:rFonts w:ascii="Times New Roman" w:cs="Times New Roman" w:hAnsi="Times New Roman" w:eastAsia="Times New Roman"/>
          <w:sz w:val="26"/>
          <w:szCs w:val="26"/>
        </w:rPr>
      </w:pPr>
    </w:p>
    <w:p>
      <w:pPr>
        <w:pStyle w:val="Body"/>
        <w:spacing w:line="288" w:lineRule="auto"/>
        <w:jc w:val="left"/>
      </w:pPr>
      <w:r>
        <w:rPr>
          <w:rFonts w:ascii="Times New Roman" w:cs="Times New Roman" w:hAnsi="Times New Roman" w:eastAsia="Times New Roman"/>
          <w:sz w:val="26"/>
          <w:szCs w:val="26"/>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Cambridge Dictionary 2019</w:t>
      </w:r>
    </w:p>
  </w:footnote>
  <w:footnote w:id="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Cambridge Dictionary 2019</w:t>
      </w:r>
    </w:p>
  </w:footnote>
  <w:footnote w:id="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Latin-Dictionary 2019</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Psychology Today 2019</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Cambridge Dictionary 2019</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Finn 2009: 1</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Roberts 2007: 805</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BBC 2014</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BBC 2014</w:t>
      </w:r>
    </w:p>
  </w:footnote>
  <w:footnote w:id="1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Roberts 2007: 130-131</w:t>
      </w:r>
    </w:p>
  </w:footnote>
  <w:footnote w:id="1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Cicero, </w:t>
      </w:r>
      <w:r>
        <w:rPr>
          <w:rFonts w:cs="Arial Unicode MS" w:eastAsia="Arial Unicode MS"/>
          <w:i w:val="1"/>
          <w:iCs w:val="1"/>
          <w:rtl w:val="0"/>
          <w:lang w:val="en-US"/>
        </w:rPr>
        <w:t>The Nature of the Gods.</w:t>
      </w:r>
      <w:r>
        <w:rPr>
          <w:rFonts w:cs="Arial Unicode MS" w:eastAsia="Arial Unicode MS"/>
          <w:rtl w:val="0"/>
          <w:lang w:val="en-US"/>
        </w:rPr>
        <w:t xml:space="preserve"> 69</w:t>
      </w:r>
    </w:p>
  </w:footnote>
  <w:footnote w:id="1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Cicero, </w:t>
      </w:r>
      <w:r>
        <w:rPr>
          <w:rFonts w:cs="Arial Unicode MS" w:eastAsia="Arial Unicode MS"/>
          <w:i w:val="1"/>
          <w:iCs w:val="1"/>
          <w:rtl w:val="0"/>
          <w:lang w:val="en-US"/>
        </w:rPr>
        <w:t>The Nature of the Gods.</w:t>
      </w:r>
      <w:r>
        <w:rPr>
          <w:rFonts w:cs="Arial Unicode MS" w:eastAsia="Arial Unicode MS"/>
          <w:rtl w:val="0"/>
          <w:lang w:val="en-US"/>
        </w:rPr>
        <w:t xml:space="preserve"> 70-80</w:t>
      </w:r>
    </w:p>
  </w:footnote>
  <w:footnote w:id="1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Cicero, </w:t>
      </w:r>
      <w:r>
        <w:rPr>
          <w:rFonts w:cs="Arial Unicode MS" w:eastAsia="Arial Unicode MS"/>
          <w:i w:val="1"/>
          <w:iCs w:val="1"/>
          <w:rtl w:val="0"/>
          <w:lang w:val="en-US"/>
        </w:rPr>
        <w:t xml:space="preserve">The Nature of the Gods. </w:t>
      </w:r>
      <w:r>
        <w:rPr>
          <w:rFonts w:cs="Arial Unicode MS" w:eastAsia="Arial Unicode MS"/>
          <w:rtl w:val="0"/>
          <w:lang w:val="en-US"/>
        </w:rPr>
        <w:t>231-233</w:t>
      </w:r>
    </w:p>
  </w:footnote>
  <w:footnote w:id="1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Rose 1959: 254-257</w:t>
      </w:r>
    </w:p>
  </w:footnote>
  <w:footnote w:id="1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Roberts 2007: 597-598</w:t>
      </w:r>
    </w:p>
  </w:footnote>
  <w:footnote w:id="1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Roberts 2007: 805</w:t>
      </w:r>
    </w:p>
  </w:footnote>
  <w:footnote w:id="1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Rose 1959: 171</w:t>
      </w:r>
    </w:p>
  </w:footnote>
  <w:footnote w:id="1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Encyclopaedia Britannica 2019</w:t>
      </w:r>
    </w:p>
  </w:footnote>
  <w:footnote w:id="1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Encyclopaedia Britannica 2019</w:t>
      </w:r>
    </w:p>
  </w:footnote>
  <w:footnote w:id="2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Eusebius, </w:t>
      </w:r>
      <w:r>
        <w:rPr>
          <w:rFonts w:cs="Arial Unicode MS" w:eastAsia="Arial Unicode MS"/>
          <w:i w:val="1"/>
          <w:iCs w:val="1"/>
          <w:rtl w:val="0"/>
          <w:lang w:val="en-US"/>
        </w:rPr>
        <w:t xml:space="preserve">The History of the Church. </w:t>
      </w:r>
      <w:r>
        <w:rPr>
          <w:rFonts w:cs="Arial Unicode MS" w:eastAsia="Arial Unicode MS"/>
          <w:rtl w:val="0"/>
          <w:lang w:val="en-US"/>
        </w:rPr>
        <w:t>2.1.13</w:t>
      </w:r>
    </w:p>
  </w:footnote>
  <w:footnote w:id="2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Encyclopaedia Britannica 2019</w:t>
      </w:r>
    </w:p>
  </w:footnote>
  <w:footnote w:id="2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Encyclopaedia Britannica 2019</w:t>
      </w:r>
    </w:p>
  </w:footnote>
  <w:footnote w:id="2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Ehrman 2005: 33</w:t>
      </w:r>
    </w:p>
  </w:footnote>
  <w:footnote w:id="2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Encyclopaedia Britannica 2019</w:t>
      </w:r>
    </w:p>
  </w:footnote>
  <w:footnote w:id="2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Encyclopaedia Britannica 2019</w:t>
      </w:r>
    </w:p>
  </w:footnote>
  <w:footnote w:id="2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Encyclopaedia Britannica 2019</w:t>
      </w:r>
    </w:p>
  </w:footnote>
  <w:footnote w:id="2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Finn 2009: 66</w:t>
      </w:r>
    </w:p>
  </w:footnote>
  <w:footnote w:id="2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Finn 2009: 67</w:t>
      </w:r>
    </w:p>
  </w:footnote>
  <w:footnote w:id="2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Finn 2009: 89-90</w:t>
      </w:r>
    </w:p>
  </w:footnote>
  <w:footnote w:id="3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Hansen 2009: 55-56</w:t>
      </w:r>
    </w:p>
  </w:footnote>
  <w:footnote w:id="3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Hansen 1998: 52-59</w:t>
      </w:r>
    </w:p>
  </w:footnote>
  <w:footnote w:id="3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Hansen 1998: 52</w:t>
      </w:r>
    </w:p>
  </w:footnote>
  <w:footnote w:id="3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Ehrman 2005: 34</w:t>
      </w:r>
    </w:p>
  </w:footnote>
  <w:footnote w:id="3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Hansen 1998: 60-62</w:t>
      </w:r>
    </w:p>
  </w:footnote>
  <w:footnote w:id="3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Ehrman 2005: 34-35</w:t>
      </w:r>
    </w:p>
  </w:footnote>
  <w:footnote w:id="3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Bremmer 1996: 30</w:t>
      </w:r>
    </w:p>
  </w:footnote>
  <w:footnote w:id="3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Ehrman 2005: 35</w:t>
      </w:r>
    </w:p>
  </w:footnote>
  <w:footnote w:id="3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Ehrman 2005: 35</w:t>
      </w:r>
    </w:p>
  </w:footnote>
  <w:footnote w:id="3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Hansen 1998: 63</w:t>
      </w:r>
    </w:p>
  </w:footnote>
  <w:footnote w:id="4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Kvam, Schearing, &amp; Ziegler 1999: 114</w:t>
      </w:r>
    </w:p>
  </w:footnote>
  <w:footnote w:id="4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Cline 1993: 186</w:t>
      </w:r>
    </w:p>
  </w:footnote>
  <w:footnote w:id="4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Ehrman 2005: 33</w:t>
      </w:r>
    </w:p>
  </w:footnote>
  <w:footnote w:id="4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Hansen 1998: 52</w:t>
      </w:r>
    </w:p>
  </w:footnote>
  <w:footnote w:id="4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Hansen 1998: 53</w:t>
      </w:r>
    </w:p>
  </w:footnote>
  <w:footnote w:id="4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Hansen 1998: 53</w:t>
      </w:r>
    </w:p>
  </w:footnote>
  <w:footnote w:id="4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Cline 1993: 186</w:t>
      </w:r>
    </w:p>
  </w:footnote>
  <w:footnote w:id="4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Cline 1993: 186</w:t>
      </w:r>
    </w:p>
  </w:footnote>
  <w:footnote w:id="4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Davis 2001: 36</w:t>
      </w:r>
    </w:p>
  </w:footnote>
  <w:footnote w:id="4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Davis 2001: 38</w:t>
      </w:r>
    </w:p>
  </w:footnote>
  <w:footnote w:id="5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Ehrman 2005: 36</w:t>
      </w:r>
    </w:p>
  </w:footnote>
  <w:footnote w:id="5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Davis 2001: 39-40</w:t>
      </w:r>
    </w:p>
  </w:footnote>
  <w:footnote w:id="5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Ehrman 2005: 36</w:t>
      </w:r>
    </w:p>
  </w:footnote>
  <w:footnote w:id="5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Cline 1993: 186</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