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6A910C" w14:textId="77777777" w:rsidR="00B412AB" w:rsidRDefault="00B412AB">
      <w:pPr>
        <w:spacing w:before="2400" w:after="400"/>
        <w:jc w:val="center"/>
        <w:rPr>
          <w:rFonts w:ascii="Arial" w:eastAsia="Arial" w:hAnsi="Arial" w:cs="Arial"/>
          <w:b/>
          <w:bCs/>
          <w:sz w:val="32"/>
          <w:szCs w:val="32"/>
        </w:rPr>
      </w:pPr>
    </w:p>
    <w:p w14:paraId="2D4B55E6" w14:textId="77777777" w:rsidR="002B70A0" w:rsidRPr="00B412AB" w:rsidRDefault="00000000">
      <w:pPr>
        <w:spacing w:before="2400" w:after="400"/>
        <w:jc w:val="center"/>
        <w:rPr>
          <w:rFonts w:ascii="Arial" w:eastAsia="Arial" w:hAnsi="Arial" w:cs="Arial"/>
          <w:b/>
          <w:bCs/>
          <w:sz w:val="32"/>
          <w:szCs w:val="32"/>
        </w:rPr>
      </w:pPr>
      <w:r>
        <w:rPr>
          <w:rFonts w:ascii="Arial" w:eastAsia="Arial" w:hAnsi="Arial" w:cs="Arial"/>
          <w:b/>
          <w:bCs/>
          <w:sz w:val="32"/>
          <w:szCs w:val="32"/>
        </w:rPr>
        <w:t>Evaluation of Person-Centred Care and Partnership Working in Health and Social Care Policy and Practice</w:t>
      </w:r>
    </w:p>
    <w:p w14:paraId="3E2B188B" w14:textId="77777777" w:rsidR="002B70A0" w:rsidRDefault="00000000">
      <w:pPr>
        <w:spacing w:before="1200"/>
        <w:jc w:val="center"/>
      </w:pPr>
      <w:r>
        <w:rPr>
          <w:rFonts w:ascii="Arial" w:eastAsia="Arial" w:hAnsi="Arial" w:cs="Arial"/>
          <w:sz w:val="24"/>
          <w:szCs w:val="24"/>
        </w:rPr>
        <w:t>Name: Nazish Zeb</w:t>
      </w:r>
    </w:p>
    <w:p w14:paraId="16596AFC" w14:textId="77777777" w:rsidR="002B70A0" w:rsidRDefault="00000000">
      <w:pPr>
        <w:jc w:val="center"/>
      </w:pPr>
      <w:r>
        <w:rPr>
          <w:rFonts w:ascii="Arial" w:eastAsia="Arial" w:hAnsi="Arial" w:cs="Arial"/>
          <w:sz w:val="24"/>
          <w:szCs w:val="24"/>
        </w:rPr>
        <w:t>Student ID: 2427071</w:t>
      </w:r>
    </w:p>
    <w:p w14:paraId="7F69FAE4" w14:textId="439B8FDC" w:rsidR="002B70A0" w:rsidRDefault="00000000">
      <w:pPr>
        <w:jc w:val="center"/>
      </w:pPr>
      <w:r>
        <w:rPr>
          <w:rFonts w:ascii="Arial" w:eastAsia="Arial" w:hAnsi="Arial" w:cs="Arial"/>
          <w:sz w:val="24"/>
          <w:szCs w:val="24"/>
        </w:rPr>
        <w:t xml:space="preserve">Word Count: </w:t>
      </w:r>
      <w:r w:rsidR="004479E4">
        <w:rPr>
          <w:rFonts w:ascii="Arial" w:eastAsia="Arial" w:hAnsi="Arial" w:cs="Arial"/>
          <w:sz w:val="24"/>
          <w:szCs w:val="24"/>
        </w:rPr>
        <w:t>1,944</w:t>
      </w:r>
    </w:p>
    <w:p w14:paraId="1FCB099F" w14:textId="77777777" w:rsidR="002B70A0" w:rsidRDefault="00000000">
      <w:pPr>
        <w:pageBreakBefore/>
        <w:spacing w:before="300" w:after="200" w:line="480" w:lineRule="auto"/>
      </w:pPr>
      <w:r>
        <w:rPr>
          <w:rFonts w:ascii="Arial" w:eastAsia="Arial" w:hAnsi="Arial" w:cs="Arial"/>
          <w:b/>
          <w:bCs/>
          <w:color w:val="000000"/>
          <w:sz w:val="28"/>
          <w:szCs w:val="28"/>
        </w:rPr>
        <w:lastRenderedPageBreak/>
        <w:t>Introduction</w:t>
      </w:r>
    </w:p>
    <w:p w14:paraId="4B3CD7ED" w14:textId="77777777" w:rsidR="002B70A0" w:rsidRDefault="00000000">
      <w:pPr>
        <w:spacing w:after="200" w:line="480" w:lineRule="auto"/>
        <w:jc w:val="both"/>
      </w:pPr>
      <w:r>
        <w:rPr>
          <w:rFonts w:ascii="Arial" w:eastAsia="Arial" w:hAnsi="Arial" w:cs="Arial"/>
          <w:sz w:val="24"/>
          <w:szCs w:val="24"/>
        </w:rPr>
        <w:t>Person-centred care (PCC) and partnership working (PW) are two principles that shape modern health and social care delivery in the UK. Both concepts sit at the core of national policy and professional guidance. This report defines PCC and examines its benefits and limitations. It then critically discusses a relevant model of care and analyses the ethical fundamentals that underpin practice. The report evaluates partnership working and its application in a practical setting. It closes with a discussion of policy and legislation and a set of recommendations for future development.</w:t>
      </w:r>
    </w:p>
    <w:p w14:paraId="78347DA7" w14:textId="77777777" w:rsidR="002B70A0" w:rsidRDefault="00000000">
      <w:pPr>
        <w:spacing w:before="300" w:after="200" w:line="480" w:lineRule="auto"/>
      </w:pPr>
      <w:r>
        <w:rPr>
          <w:rFonts w:ascii="Arial" w:eastAsia="Arial" w:hAnsi="Arial" w:cs="Arial"/>
          <w:b/>
          <w:bCs/>
          <w:color w:val="000000"/>
          <w:sz w:val="28"/>
          <w:szCs w:val="28"/>
        </w:rPr>
        <w:t>Person-Centred Care: Definition, Benefits and Limitations</w:t>
      </w:r>
    </w:p>
    <w:p w14:paraId="10C578B7" w14:textId="77777777" w:rsidR="002B70A0" w:rsidRDefault="00000000">
      <w:pPr>
        <w:spacing w:after="200" w:line="480" w:lineRule="auto"/>
        <w:jc w:val="both"/>
      </w:pPr>
      <w:r>
        <w:rPr>
          <w:rFonts w:ascii="Arial" w:eastAsia="Arial" w:hAnsi="Arial" w:cs="Arial"/>
          <w:sz w:val="24"/>
          <w:szCs w:val="24"/>
        </w:rPr>
        <w:t>Person-centred care means treating service users as equal partners in the planning, delivery and review of their own care, rather than as passive recipients (Skills for Health, 2025). It moves away from treating a diagnosis alone and instead looks at the person as a whole, including their needs, preferences and personal circumstances (World Health Organization, 2015). In practice, this means a practitioner does not just focus on a condition. They also take into account a person's values, relationships and daily life when planning support.</w:t>
      </w:r>
    </w:p>
    <w:p w14:paraId="02B4C081" w14:textId="77777777" w:rsidR="002B70A0" w:rsidRDefault="00000000">
      <w:pPr>
        <w:spacing w:after="200" w:line="480" w:lineRule="auto"/>
        <w:jc w:val="both"/>
      </w:pPr>
      <w:r>
        <w:rPr>
          <w:rFonts w:ascii="Arial" w:eastAsia="Arial" w:hAnsi="Arial" w:cs="Arial"/>
          <w:sz w:val="24"/>
          <w:szCs w:val="24"/>
        </w:rPr>
        <w:t xml:space="preserve">The benefits of this approach are well recorded. When people are involved in decisions about their own care, they tend to feel more satisfied and engaged with the services they use (Skills for Health, 2025). Looking at PCC through a capabilities lens also supports a person's dignity and self-determination, since it treats people as capable individuals rather than passive patients (Entwistle and Watt, 2013). This can reduce unnecessary interventions too, since care decisions are guided by what actually matters to the person instead of following routine procedure (Entwistle and Watt, </w:t>
      </w:r>
      <w:r>
        <w:rPr>
          <w:rFonts w:ascii="Arial" w:eastAsia="Arial" w:hAnsi="Arial" w:cs="Arial"/>
          <w:sz w:val="24"/>
          <w:szCs w:val="24"/>
        </w:rPr>
        <w:lastRenderedPageBreak/>
        <w:t>2013). Families and carers also benefit, as PCC opens up honest conversation and builds trust between them and professionals</w:t>
      </w:r>
    </w:p>
    <w:p w14:paraId="6B49B4EE" w14:textId="77777777" w:rsidR="00272905" w:rsidRDefault="00000000">
      <w:r>
        <w:t>.</w:t>
      </w:r>
    </w:p>
    <w:p w14:paraId="05AF04C7" w14:textId="77777777" w:rsidR="002B70A0" w:rsidRDefault="00000000">
      <w:pPr>
        <w:spacing w:after="200" w:line="480" w:lineRule="auto"/>
        <w:jc w:val="both"/>
      </w:pPr>
      <w:r>
        <w:rPr>
          <w:rFonts w:ascii="Arial" w:eastAsia="Arial" w:hAnsi="Arial" w:cs="Arial"/>
          <w:sz w:val="24"/>
          <w:szCs w:val="24"/>
        </w:rPr>
        <w:t>That said, PCC is not without its problems. One common criticism is that the concept itself is vague and hard to measure in a consistent way across different care settings (Entwistle and Watt, 2013). This lack of clarity can leave staff unsure of how to actually apply PCC principles day to day. On top of this, time and resource pressures often get in the way of delivering care that is genuinely tailored to the individual, especially where teams are understaffed. There is also the issue of communication. PCC relies on a certain level of shared decision-making, which can be much harder to achieve for people with cognitive impairment, sensory loss or reduced capacity, unless extra support and adapted communication methods are put in place.</w:t>
      </w:r>
    </w:p>
    <w:p w14:paraId="26570981" w14:textId="77777777" w:rsidR="002B70A0" w:rsidRDefault="00000000">
      <w:pPr>
        <w:spacing w:before="300" w:after="200" w:line="480" w:lineRule="auto"/>
      </w:pPr>
      <w:r>
        <w:rPr>
          <w:rFonts w:ascii="Arial" w:eastAsia="Arial" w:hAnsi="Arial" w:cs="Arial"/>
          <w:b/>
          <w:bCs/>
          <w:color w:val="000000"/>
          <w:sz w:val="28"/>
          <w:szCs w:val="28"/>
        </w:rPr>
        <w:t>A Theoretical Model Underpinning Person-Centred Care</w:t>
      </w:r>
    </w:p>
    <w:p w14:paraId="74147114" w14:textId="77777777" w:rsidR="002B70A0" w:rsidRDefault="00000000">
      <w:pPr>
        <w:spacing w:after="200" w:line="480" w:lineRule="auto"/>
        <w:jc w:val="both"/>
      </w:pPr>
      <w:r>
        <w:rPr>
          <w:rFonts w:ascii="Arial" w:eastAsia="Arial" w:hAnsi="Arial" w:cs="Arial"/>
          <w:sz w:val="24"/>
          <w:szCs w:val="24"/>
        </w:rPr>
        <w:t xml:space="preserve">The Person-Centred Practice Framework is a widely used model for operationalising PCC in nursing and social care (McCormack and McCance, 2006; McCormack and McCance, 2017). The framework consists of four domains: prerequisites, the care environment, person-centred processes and outcomes (McCormack and McCance, 2006). Prerequisites refer to the attributes of the practitioner, including professional competence, self-awareness and clarity of values. The care environment domain addresses organisational conditions such as an appropriate skill mix, shared decision-making and supportive leadership. Person-centred processes are about how care actually gets delivered day to day. This includes working alongside a person's beliefs and values, and showing genuine warmth and presence rather than just going through the motions. Outcomes are the results that come from practising in this way, such as </w:t>
      </w:r>
      <w:r>
        <w:rPr>
          <w:rFonts w:ascii="Arial" w:eastAsia="Arial" w:hAnsi="Arial" w:cs="Arial"/>
          <w:sz w:val="24"/>
          <w:szCs w:val="24"/>
        </w:rPr>
        <w:lastRenderedPageBreak/>
        <w:t>better wellbeing for the person receiving care and a more positive, therapeutic culture within the care setting.</w:t>
      </w:r>
    </w:p>
    <w:p w14:paraId="4F42F697" w14:textId="77777777" w:rsidR="002B70A0" w:rsidRDefault="00000000">
      <w:pPr>
        <w:spacing w:after="200" w:line="480" w:lineRule="auto"/>
        <w:jc w:val="both"/>
      </w:pPr>
      <w:r>
        <w:rPr>
          <w:rFonts w:ascii="Arial" w:eastAsia="Arial" w:hAnsi="Arial" w:cs="Arial"/>
          <w:sz w:val="24"/>
          <w:szCs w:val="24"/>
        </w:rPr>
        <w:t>This model is valuable because it moves PCC beyond an abstract value and into a structure that can guide practice, education and research. It highlights that person-centred outcomes depend not only on individual staff behaviour but also on the wider environment in which care takes place. A strength of this framework is its recognition that practitioner wellbeing and workplace culture directly affect the quality of person-centred practice (McCormack and McCance, 2017). A limitation, however, is that some of the constructs remain broadly described, which can make consistent application across different care settings challenging (McCormack and McCance, 2017). Even so, the framework remains one of the most cited theoretical models for person-centred practice in the UK and internationally.</w:t>
      </w:r>
    </w:p>
    <w:p w14:paraId="56FACF1A" w14:textId="77777777" w:rsidR="002B70A0" w:rsidRDefault="00000000">
      <w:pPr>
        <w:spacing w:before="300" w:after="200" w:line="480" w:lineRule="auto"/>
      </w:pPr>
      <w:r>
        <w:rPr>
          <w:rFonts w:ascii="Arial" w:eastAsia="Arial" w:hAnsi="Arial" w:cs="Arial"/>
          <w:b/>
          <w:bCs/>
          <w:color w:val="000000"/>
          <w:sz w:val="28"/>
          <w:szCs w:val="28"/>
        </w:rPr>
        <w:t>Ethical Fundamentals of Health and Social Care</w:t>
      </w:r>
    </w:p>
    <w:p w14:paraId="6EE806E3" w14:textId="77777777" w:rsidR="002B70A0" w:rsidRDefault="00000000">
      <w:pPr>
        <w:spacing w:after="200" w:line="480" w:lineRule="auto"/>
        <w:jc w:val="both"/>
      </w:pPr>
      <w:r>
        <w:rPr>
          <w:rFonts w:ascii="Arial" w:eastAsia="Arial" w:hAnsi="Arial" w:cs="Arial"/>
          <w:sz w:val="24"/>
          <w:szCs w:val="24"/>
        </w:rPr>
        <w:t>Ethical practice in health and social care is commonly guided by four principles: respect for autonomy, beneficence, non-maleficence and justice (Beauchamp and Childress, 2019). Respect for autonomy requires practitioners to support a person's right to make informed decisions about their own care. This principle is closely linked to PCC, since both concern recognising the individual as an active decision-maker rather than a passive recipient of services.</w:t>
      </w:r>
    </w:p>
    <w:p w14:paraId="565D28A0" w14:textId="77777777" w:rsidR="002B70A0" w:rsidRDefault="00000000">
      <w:pPr>
        <w:spacing w:after="200" w:line="480" w:lineRule="auto"/>
        <w:jc w:val="both"/>
      </w:pPr>
      <w:r>
        <w:rPr>
          <w:rFonts w:ascii="Arial" w:eastAsia="Arial" w:hAnsi="Arial" w:cs="Arial"/>
          <w:sz w:val="24"/>
          <w:szCs w:val="24"/>
        </w:rPr>
        <w:t xml:space="preserve">Beneficence requires practitioners to act in ways that promote the wellbeing of the people they support, while non-maleficence requires that harm is avoided wherever possible (Beauchamp and Childress, 2019). These two principles often need to be balanced against one another, particularly when a person's wishes appear to place </w:t>
      </w:r>
      <w:r>
        <w:rPr>
          <w:rFonts w:ascii="Arial" w:eastAsia="Arial" w:hAnsi="Arial" w:cs="Arial"/>
          <w:sz w:val="24"/>
          <w:szCs w:val="24"/>
        </w:rPr>
        <w:lastRenderedPageBreak/>
        <w:t>them at risk. Justice concerns the fair and equal distribution of care and resources, which is especially relevant in a system where demand frequently exceeds capacity (Beauchamp and Childress, 2019).</w:t>
      </w:r>
    </w:p>
    <w:p w14:paraId="4EEC6D32" w14:textId="77777777" w:rsidR="002B70A0" w:rsidRDefault="00000000">
      <w:pPr>
        <w:spacing w:after="200" w:line="480" w:lineRule="auto"/>
        <w:jc w:val="both"/>
      </w:pPr>
      <w:r>
        <w:rPr>
          <w:rFonts w:ascii="Arial" w:eastAsia="Arial" w:hAnsi="Arial" w:cs="Arial"/>
          <w:sz w:val="24"/>
          <w:szCs w:val="24"/>
        </w:rPr>
        <w:t>These ethical principles are not just abstract ideas. They are backed up by law. The Mental Capacity Act 2005, for example, gives real legal weight to autonomy. It states that a person must be assumed to have capacity unless it is proven otherwise, and that any decision taken on someone's behalf has to be in their best interests and the least restrictive option possible. Similarly, the Human Rights Act 1998 protects rights like dignity, privacy and freedom from inhuman or degrading treatment, all of which tie directly back into delivering person-centred and ethical care. When you put these ethical principles and legal frameworks together, they form the foundation that person-centred and partnership-based practice is actually built on.</w:t>
      </w:r>
    </w:p>
    <w:p w14:paraId="5F2606A8" w14:textId="77777777" w:rsidR="002B70A0" w:rsidRDefault="00000000">
      <w:pPr>
        <w:spacing w:before="300" w:after="200" w:line="480" w:lineRule="auto"/>
      </w:pPr>
      <w:r>
        <w:rPr>
          <w:rFonts w:ascii="Arial" w:eastAsia="Arial" w:hAnsi="Arial" w:cs="Arial"/>
          <w:b/>
          <w:bCs/>
          <w:color w:val="000000"/>
          <w:sz w:val="28"/>
          <w:szCs w:val="28"/>
        </w:rPr>
        <w:t>Evaluation of Partnership Working in Health and Social Care</w:t>
      </w:r>
    </w:p>
    <w:p w14:paraId="50DA3FA9" w14:textId="77777777" w:rsidR="002B70A0" w:rsidRDefault="00000000">
      <w:pPr>
        <w:spacing w:after="200" w:line="480" w:lineRule="auto"/>
        <w:jc w:val="both"/>
      </w:pPr>
      <w:r>
        <w:rPr>
          <w:rFonts w:ascii="Arial" w:eastAsia="Arial" w:hAnsi="Arial" w:cs="Arial"/>
          <w:sz w:val="24"/>
          <w:szCs w:val="24"/>
        </w:rPr>
        <w:t>Partnership working is a structured process of joint working between organisations, professionals and service users that goes beyond individual organisational boundaries in order to deliver more integrated care (Glasby and Dickinson, 2014). It can take place at different levels, including partnerships between health and social care professionals, between organisations and agencies, and directly with service users and their families.</w:t>
      </w:r>
    </w:p>
    <w:p w14:paraId="5FC90E0F" w14:textId="77777777" w:rsidR="002B70A0" w:rsidRDefault="00000000">
      <w:pPr>
        <w:spacing w:after="200" w:line="480" w:lineRule="auto"/>
        <w:jc w:val="both"/>
      </w:pPr>
      <w:r>
        <w:rPr>
          <w:rFonts w:ascii="Arial" w:eastAsia="Arial" w:hAnsi="Arial" w:cs="Arial"/>
          <w:sz w:val="24"/>
          <w:szCs w:val="24"/>
        </w:rPr>
        <w:t xml:space="preserve">The evaluation of partnership working shows both clear strengths and persistent challenges. On the positive side, joint commissioning and integrated teams have been shown to reduce duplication and to improve access to a wider range of services for people with complex needs (Glasby and Dickinson, 2014). Coordinated approaches </w:t>
      </w:r>
      <w:r>
        <w:rPr>
          <w:rFonts w:ascii="Arial" w:eastAsia="Arial" w:hAnsi="Arial" w:cs="Arial"/>
          <w:sz w:val="24"/>
          <w:szCs w:val="24"/>
        </w:rPr>
        <w:lastRenderedPageBreak/>
        <w:t>can also improve outcomes for service users, since professionals share information and expertise rather than working in isolation. However, partnership working is not without difficulty. Differences in organisational priorities, professional cultures and funding structures can create friction between partners. Confidentiality rules can also get in the way of information sharing between agencies, which can slow decisions down and make services less responsive when people need them. So building partnerships that actually work takes sustained trust, clear communication and everyone involved being on the same page about what they are trying to achieve (Glasby and Dickinson, 2014).</w:t>
      </w:r>
    </w:p>
    <w:p w14:paraId="3F2D4338" w14:textId="77777777" w:rsidR="002B70A0" w:rsidRDefault="00000000">
      <w:pPr>
        <w:spacing w:after="200" w:line="480" w:lineRule="auto"/>
        <w:jc w:val="both"/>
      </w:pPr>
      <w:r>
        <w:rPr>
          <w:rFonts w:ascii="Arial" w:eastAsia="Arial" w:hAnsi="Arial" w:cs="Arial"/>
          <w:sz w:val="24"/>
          <w:szCs w:val="24"/>
        </w:rPr>
        <w:t>It is also worth saying that partnership working, like PCC, often gets assumed to be a good thing without much critical thought about whether the evidence actually backs that up. A fairer way to look at it is that partnership working is a tool for improving outcomes, not something valuable in itself. How much it actually helps depends on how well it is put into practice in a given setting.</w:t>
      </w:r>
    </w:p>
    <w:p w14:paraId="46789927" w14:textId="77777777" w:rsidR="002B70A0" w:rsidRDefault="00000000">
      <w:pPr>
        <w:spacing w:before="300" w:after="200" w:line="480" w:lineRule="auto"/>
      </w:pPr>
      <w:r>
        <w:rPr>
          <w:rFonts w:ascii="Arial" w:eastAsia="Arial" w:hAnsi="Arial" w:cs="Arial"/>
          <w:b/>
          <w:bCs/>
          <w:color w:val="000000"/>
          <w:sz w:val="28"/>
          <w:szCs w:val="28"/>
        </w:rPr>
        <w:t>Application of Partnership Working in a Practical Setting</w:t>
      </w:r>
    </w:p>
    <w:p w14:paraId="1B9856E5" w14:textId="77777777" w:rsidR="002B70A0" w:rsidRDefault="00000000">
      <w:pPr>
        <w:spacing w:after="200" w:line="480" w:lineRule="auto"/>
        <w:jc w:val="both"/>
      </w:pPr>
      <w:r>
        <w:rPr>
          <w:rFonts w:ascii="Arial" w:eastAsia="Arial" w:hAnsi="Arial" w:cs="Arial"/>
          <w:sz w:val="24"/>
          <w:szCs w:val="24"/>
        </w:rPr>
        <w:t>Partnership working can be seen clearly in the context of hospital discharge planning for older people with complex care needs. In this setting, professionals from acute hospital wards, community nursing teams, social workers and voluntary sector organisations must coordinate their input to ensure that a person can return home safely or move to an appropriate care setting. This process typically involves a multidisciplinary discharge meeting, where information about a person's medical condition, mobility, home environment and family support is shared between professionals.</w:t>
      </w:r>
    </w:p>
    <w:p w14:paraId="3E4A4DFB" w14:textId="77777777" w:rsidR="002B70A0" w:rsidRDefault="00000000">
      <w:pPr>
        <w:spacing w:after="200" w:line="480" w:lineRule="auto"/>
        <w:jc w:val="both"/>
      </w:pPr>
      <w:r>
        <w:rPr>
          <w:rFonts w:ascii="Arial" w:eastAsia="Arial" w:hAnsi="Arial" w:cs="Arial"/>
          <w:sz w:val="24"/>
          <w:szCs w:val="24"/>
        </w:rPr>
        <w:lastRenderedPageBreak/>
        <w:t>Effective partnership working in this setting depends on timely communication and a shared understanding of the person's wishes. Where this works well, a person can be discharged promptly with equipment, medication and community support already arranged, reducing the risk of readmission. Where partnership working breaks down, for example, through delays in information sharing between the hospital and social services, a person may experience an unnecessarily prolonged hospital stay or an unsafe discharge. This example illustrates that the practical success of partnership working relies heavily on the systems, relationships and communication channels that connect different professionals and organisations (Glasby and Dickinson, 2014).</w:t>
      </w:r>
    </w:p>
    <w:p w14:paraId="439E7844" w14:textId="77777777" w:rsidR="002B70A0" w:rsidRDefault="00000000">
      <w:pPr>
        <w:spacing w:before="300" w:after="200" w:line="480" w:lineRule="auto"/>
      </w:pPr>
      <w:r>
        <w:rPr>
          <w:rFonts w:ascii="Arial" w:eastAsia="Arial" w:hAnsi="Arial" w:cs="Arial"/>
          <w:b/>
          <w:bCs/>
          <w:color w:val="000000"/>
          <w:sz w:val="28"/>
          <w:szCs w:val="28"/>
        </w:rPr>
        <w:t>Policy and Legislation Relating to Person-Centred Care and Partnership Working</w:t>
      </w:r>
    </w:p>
    <w:p w14:paraId="317899A0" w14:textId="77777777" w:rsidR="002B70A0" w:rsidRDefault="00000000">
      <w:pPr>
        <w:spacing w:after="200" w:line="480" w:lineRule="auto"/>
        <w:jc w:val="both"/>
      </w:pPr>
      <w:r>
        <w:rPr>
          <w:rFonts w:ascii="Arial" w:eastAsia="Arial" w:hAnsi="Arial" w:cs="Arial"/>
          <w:sz w:val="24"/>
          <w:szCs w:val="24"/>
        </w:rPr>
        <w:t>UK policy and legislation are increasingly bringing PCC and partnership working together. Under the Health and Social Care Act 2008 (Regulated Activities) Regulations 2014, providers have a legal duty to deliver care that is personalised to the individual, and this is one of the standards the Care Quality Commission actually inspects for (Skills for Health, 2025). The Care Act 2014 goes further, requiring local authorities to work with the NHS and other bodies so that the care and support system is built around the person (Local Government Association, 2024).</w:t>
      </w:r>
    </w:p>
    <w:p w14:paraId="7AAA6F8E" w14:textId="77777777" w:rsidR="002B70A0" w:rsidRDefault="00000000">
      <w:pPr>
        <w:spacing w:after="200" w:line="480" w:lineRule="auto"/>
        <w:jc w:val="both"/>
      </w:pPr>
      <w:r>
        <w:rPr>
          <w:rFonts w:ascii="Arial" w:eastAsia="Arial" w:hAnsi="Arial" w:cs="Arial"/>
          <w:sz w:val="24"/>
          <w:szCs w:val="24"/>
        </w:rPr>
        <w:t xml:space="preserve">More recently, the Health and Care Act 2022 gave Integrated Care Systems a legal footing across England, setting up Integrated Care Boards and Integrated Care Partnerships so that NHS organisations and local authorities plan services together instead of working in silos (Local Government Association, 2024). Statutory guidance also requires these bodies to work in genuine partnership with people and communities, meaning service users get an actual say in how local services are </w:t>
      </w:r>
      <w:r>
        <w:rPr>
          <w:rFonts w:ascii="Arial" w:eastAsia="Arial" w:hAnsi="Arial" w:cs="Arial"/>
          <w:sz w:val="24"/>
          <w:szCs w:val="24"/>
        </w:rPr>
        <w:lastRenderedPageBreak/>
        <w:t>designed and run (NHS England, 2024). Alongside this, the Mental Capacity Act 2005 and the Human Rights Act 1998 give legal weight to autonomy and dignity, both of which are central to person-centred practice. Looking at all of this together, it becomes clear that PCC and partnership working are not treated as two separate ideals in UK policy. They are woven into each other, shaping how health and social care actually has to be delivered.</w:t>
      </w:r>
    </w:p>
    <w:p w14:paraId="77869205" w14:textId="77777777" w:rsidR="002B70A0" w:rsidRDefault="00000000">
      <w:pPr>
        <w:spacing w:before="300" w:after="200" w:line="480" w:lineRule="auto"/>
      </w:pPr>
      <w:r>
        <w:rPr>
          <w:rFonts w:ascii="Arial" w:eastAsia="Arial" w:hAnsi="Arial" w:cs="Arial"/>
          <w:b/>
          <w:bCs/>
          <w:color w:val="000000"/>
          <w:sz w:val="28"/>
          <w:szCs w:val="28"/>
        </w:rPr>
        <w:t>Recommendations for Future Development</w:t>
      </w:r>
    </w:p>
    <w:p w14:paraId="009CB831" w14:textId="77777777" w:rsidR="002B70A0" w:rsidRDefault="00000000">
      <w:pPr>
        <w:spacing w:after="200" w:line="480" w:lineRule="auto"/>
        <w:jc w:val="both"/>
      </w:pPr>
      <w:r>
        <w:rPr>
          <w:rFonts w:ascii="Arial" w:eastAsia="Arial" w:hAnsi="Arial" w:cs="Arial"/>
          <w:sz w:val="24"/>
          <w:szCs w:val="24"/>
        </w:rPr>
        <w:t>Several recommendations can be made to strengthen the future development of PCC and partnership working in the UK. First, training programmes for health and social care staff should give clearer, more practical guidance on how to apply person-centred principles in day-to-day practice, rather than treating PCC as an abstract value. Second, information-sharing systems between health and social care organisations should be improved and standardised, so that confidentiality requirements do not unnecessarily delay coordinated care. Third, when evaluating services, feedback should come directly from service users and carers themselves. This way, partnership working gets judged on outcomes that actually matter to people, not just on whether an organisation has hit its own targets. Finally, sustained investment in workforce capacity is needed, since time pressure remains one of the most significant barriers to delivering genuinely individualised, person-centred care within integrated systems.</w:t>
      </w:r>
    </w:p>
    <w:p w14:paraId="1752D258" w14:textId="77777777" w:rsidR="002B70A0" w:rsidRDefault="00000000">
      <w:pPr>
        <w:spacing w:before="300" w:after="200" w:line="480" w:lineRule="auto"/>
      </w:pPr>
      <w:r>
        <w:rPr>
          <w:rFonts w:ascii="Arial" w:eastAsia="Arial" w:hAnsi="Arial" w:cs="Arial"/>
          <w:b/>
          <w:bCs/>
          <w:color w:val="000000"/>
          <w:sz w:val="28"/>
          <w:szCs w:val="28"/>
        </w:rPr>
        <w:t>Conclusion</w:t>
      </w:r>
    </w:p>
    <w:p w14:paraId="5F5C49B1" w14:textId="77777777" w:rsidR="002B70A0" w:rsidRDefault="00000000">
      <w:pPr>
        <w:spacing w:after="200" w:line="480" w:lineRule="auto"/>
        <w:jc w:val="both"/>
      </w:pPr>
      <w:r>
        <w:rPr>
          <w:rFonts w:ascii="Arial" w:eastAsia="Arial" w:hAnsi="Arial" w:cs="Arial"/>
          <w:sz w:val="24"/>
          <w:szCs w:val="24"/>
        </w:rPr>
        <w:t xml:space="preserve">Person-centred care and partnership working go hand in hand, and both shape the way health and social care is actually practised in the UK. With PCC, the individual is the one making decisions about their own care, not just being told what will happen to </w:t>
      </w:r>
      <w:r>
        <w:rPr>
          <w:rFonts w:ascii="Arial" w:eastAsia="Arial" w:hAnsi="Arial" w:cs="Arial"/>
          <w:sz w:val="24"/>
          <w:szCs w:val="24"/>
        </w:rPr>
        <w:lastRenderedPageBreak/>
        <w:t>them. This is backed by ethical principles like autonomy, beneficence, non-maleficence and justice, and it comes to life through models such as the Person-Centred Practice Framework. Partnership working extends this individual focus into the wider system, requiring professionals and organisations to collaborate effectively in order to deliver coordinated support. UK policy and legislation, from the Care Act 2014 to the Health and Care Act 2022, increasingly bind these two principles together. Continued progress will depend on practical training, improved information sharing and sustained investment in the workforce that delivers care.</w:t>
      </w:r>
    </w:p>
    <w:p w14:paraId="7283FAD4" w14:textId="77777777" w:rsidR="002B70A0" w:rsidRDefault="00000000">
      <w:pPr>
        <w:pageBreakBefore/>
        <w:spacing w:before="300" w:after="200" w:line="480" w:lineRule="auto"/>
      </w:pPr>
      <w:r>
        <w:rPr>
          <w:rFonts w:ascii="Arial" w:eastAsia="Arial" w:hAnsi="Arial" w:cs="Arial"/>
          <w:b/>
          <w:bCs/>
          <w:color w:val="000000"/>
          <w:sz w:val="28"/>
          <w:szCs w:val="28"/>
        </w:rPr>
        <w:lastRenderedPageBreak/>
        <w:t>References</w:t>
      </w:r>
    </w:p>
    <w:p w14:paraId="4C3A9259" w14:textId="77777777" w:rsidR="002B70A0" w:rsidRDefault="00000000">
      <w:pPr>
        <w:spacing w:after="200" w:line="360" w:lineRule="auto"/>
        <w:ind w:left="720" w:hanging="720"/>
        <w:jc w:val="both"/>
      </w:pPr>
      <w:r>
        <w:rPr>
          <w:rFonts w:ascii="Arial" w:eastAsia="Arial" w:hAnsi="Arial" w:cs="Arial"/>
          <w:sz w:val="24"/>
          <w:szCs w:val="24"/>
        </w:rPr>
        <w:t xml:space="preserve">Beauchamp, T.L. and Childress, J.F., 2019. </w:t>
      </w:r>
      <w:r>
        <w:rPr>
          <w:rFonts w:ascii="Arial" w:eastAsia="Arial" w:hAnsi="Arial" w:cs="Arial"/>
          <w:i/>
          <w:iCs/>
          <w:sz w:val="24"/>
          <w:szCs w:val="24"/>
        </w:rPr>
        <w:t>Principles of biomedical ethics.</w:t>
      </w:r>
      <w:r>
        <w:rPr>
          <w:rFonts w:ascii="Arial" w:eastAsia="Arial" w:hAnsi="Arial" w:cs="Arial"/>
          <w:sz w:val="24"/>
          <w:szCs w:val="24"/>
        </w:rPr>
        <w:t xml:space="preserve"> 8th ed. New York: Oxford University Press.</w:t>
      </w:r>
    </w:p>
    <w:p w14:paraId="7E0D396B" w14:textId="77777777" w:rsidR="002B70A0" w:rsidRDefault="00000000">
      <w:pPr>
        <w:spacing w:after="200" w:line="360" w:lineRule="auto"/>
        <w:ind w:left="720" w:hanging="720"/>
        <w:jc w:val="both"/>
      </w:pPr>
      <w:r>
        <w:rPr>
          <w:rFonts w:ascii="Arial" w:eastAsia="Arial" w:hAnsi="Arial" w:cs="Arial"/>
          <w:sz w:val="24"/>
          <w:szCs w:val="24"/>
        </w:rPr>
        <w:t>Care Act 2014. (c.23). London: The Stationery Office.</w:t>
      </w:r>
    </w:p>
    <w:p w14:paraId="5C60BCF3" w14:textId="77777777" w:rsidR="002B70A0" w:rsidRDefault="00000000">
      <w:pPr>
        <w:spacing w:after="200" w:line="360" w:lineRule="auto"/>
        <w:ind w:left="720" w:hanging="720"/>
        <w:jc w:val="both"/>
      </w:pPr>
      <w:r>
        <w:rPr>
          <w:rFonts w:ascii="Arial" w:eastAsia="Arial" w:hAnsi="Arial" w:cs="Arial"/>
          <w:sz w:val="24"/>
          <w:szCs w:val="24"/>
        </w:rPr>
        <w:t xml:space="preserve">Entwistle, V.A. and Watt, I.S., 2013. Treating patients as persons: a capabilities approach to support delivery of person-centred care. </w:t>
      </w:r>
      <w:r>
        <w:rPr>
          <w:rFonts w:ascii="Arial" w:eastAsia="Arial" w:hAnsi="Arial" w:cs="Arial"/>
          <w:i/>
          <w:iCs/>
          <w:sz w:val="24"/>
          <w:szCs w:val="24"/>
        </w:rPr>
        <w:t>American Journal of Bioethics,</w:t>
      </w:r>
      <w:r>
        <w:rPr>
          <w:rFonts w:ascii="Arial" w:eastAsia="Arial" w:hAnsi="Arial" w:cs="Arial"/>
          <w:sz w:val="24"/>
          <w:szCs w:val="24"/>
        </w:rPr>
        <w:t xml:space="preserve"> 13(8), pp.29-39.</w:t>
      </w:r>
    </w:p>
    <w:p w14:paraId="063D9285" w14:textId="77777777" w:rsidR="002B70A0" w:rsidRDefault="00000000">
      <w:pPr>
        <w:spacing w:after="200" w:line="360" w:lineRule="auto"/>
        <w:ind w:left="720" w:hanging="720"/>
        <w:jc w:val="both"/>
      </w:pPr>
      <w:r>
        <w:rPr>
          <w:rFonts w:ascii="Arial" w:eastAsia="Arial" w:hAnsi="Arial" w:cs="Arial"/>
          <w:sz w:val="24"/>
          <w:szCs w:val="24"/>
        </w:rPr>
        <w:t xml:space="preserve">Glasby, J. and Dickinson, H., 2014. </w:t>
      </w:r>
      <w:r>
        <w:rPr>
          <w:rFonts w:ascii="Arial" w:eastAsia="Arial" w:hAnsi="Arial" w:cs="Arial"/>
          <w:i/>
          <w:iCs/>
          <w:sz w:val="24"/>
          <w:szCs w:val="24"/>
        </w:rPr>
        <w:t>Partnership working in health and social care: what is integrated care and how can we deliver it?</w:t>
      </w:r>
      <w:r>
        <w:rPr>
          <w:rFonts w:ascii="Arial" w:eastAsia="Arial" w:hAnsi="Arial" w:cs="Arial"/>
          <w:sz w:val="24"/>
          <w:szCs w:val="24"/>
        </w:rPr>
        <w:t xml:space="preserve"> 2nd ed. Bristol: Policy Press.</w:t>
      </w:r>
    </w:p>
    <w:p w14:paraId="032A9C70" w14:textId="77777777" w:rsidR="002B70A0" w:rsidRDefault="00000000">
      <w:pPr>
        <w:spacing w:after="200" w:line="360" w:lineRule="auto"/>
        <w:ind w:left="720" w:hanging="720"/>
        <w:jc w:val="both"/>
      </w:pPr>
      <w:r>
        <w:rPr>
          <w:rFonts w:ascii="Arial" w:eastAsia="Arial" w:hAnsi="Arial" w:cs="Arial"/>
          <w:sz w:val="24"/>
          <w:szCs w:val="24"/>
        </w:rPr>
        <w:t>Health and Care Act 2022. (c.31). London: The Stationery Office.</w:t>
      </w:r>
    </w:p>
    <w:p w14:paraId="14C016EF" w14:textId="77777777" w:rsidR="002B70A0" w:rsidRDefault="00000000">
      <w:pPr>
        <w:spacing w:after="200" w:line="360" w:lineRule="auto"/>
        <w:ind w:left="720" w:hanging="720"/>
        <w:jc w:val="both"/>
      </w:pPr>
      <w:r>
        <w:rPr>
          <w:rFonts w:ascii="Arial" w:eastAsia="Arial" w:hAnsi="Arial" w:cs="Arial"/>
          <w:sz w:val="24"/>
          <w:szCs w:val="24"/>
        </w:rPr>
        <w:t>Health and Social Care Act 2008 (Regulated Activities) Regulations 2014. (SI 2014/2936). London: The Stationery Office.</w:t>
      </w:r>
    </w:p>
    <w:p w14:paraId="283C82AE" w14:textId="77777777" w:rsidR="002B70A0" w:rsidRDefault="00000000">
      <w:pPr>
        <w:spacing w:after="200" w:line="360" w:lineRule="auto"/>
        <w:ind w:left="720" w:hanging="720"/>
        <w:jc w:val="both"/>
      </w:pPr>
      <w:r>
        <w:rPr>
          <w:rFonts w:ascii="Arial" w:eastAsia="Arial" w:hAnsi="Arial" w:cs="Arial"/>
          <w:sz w:val="24"/>
          <w:szCs w:val="24"/>
        </w:rPr>
        <w:t>Human Rights Act 1998. (c.42). London: The Stationery Office.</w:t>
      </w:r>
    </w:p>
    <w:p w14:paraId="346E0C00" w14:textId="77777777" w:rsidR="002B70A0" w:rsidRDefault="00000000">
      <w:pPr>
        <w:spacing w:after="200" w:line="360" w:lineRule="auto"/>
        <w:ind w:left="720" w:hanging="720"/>
        <w:jc w:val="both"/>
      </w:pPr>
      <w:r>
        <w:rPr>
          <w:rFonts w:ascii="Arial" w:eastAsia="Arial" w:hAnsi="Arial" w:cs="Arial"/>
          <w:sz w:val="24"/>
          <w:szCs w:val="24"/>
        </w:rPr>
        <w:t xml:space="preserve">Local Government Association, 2024. </w:t>
      </w:r>
      <w:r>
        <w:rPr>
          <w:rFonts w:ascii="Arial" w:eastAsia="Arial" w:hAnsi="Arial" w:cs="Arial"/>
          <w:i/>
          <w:iCs/>
          <w:sz w:val="24"/>
          <w:szCs w:val="24"/>
        </w:rPr>
        <w:t>The Care Act 2014: ten years on from Royal Assent.</w:t>
      </w:r>
      <w:r>
        <w:rPr>
          <w:rFonts w:ascii="Arial" w:eastAsia="Arial" w:hAnsi="Arial" w:cs="Arial"/>
          <w:sz w:val="24"/>
          <w:szCs w:val="24"/>
        </w:rPr>
        <w:t xml:space="preserve"> [online] Available at: https://www.local.gov.uk/publications/care-act-2014-ten-years-royal-assent [Accessed 2</w:t>
      </w:r>
      <w:r w:rsidR="00593A4F">
        <w:rPr>
          <w:rFonts w:ascii="Arial" w:eastAsia="Arial" w:hAnsi="Arial" w:cs="Arial"/>
          <w:sz w:val="24"/>
          <w:szCs w:val="24"/>
        </w:rPr>
        <w:t>0</w:t>
      </w:r>
      <w:r>
        <w:rPr>
          <w:rFonts w:ascii="Arial" w:eastAsia="Arial" w:hAnsi="Arial" w:cs="Arial"/>
          <w:sz w:val="24"/>
          <w:szCs w:val="24"/>
        </w:rPr>
        <w:t xml:space="preserve"> July 2026].</w:t>
      </w:r>
    </w:p>
    <w:p w14:paraId="7CCF3E14" w14:textId="77777777" w:rsidR="002B70A0" w:rsidRDefault="00000000">
      <w:pPr>
        <w:spacing w:after="200" w:line="360" w:lineRule="auto"/>
        <w:ind w:left="720" w:hanging="720"/>
        <w:jc w:val="both"/>
      </w:pPr>
      <w:r>
        <w:rPr>
          <w:rFonts w:ascii="Arial" w:eastAsia="Arial" w:hAnsi="Arial" w:cs="Arial"/>
          <w:sz w:val="24"/>
          <w:szCs w:val="24"/>
        </w:rPr>
        <w:t xml:space="preserve">McCormack, B. and McCance, T., 2006. Development of a framework for person-centred nursing. </w:t>
      </w:r>
      <w:r>
        <w:rPr>
          <w:rFonts w:ascii="Arial" w:eastAsia="Arial" w:hAnsi="Arial" w:cs="Arial"/>
          <w:i/>
          <w:iCs/>
          <w:sz w:val="24"/>
          <w:szCs w:val="24"/>
        </w:rPr>
        <w:t>Journal of Advanced Nursing,</w:t>
      </w:r>
      <w:r>
        <w:rPr>
          <w:rFonts w:ascii="Arial" w:eastAsia="Arial" w:hAnsi="Arial" w:cs="Arial"/>
          <w:sz w:val="24"/>
          <w:szCs w:val="24"/>
        </w:rPr>
        <w:t xml:space="preserve"> 56(5), pp.472-479.</w:t>
      </w:r>
    </w:p>
    <w:p w14:paraId="358D7C8D" w14:textId="77777777" w:rsidR="002B70A0" w:rsidRDefault="00000000">
      <w:pPr>
        <w:spacing w:after="200" w:line="360" w:lineRule="auto"/>
        <w:ind w:left="720" w:hanging="720"/>
        <w:jc w:val="both"/>
      </w:pPr>
      <w:r>
        <w:rPr>
          <w:rFonts w:ascii="Arial" w:eastAsia="Arial" w:hAnsi="Arial" w:cs="Arial"/>
          <w:sz w:val="24"/>
          <w:szCs w:val="24"/>
        </w:rPr>
        <w:t xml:space="preserve">McCormack, B. and McCance, T., 2017. </w:t>
      </w:r>
      <w:r>
        <w:rPr>
          <w:rFonts w:ascii="Arial" w:eastAsia="Arial" w:hAnsi="Arial" w:cs="Arial"/>
          <w:i/>
          <w:iCs/>
          <w:sz w:val="24"/>
          <w:szCs w:val="24"/>
        </w:rPr>
        <w:t>Person-centred practice in nursing and health care: theory and practice.</w:t>
      </w:r>
      <w:r>
        <w:rPr>
          <w:rFonts w:ascii="Arial" w:eastAsia="Arial" w:hAnsi="Arial" w:cs="Arial"/>
          <w:sz w:val="24"/>
          <w:szCs w:val="24"/>
        </w:rPr>
        <w:t xml:space="preserve"> 2nd ed. Chichester: Wiley Blackwell.</w:t>
      </w:r>
    </w:p>
    <w:p w14:paraId="0FF00DA9" w14:textId="77777777" w:rsidR="002B70A0" w:rsidRDefault="00000000">
      <w:pPr>
        <w:spacing w:after="200" w:line="360" w:lineRule="auto"/>
        <w:ind w:left="720" w:hanging="720"/>
        <w:jc w:val="both"/>
      </w:pPr>
      <w:r>
        <w:rPr>
          <w:rFonts w:ascii="Arial" w:eastAsia="Arial" w:hAnsi="Arial" w:cs="Arial"/>
          <w:sz w:val="24"/>
          <w:szCs w:val="24"/>
        </w:rPr>
        <w:t>Mental Capacity Act 2005. (c.9). London: The Stationery Office.</w:t>
      </w:r>
    </w:p>
    <w:p w14:paraId="0748B71C" w14:textId="77777777" w:rsidR="002B70A0" w:rsidRDefault="00000000">
      <w:pPr>
        <w:spacing w:after="200" w:line="360" w:lineRule="auto"/>
        <w:ind w:left="720" w:hanging="720"/>
        <w:jc w:val="both"/>
      </w:pPr>
      <w:r>
        <w:rPr>
          <w:rFonts w:ascii="Arial" w:eastAsia="Arial" w:hAnsi="Arial" w:cs="Arial"/>
          <w:sz w:val="24"/>
          <w:szCs w:val="24"/>
        </w:rPr>
        <w:t xml:space="preserve">NHS England, 2024. </w:t>
      </w:r>
      <w:r>
        <w:rPr>
          <w:rFonts w:ascii="Arial" w:eastAsia="Arial" w:hAnsi="Arial" w:cs="Arial"/>
          <w:i/>
          <w:iCs/>
          <w:sz w:val="24"/>
          <w:szCs w:val="24"/>
        </w:rPr>
        <w:t>Working in partnership with people and communities: statutory guidance.</w:t>
      </w:r>
      <w:r>
        <w:rPr>
          <w:rFonts w:ascii="Arial" w:eastAsia="Arial" w:hAnsi="Arial" w:cs="Arial"/>
          <w:sz w:val="24"/>
          <w:szCs w:val="24"/>
        </w:rPr>
        <w:t xml:space="preserve"> [online] Available at: https://www.england.nhs.uk/long-read/working-in-partnership-with-people-and-communities-statutory-guidance/ [Accessed 2</w:t>
      </w:r>
      <w:r w:rsidR="00593A4F">
        <w:rPr>
          <w:rFonts w:ascii="Arial" w:eastAsia="Arial" w:hAnsi="Arial" w:cs="Arial"/>
          <w:sz w:val="24"/>
          <w:szCs w:val="24"/>
        </w:rPr>
        <w:t>0</w:t>
      </w:r>
      <w:r>
        <w:rPr>
          <w:rFonts w:ascii="Arial" w:eastAsia="Arial" w:hAnsi="Arial" w:cs="Arial"/>
          <w:sz w:val="24"/>
          <w:szCs w:val="24"/>
        </w:rPr>
        <w:t xml:space="preserve"> July 2026].</w:t>
      </w:r>
    </w:p>
    <w:p w14:paraId="0BA54ED1" w14:textId="77777777" w:rsidR="002B70A0" w:rsidRDefault="00000000">
      <w:pPr>
        <w:spacing w:after="200" w:line="360" w:lineRule="auto"/>
        <w:ind w:left="720" w:hanging="720"/>
        <w:jc w:val="both"/>
      </w:pPr>
      <w:r>
        <w:rPr>
          <w:rFonts w:ascii="Arial" w:eastAsia="Arial" w:hAnsi="Arial" w:cs="Arial"/>
          <w:sz w:val="24"/>
          <w:szCs w:val="24"/>
        </w:rPr>
        <w:lastRenderedPageBreak/>
        <w:t xml:space="preserve">Skills for Health, 2025. </w:t>
      </w:r>
      <w:r>
        <w:rPr>
          <w:rFonts w:ascii="Arial" w:eastAsia="Arial" w:hAnsi="Arial" w:cs="Arial"/>
          <w:i/>
          <w:iCs/>
          <w:sz w:val="24"/>
          <w:szCs w:val="24"/>
        </w:rPr>
        <w:t>Person-centred care: what it means and why it matters.</w:t>
      </w:r>
      <w:r>
        <w:rPr>
          <w:rFonts w:ascii="Arial" w:eastAsia="Arial" w:hAnsi="Arial" w:cs="Arial"/>
          <w:sz w:val="24"/>
          <w:szCs w:val="24"/>
        </w:rPr>
        <w:t xml:space="preserve"> [online] Available at: https://www.skillsforhealth.org.uk/article/person-centred-care-meaning-implications/ [Accessed 20 July 2026].</w:t>
      </w:r>
    </w:p>
    <w:p w14:paraId="5FCD70C1" w14:textId="77777777" w:rsidR="002B70A0" w:rsidRDefault="00000000">
      <w:pPr>
        <w:spacing w:after="200" w:line="360" w:lineRule="auto"/>
        <w:ind w:left="720" w:hanging="720"/>
        <w:jc w:val="both"/>
      </w:pPr>
      <w:r>
        <w:rPr>
          <w:rFonts w:ascii="Arial" w:eastAsia="Arial" w:hAnsi="Arial" w:cs="Arial"/>
          <w:sz w:val="24"/>
          <w:szCs w:val="24"/>
        </w:rPr>
        <w:t xml:space="preserve">World Health Organization, 2015. </w:t>
      </w:r>
      <w:r>
        <w:rPr>
          <w:rFonts w:ascii="Arial" w:eastAsia="Arial" w:hAnsi="Arial" w:cs="Arial"/>
          <w:i/>
          <w:iCs/>
          <w:sz w:val="24"/>
          <w:szCs w:val="24"/>
        </w:rPr>
        <w:t>WHO global strategy on people-centred and integrated health services: interim report.</w:t>
      </w:r>
      <w:r>
        <w:rPr>
          <w:rFonts w:ascii="Arial" w:eastAsia="Arial" w:hAnsi="Arial" w:cs="Arial"/>
          <w:sz w:val="24"/>
          <w:szCs w:val="24"/>
        </w:rPr>
        <w:t xml:space="preserve"> Geneva: World Health Organization.</w:t>
      </w:r>
    </w:p>
    <w:sectPr w:rsidR="002B70A0">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DBC051" w14:textId="77777777" w:rsidR="002D0821" w:rsidRDefault="002D0821">
      <w:r>
        <w:separator/>
      </w:r>
    </w:p>
  </w:endnote>
  <w:endnote w:type="continuationSeparator" w:id="0">
    <w:p w14:paraId="7F18D0C9" w14:textId="77777777" w:rsidR="002D0821" w:rsidRDefault="002D0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814DFA" w14:textId="77777777" w:rsidR="002B70A0"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B412AB">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0EBE88" w14:textId="77777777" w:rsidR="002D0821" w:rsidRDefault="002D0821">
      <w:r>
        <w:separator/>
      </w:r>
    </w:p>
  </w:footnote>
  <w:footnote w:type="continuationSeparator" w:id="0">
    <w:p w14:paraId="7B938449" w14:textId="77777777" w:rsidR="002D0821" w:rsidRDefault="002D0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390DBA" w14:textId="77777777" w:rsidR="00B412AB" w:rsidRDefault="00B412AB">
    <w:pPr>
      <w:pStyle w:val="Header"/>
    </w:pPr>
  </w:p>
  <w:p w14:paraId="3DD055DD" w14:textId="77777777" w:rsidR="002B70A0" w:rsidRDefault="002B70A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8ED6BF3"/>
    <w:multiLevelType w:val="hybridMultilevel"/>
    <w:tmpl w:val="1C02D210"/>
    <w:lvl w:ilvl="0" w:tplc="2848D0FE">
      <w:start w:val="1"/>
      <w:numFmt w:val="bullet"/>
      <w:lvlText w:val="●"/>
      <w:lvlJc w:val="left"/>
      <w:pPr>
        <w:ind w:left="720" w:hanging="360"/>
      </w:pPr>
    </w:lvl>
    <w:lvl w:ilvl="1" w:tplc="1EC84238">
      <w:start w:val="1"/>
      <w:numFmt w:val="bullet"/>
      <w:lvlText w:val="○"/>
      <w:lvlJc w:val="left"/>
      <w:pPr>
        <w:ind w:left="1440" w:hanging="360"/>
      </w:pPr>
    </w:lvl>
    <w:lvl w:ilvl="2" w:tplc="D3027798">
      <w:start w:val="1"/>
      <w:numFmt w:val="bullet"/>
      <w:lvlText w:val="■"/>
      <w:lvlJc w:val="left"/>
      <w:pPr>
        <w:ind w:left="2160" w:hanging="360"/>
      </w:pPr>
    </w:lvl>
    <w:lvl w:ilvl="3" w:tplc="65CE1EB8">
      <w:start w:val="1"/>
      <w:numFmt w:val="bullet"/>
      <w:lvlText w:val="●"/>
      <w:lvlJc w:val="left"/>
      <w:pPr>
        <w:ind w:left="2880" w:hanging="360"/>
      </w:pPr>
    </w:lvl>
    <w:lvl w:ilvl="4" w:tplc="B838C468">
      <w:start w:val="1"/>
      <w:numFmt w:val="bullet"/>
      <w:lvlText w:val="○"/>
      <w:lvlJc w:val="left"/>
      <w:pPr>
        <w:ind w:left="3600" w:hanging="360"/>
      </w:pPr>
    </w:lvl>
    <w:lvl w:ilvl="5" w:tplc="4D9015C4">
      <w:start w:val="1"/>
      <w:numFmt w:val="bullet"/>
      <w:lvlText w:val="■"/>
      <w:lvlJc w:val="left"/>
      <w:pPr>
        <w:ind w:left="4320" w:hanging="360"/>
      </w:pPr>
    </w:lvl>
    <w:lvl w:ilvl="6" w:tplc="7E54C48E">
      <w:start w:val="1"/>
      <w:numFmt w:val="bullet"/>
      <w:lvlText w:val="●"/>
      <w:lvlJc w:val="left"/>
      <w:pPr>
        <w:ind w:left="5040" w:hanging="360"/>
      </w:pPr>
    </w:lvl>
    <w:lvl w:ilvl="7" w:tplc="015EC6A6">
      <w:start w:val="1"/>
      <w:numFmt w:val="bullet"/>
      <w:lvlText w:val="●"/>
      <w:lvlJc w:val="left"/>
      <w:pPr>
        <w:ind w:left="5760" w:hanging="360"/>
      </w:pPr>
    </w:lvl>
    <w:lvl w:ilvl="8" w:tplc="8C96FFF8">
      <w:start w:val="1"/>
      <w:numFmt w:val="bullet"/>
      <w:lvlText w:val="●"/>
      <w:lvlJc w:val="left"/>
      <w:pPr>
        <w:ind w:left="6480" w:hanging="360"/>
      </w:pPr>
    </w:lvl>
  </w:abstractNum>
  <w:num w:numId="1" w16cid:durableId="189399780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0A0"/>
    <w:rsid w:val="00272905"/>
    <w:rsid w:val="002B70A0"/>
    <w:rsid w:val="002D0821"/>
    <w:rsid w:val="002E47D1"/>
    <w:rsid w:val="004479E4"/>
    <w:rsid w:val="00593A4F"/>
    <w:rsid w:val="00886631"/>
    <w:rsid w:val="00B4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CE89BB"/>
  <w15:docId w15:val="{937A70BA-4D2B-EC4E-AD1A-8AEB4338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412AB"/>
    <w:pPr>
      <w:tabs>
        <w:tab w:val="center" w:pos="4513"/>
        <w:tab w:val="right" w:pos="9026"/>
      </w:tabs>
    </w:pPr>
  </w:style>
  <w:style w:type="character" w:customStyle="1" w:styleId="HeaderChar">
    <w:name w:val="Header Char"/>
    <w:basedOn w:val="DefaultParagraphFont"/>
    <w:link w:val="Header"/>
    <w:uiPriority w:val="99"/>
    <w:rsid w:val="00B412AB"/>
  </w:style>
  <w:style w:type="paragraph" w:styleId="Footer">
    <w:name w:val="footer"/>
    <w:basedOn w:val="Normal"/>
    <w:link w:val="FooterChar"/>
    <w:uiPriority w:val="99"/>
    <w:unhideWhenUsed/>
    <w:rsid w:val="00B412AB"/>
    <w:pPr>
      <w:tabs>
        <w:tab w:val="center" w:pos="4513"/>
        <w:tab w:val="right" w:pos="9026"/>
      </w:tabs>
    </w:pPr>
  </w:style>
  <w:style w:type="character" w:customStyle="1" w:styleId="FooterChar">
    <w:name w:val="Footer Char"/>
    <w:basedOn w:val="DefaultParagraphFont"/>
    <w:link w:val="Footer"/>
    <w:uiPriority w:val="99"/>
    <w:rsid w:val="00B41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2271</Words>
  <Characters>12949</Characters>
  <Application>Microsoft Office Word</Application>
  <DocSecurity>0</DocSecurity>
  <Lines>107</Lines>
  <Paragraphs>30</Paragraphs>
  <ScaleCrop>false</ScaleCrop>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Rania Zeb</cp:lastModifiedBy>
  <cp:revision>4</cp:revision>
  <dcterms:created xsi:type="dcterms:W3CDTF">2026-07-25T23:11:00Z</dcterms:created>
  <dcterms:modified xsi:type="dcterms:W3CDTF">2026-07-26T08:43:00Z</dcterms:modified>
</cp:coreProperties>
</file>