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9E43DD" w14:textId="2345A6A9" w:rsidR="00EF12F7" w:rsidRDefault="00EF12F7" w:rsidP="00EF12F7">
      <w:pPr>
        <w:spacing w:after="0" w:line="240" w:lineRule="auto"/>
        <w:rPr>
          <w:rFonts w:ascii="Calibri" w:hAnsi="Calibri" w:cs="Calibri"/>
          <w:i/>
          <w:iCs/>
        </w:rPr>
      </w:pPr>
      <w:r w:rsidRPr="00EF12F7">
        <w:rPr>
          <w:rFonts w:ascii="Calibri" w:hAnsi="Calibri" w:cs="Calibri"/>
          <w:i/>
          <w:iCs/>
        </w:rPr>
        <w:t xml:space="preserve">How important is the concept of authenticity in the presentation of heritage? </w:t>
      </w:r>
    </w:p>
    <w:p w14:paraId="21D68B46" w14:textId="77777777" w:rsidR="00EF12F7" w:rsidRDefault="00EF12F7" w:rsidP="00EF12F7">
      <w:pPr>
        <w:spacing w:after="0" w:line="240" w:lineRule="auto"/>
        <w:rPr>
          <w:rFonts w:ascii="Calibri" w:hAnsi="Calibri" w:cs="Calibri"/>
        </w:rPr>
      </w:pPr>
    </w:p>
    <w:p w14:paraId="558BBD61" w14:textId="6EA29BC4" w:rsidR="00537C1E" w:rsidRDefault="0083320E" w:rsidP="00EF12F7">
      <w:pPr>
        <w:spacing w:after="0" w:line="240" w:lineRule="auto"/>
        <w:rPr>
          <w:rFonts w:ascii="Calibri" w:hAnsi="Calibri" w:cs="Calibri"/>
        </w:rPr>
      </w:pPr>
      <w:r>
        <w:rPr>
          <w:rFonts w:ascii="Calibri" w:hAnsi="Calibri" w:cs="Calibri"/>
        </w:rPr>
        <w:t xml:space="preserve">Authenticity is a key concept in the presentation of heritage.  However, the idea of authenticity </w:t>
      </w:r>
      <w:r w:rsidR="00CC425F">
        <w:rPr>
          <w:rFonts w:ascii="Calibri" w:hAnsi="Calibri" w:cs="Calibri"/>
        </w:rPr>
        <w:t>can have</w:t>
      </w:r>
      <w:r>
        <w:rPr>
          <w:rFonts w:ascii="Calibri" w:hAnsi="Calibri" w:cs="Calibri"/>
        </w:rPr>
        <w:t xml:space="preserve"> two components, academic authenticity and imagined authenticity.</w:t>
      </w:r>
      <w:r w:rsidR="00CE2EEC">
        <w:rPr>
          <w:rStyle w:val="FootnoteReference"/>
          <w:rFonts w:ascii="Calibri" w:hAnsi="Calibri" w:cs="Calibri"/>
        </w:rPr>
        <w:footnoteReference w:id="2"/>
      </w:r>
      <w:r>
        <w:rPr>
          <w:rFonts w:ascii="Calibri" w:hAnsi="Calibri" w:cs="Calibri"/>
        </w:rPr>
        <w:t xml:space="preserve">  Academic authenticity is</w:t>
      </w:r>
      <w:r w:rsidR="00FE2B20">
        <w:rPr>
          <w:rFonts w:ascii="Calibri" w:hAnsi="Calibri" w:cs="Calibri"/>
        </w:rPr>
        <w:t xml:space="preserve"> the idea that</w:t>
      </w:r>
      <w:r>
        <w:rPr>
          <w:rFonts w:ascii="Calibri" w:hAnsi="Calibri" w:cs="Calibri"/>
        </w:rPr>
        <w:t xml:space="preserve"> an object is subject to professional scrutiny and validated by experts in the field of archaeology, or the period of history from whence an object or tradition is claimed to belong to.</w:t>
      </w:r>
      <w:r w:rsidR="00537C1E">
        <w:rPr>
          <w:rFonts w:ascii="Calibri" w:hAnsi="Calibri" w:cs="Calibri"/>
        </w:rPr>
        <w:t xml:space="preserve"> </w:t>
      </w:r>
      <w:r w:rsidR="005F281C">
        <w:rPr>
          <w:rStyle w:val="FootnoteReference"/>
          <w:rFonts w:ascii="Calibri" w:hAnsi="Calibri" w:cs="Calibri"/>
        </w:rPr>
        <w:footnoteReference w:id="3"/>
      </w:r>
      <w:r w:rsidR="00537C1E">
        <w:rPr>
          <w:rFonts w:ascii="Calibri" w:hAnsi="Calibri" w:cs="Calibri"/>
        </w:rPr>
        <w:t xml:space="preserve"> </w:t>
      </w:r>
      <w:r w:rsidR="00CA10C2">
        <w:rPr>
          <w:rFonts w:ascii="Calibri" w:hAnsi="Calibri" w:cs="Calibri"/>
        </w:rPr>
        <w:t xml:space="preserve">When </w:t>
      </w:r>
      <w:r w:rsidR="00CE0F2C">
        <w:rPr>
          <w:rFonts w:ascii="Calibri" w:hAnsi="Calibri" w:cs="Calibri"/>
        </w:rPr>
        <w:t xml:space="preserve">physical </w:t>
      </w:r>
      <w:r w:rsidR="00CA10C2">
        <w:rPr>
          <w:rFonts w:ascii="Calibri" w:hAnsi="Calibri" w:cs="Calibri"/>
        </w:rPr>
        <w:t xml:space="preserve">heritage is presented with </w:t>
      </w:r>
      <w:r w:rsidR="00CE0F2C">
        <w:rPr>
          <w:rFonts w:ascii="Calibri" w:hAnsi="Calibri" w:cs="Calibri"/>
        </w:rPr>
        <w:t>recognisable</w:t>
      </w:r>
      <w:r w:rsidR="00CA10C2">
        <w:rPr>
          <w:rFonts w:ascii="Calibri" w:hAnsi="Calibri" w:cs="Calibri"/>
        </w:rPr>
        <w:t xml:space="preserve"> academic </w:t>
      </w:r>
      <w:r w:rsidR="00CF155F">
        <w:rPr>
          <w:rFonts w:ascii="Calibri" w:hAnsi="Calibri" w:cs="Calibri"/>
        </w:rPr>
        <w:t>auth</w:t>
      </w:r>
      <w:r w:rsidR="00D91BAE">
        <w:rPr>
          <w:rFonts w:ascii="Calibri" w:hAnsi="Calibri" w:cs="Calibri"/>
        </w:rPr>
        <w:t>ority</w:t>
      </w:r>
      <w:r w:rsidR="00CF155F">
        <w:rPr>
          <w:rFonts w:ascii="Calibri" w:hAnsi="Calibri" w:cs="Calibri"/>
        </w:rPr>
        <w:t>, a visitor</w:t>
      </w:r>
      <w:r w:rsidR="00CE0F2C">
        <w:rPr>
          <w:rFonts w:ascii="Calibri" w:hAnsi="Calibri" w:cs="Calibri"/>
        </w:rPr>
        <w:t xml:space="preserve"> is more likely to accept the narrative associated with it</w:t>
      </w:r>
      <w:r w:rsidR="008C31E8">
        <w:rPr>
          <w:rFonts w:ascii="Calibri" w:hAnsi="Calibri" w:cs="Calibri"/>
        </w:rPr>
        <w:t xml:space="preserve">.  Likewise, </w:t>
      </w:r>
      <w:r w:rsidR="00D91BAE">
        <w:rPr>
          <w:rFonts w:ascii="Calibri" w:hAnsi="Calibri" w:cs="Calibri"/>
        </w:rPr>
        <w:t xml:space="preserve">visitors are more likely to </w:t>
      </w:r>
      <w:r w:rsidR="004D1B50">
        <w:rPr>
          <w:rFonts w:ascii="Calibri" w:hAnsi="Calibri" w:cs="Calibri"/>
        </w:rPr>
        <w:t>validate non-tangible heritage such as folklore</w:t>
      </w:r>
      <w:r w:rsidR="00F730C2">
        <w:rPr>
          <w:rFonts w:ascii="Calibri" w:hAnsi="Calibri" w:cs="Calibri"/>
        </w:rPr>
        <w:t xml:space="preserve"> when presented </w:t>
      </w:r>
      <w:r w:rsidR="00B40B14">
        <w:rPr>
          <w:rFonts w:ascii="Calibri" w:hAnsi="Calibri" w:cs="Calibri"/>
        </w:rPr>
        <w:t>by</w:t>
      </w:r>
      <w:r w:rsidR="004E1419">
        <w:rPr>
          <w:rFonts w:ascii="Calibri" w:hAnsi="Calibri" w:cs="Calibri"/>
        </w:rPr>
        <w:t xml:space="preserve"> a museum</w:t>
      </w:r>
      <w:r w:rsidR="00BC190C">
        <w:rPr>
          <w:rFonts w:ascii="Calibri" w:hAnsi="Calibri" w:cs="Calibri"/>
        </w:rPr>
        <w:t xml:space="preserve">, </w:t>
      </w:r>
      <w:r w:rsidR="00DB3878">
        <w:rPr>
          <w:rFonts w:ascii="Calibri" w:hAnsi="Calibri" w:cs="Calibri"/>
        </w:rPr>
        <w:t>university</w:t>
      </w:r>
      <w:r w:rsidR="00BC190C">
        <w:rPr>
          <w:rFonts w:ascii="Calibri" w:hAnsi="Calibri" w:cs="Calibri"/>
        </w:rPr>
        <w:t xml:space="preserve"> or recognised professional body</w:t>
      </w:r>
      <w:r w:rsidR="004379E3">
        <w:rPr>
          <w:rFonts w:ascii="Calibri" w:hAnsi="Calibri" w:cs="Calibri"/>
        </w:rPr>
        <w:t>.</w:t>
      </w:r>
      <w:r w:rsidR="004F7890">
        <w:rPr>
          <w:rStyle w:val="FootnoteReference"/>
          <w:rFonts w:ascii="Calibri" w:hAnsi="Calibri" w:cs="Calibri"/>
        </w:rPr>
        <w:footnoteReference w:id="4"/>
      </w:r>
    </w:p>
    <w:p w14:paraId="125A8017" w14:textId="24DB6E90" w:rsidR="00EF12F7" w:rsidRDefault="0083320E" w:rsidP="00EF12F7">
      <w:pPr>
        <w:spacing w:after="0" w:line="240" w:lineRule="auto"/>
        <w:rPr>
          <w:rFonts w:ascii="Calibri" w:hAnsi="Calibri" w:cs="Calibri"/>
        </w:rPr>
      </w:pPr>
      <w:r>
        <w:rPr>
          <w:rFonts w:ascii="Calibri" w:hAnsi="Calibri" w:cs="Calibri"/>
        </w:rPr>
        <w:t xml:space="preserve">Imagined authenticity is a more ephemeral </w:t>
      </w:r>
      <w:r w:rsidR="00B23E2C">
        <w:rPr>
          <w:rFonts w:ascii="Calibri" w:hAnsi="Calibri" w:cs="Calibri"/>
        </w:rPr>
        <w:t>concept</w:t>
      </w:r>
      <w:r>
        <w:rPr>
          <w:rFonts w:ascii="Calibri" w:hAnsi="Calibri" w:cs="Calibri"/>
        </w:rPr>
        <w:t xml:space="preserve">, usually dependant on an audience’s preconceptions or expectations of what an object or tradition should be.  </w:t>
      </w:r>
      <w:r w:rsidR="001E653F">
        <w:rPr>
          <w:rFonts w:ascii="Calibri" w:hAnsi="Calibri" w:cs="Calibri"/>
        </w:rPr>
        <w:t xml:space="preserve">The emotion evoked by the presentation of </w:t>
      </w:r>
      <w:r w:rsidR="0086386C">
        <w:rPr>
          <w:rFonts w:ascii="Calibri" w:hAnsi="Calibri" w:cs="Calibri"/>
        </w:rPr>
        <w:t xml:space="preserve">physical </w:t>
      </w:r>
      <w:r w:rsidR="001E653F">
        <w:rPr>
          <w:rFonts w:ascii="Calibri" w:hAnsi="Calibri" w:cs="Calibri"/>
        </w:rPr>
        <w:t>heritage is</w:t>
      </w:r>
      <w:r w:rsidR="00815D6A">
        <w:rPr>
          <w:rFonts w:ascii="Calibri" w:hAnsi="Calibri" w:cs="Calibri"/>
        </w:rPr>
        <w:t>,</w:t>
      </w:r>
      <w:r w:rsidR="001E653F">
        <w:rPr>
          <w:rFonts w:ascii="Calibri" w:hAnsi="Calibri" w:cs="Calibri"/>
        </w:rPr>
        <w:t xml:space="preserve"> in this instance</w:t>
      </w:r>
      <w:r w:rsidR="00815D6A">
        <w:rPr>
          <w:rFonts w:ascii="Calibri" w:hAnsi="Calibri" w:cs="Calibri"/>
        </w:rPr>
        <w:t>,</w:t>
      </w:r>
      <w:r w:rsidR="001E653F">
        <w:rPr>
          <w:rFonts w:ascii="Calibri" w:hAnsi="Calibri" w:cs="Calibri"/>
        </w:rPr>
        <w:t xml:space="preserve"> more important than </w:t>
      </w:r>
      <w:r w:rsidR="00E83BA3">
        <w:rPr>
          <w:rFonts w:ascii="Calibri" w:hAnsi="Calibri" w:cs="Calibri"/>
        </w:rPr>
        <w:t>fact and</w:t>
      </w:r>
      <w:r w:rsidR="0086386C">
        <w:rPr>
          <w:rFonts w:ascii="Calibri" w:hAnsi="Calibri" w:cs="Calibri"/>
        </w:rPr>
        <w:t xml:space="preserve"> is often </w:t>
      </w:r>
      <w:r w:rsidR="00232A60">
        <w:rPr>
          <w:rFonts w:ascii="Calibri" w:hAnsi="Calibri" w:cs="Calibri"/>
        </w:rPr>
        <w:t xml:space="preserve">essentially a kind of collective historical nostalgia.  </w:t>
      </w:r>
      <w:r w:rsidR="009558DB">
        <w:rPr>
          <w:rFonts w:ascii="Calibri" w:hAnsi="Calibri" w:cs="Calibri"/>
        </w:rPr>
        <w:t xml:space="preserve">The </w:t>
      </w:r>
      <w:r w:rsidR="0045492F">
        <w:rPr>
          <w:rFonts w:ascii="Calibri" w:hAnsi="Calibri" w:cs="Calibri"/>
        </w:rPr>
        <w:t>idea</w:t>
      </w:r>
      <w:r w:rsidR="009558DB">
        <w:rPr>
          <w:rFonts w:ascii="Calibri" w:hAnsi="Calibri" w:cs="Calibri"/>
        </w:rPr>
        <w:t xml:space="preserve"> of a medieval castle,</w:t>
      </w:r>
      <w:r w:rsidR="00560E80">
        <w:rPr>
          <w:rFonts w:ascii="Calibri" w:hAnsi="Calibri" w:cs="Calibri"/>
        </w:rPr>
        <w:t xml:space="preserve"> cowboy’s outfit or </w:t>
      </w:r>
      <w:r w:rsidR="00AB25FB">
        <w:rPr>
          <w:rFonts w:ascii="Calibri" w:hAnsi="Calibri" w:cs="Calibri"/>
        </w:rPr>
        <w:t>Chinese food</w:t>
      </w:r>
      <w:r w:rsidR="0045492F">
        <w:rPr>
          <w:rFonts w:ascii="Calibri" w:hAnsi="Calibri" w:cs="Calibri"/>
        </w:rPr>
        <w:t>, absorbed through media</w:t>
      </w:r>
      <w:r w:rsidR="001335CC">
        <w:rPr>
          <w:rFonts w:ascii="Calibri" w:hAnsi="Calibri" w:cs="Calibri"/>
        </w:rPr>
        <w:t xml:space="preserve"> and </w:t>
      </w:r>
      <w:r w:rsidR="0045492F">
        <w:rPr>
          <w:rFonts w:ascii="Calibri" w:hAnsi="Calibri" w:cs="Calibri"/>
        </w:rPr>
        <w:t>experience</w:t>
      </w:r>
      <w:r w:rsidR="00EF62E0">
        <w:rPr>
          <w:rFonts w:ascii="Calibri" w:hAnsi="Calibri" w:cs="Calibri"/>
        </w:rPr>
        <w:t xml:space="preserve"> is </w:t>
      </w:r>
      <w:r w:rsidR="00FF2CC9">
        <w:rPr>
          <w:rFonts w:ascii="Calibri" w:hAnsi="Calibri" w:cs="Calibri"/>
        </w:rPr>
        <w:t>often</w:t>
      </w:r>
      <w:r w:rsidR="00397A86">
        <w:rPr>
          <w:rFonts w:ascii="Calibri" w:hAnsi="Calibri" w:cs="Calibri"/>
        </w:rPr>
        <w:t xml:space="preserve"> perceived as more authentic than</w:t>
      </w:r>
      <w:r w:rsidR="001335CC">
        <w:rPr>
          <w:rFonts w:ascii="Calibri" w:hAnsi="Calibri" w:cs="Calibri"/>
        </w:rPr>
        <w:t xml:space="preserve"> the reality of </w:t>
      </w:r>
      <w:r w:rsidR="00137A02">
        <w:rPr>
          <w:rFonts w:ascii="Calibri" w:hAnsi="Calibri" w:cs="Calibri"/>
        </w:rPr>
        <w:t xml:space="preserve">a squat rectangular fort, </w:t>
      </w:r>
      <w:r w:rsidR="007A12E1">
        <w:rPr>
          <w:rFonts w:ascii="Calibri" w:hAnsi="Calibri" w:cs="Calibri"/>
        </w:rPr>
        <w:t>or food not found on the menu of your local Chinese takeaway.</w:t>
      </w:r>
      <w:r w:rsidR="0088709C">
        <w:rPr>
          <w:rStyle w:val="FootnoteReference"/>
          <w:rFonts w:ascii="Calibri" w:hAnsi="Calibri" w:cs="Calibri"/>
        </w:rPr>
        <w:footnoteReference w:id="5"/>
      </w:r>
    </w:p>
    <w:p w14:paraId="280093AB" w14:textId="3818D4E8" w:rsidR="0083320E" w:rsidRDefault="0083320E" w:rsidP="00EF12F7">
      <w:pPr>
        <w:spacing w:after="0" w:line="240" w:lineRule="auto"/>
        <w:rPr>
          <w:rFonts w:ascii="Calibri" w:hAnsi="Calibri" w:cs="Calibri"/>
        </w:rPr>
      </w:pPr>
      <w:r>
        <w:rPr>
          <w:rFonts w:ascii="Calibri" w:hAnsi="Calibri" w:cs="Calibri"/>
        </w:rPr>
        <w:t xml:space="preserve">One deciding factor of the importance of authenticity in the presentation of heritage is whether the presentation includes only tangible or non-tangible heritage, or both.  Tangible heritage encompasses material remains of a time or culture, whist intangible heritage may extend to include </w:t>
      </w:r>
      <w:r w:rsidR="009D561B">
        <w:rPr>
          <w:rFonts w:ascii="Calibri" w:hAnsi="Calibri" w:cs="Calibri"/>
        </w:rPr>
        <w:t xml:space="preserve">food, </w:t>
      </w:r>
      <w:r>
        <w:rPr>
          <w:rFonts w:ascii="Calibri" w:hAnsi="Calibri" w:cs="Calibri"/>
        </w:rPr>
        <w:t>traditions, beliefs, or skills important to a c</w:t>
      </w:r>
      <w:r w:rsidR="008565B6">
        <w:rPr>
          <w:rFonts w:ascii="Calibri" w:hAnsi="Calibri" w:cs="Calibri"/>
        </w:rPr>
        <w:t>ommunity</w:t>
      </w:r>
      <w:r w:rsidR="00E83BA3">
        <w:rPr>
          <w:rFonts w:ascii="Calibri" w:hAnsi="Calibri" w:cs="Calibri"/>
        </w:rPr>
        <w:t xml:space="preserve"> and its history</w:t>
      </w:r>
      <w:r w:rsidR="008565B6">
        <w:rPr>
          <w:rFonts w:ascii="Calibri" w:hAnsi="Calibri" w:cs="Calibri"/>
        </w:rPr>
        <w:t>.</w:t>
      </w:r>
      <w:r w:rsidR="001E0A43">
        <w:rPr>
          <w:rStyle w:val="FootnoteReference"/>
          <w:rFonts w:ascii="Calibri" w:hAnsi="Calibri" w:cs="Calibri"/>
        </w:rPr>
        <w:footnoteReference w:id="6"/>
      </w:r>
    </w:p>
    <w:p w14:paraId="3DAD154E" w14:textId="3CE496EC" w:rsidR="00F82249" w:rsidRDefault="00F82249" w:rsidP="00EF12F7">
      <w:pPr>
        <w:spacing w:after="0" w:line="240" w:lineRule="auto"/>
        <w:rPr>
          <w:rFonts w:ascii="Calibri" w:hAnsi="Calibri" w:cs="Calibri"/>
        </w:rPr>
      </w:pPr>
      <w:r>
        <w:rPr>
          <w:rFonts w:ascii="Calibri" w:hAnsi="Calibri" w:cs="Calibri"/>
        </w:rPr>
        <w:t>The context</w:t>
      </w:r>
      <w:r w:rsidR="00281F03">
        <w:rPr>
          <w:rFonts w:ascii="Calibri" w:hAnsi="Calibri" w:cs="Calibri"/>
        </w:rPr>
        <w:t xml:space="preserve"> and audience</w:t>
      </w:r>
      <w:r>
        <w:rPr>
          <w:rFonts w:ascii="Calibri" w:hAnsi="Calibri" w:cs="Calibri"/>
        </w:rPr>
        <w:t xml:space="preserve"> </w:t>
      </w:r>
      <w:r w:rsidR="00F1518D">
        <w:rPr>
          <w:rFonts w:ascii="Calibri" w:hAnsi="Calibri" w:cs="Calibri"/>
        </w:rPr>
        <w:t xml:space="preserve">in which heritage is presented may also affect the </w:t>
      </w:r>
      <w:r w:rsidR="00281F03">
        <w:rPr>
          <w:rFonts w:ascii="Calibri" w:hAnsi="Calibri" w:cs="Calibri"/>
        </w:rPr>
        <w:t xml:space="preserve">concept of authenticity is important.  </w:t>
      </w:r>
      <w:r w:rsidR="005F126D">
        <w:rPr>
          <w:rFonts w:ascii="Calibri" w:hAnsi="Calibri" w:cs="Calibri"/>
        </w:rPr>
        <w:t>Visitors to</w:t>
      </w:r>
      <w:r w:rsidR="007B5391">
        <w:rPr>
          <w:rFonts w:ascii="Calibri" w:hAnsi="Calibri" w:cs="Calibri"/>
        </w:rPr>
        <w:t xml:space="preserve"> </w:t>
      </w:r>
      <w:r w:rsidR="001F6F91">
        <w:rPr>
          <w:rFonts w:ascii="Calibri" w:hAnsi="Calibri" w:cs="Calibri"/>
        </w:rPr>
        <w:t xml:space="preserve">certain </w:t>
      </w:r>
      <w:r w:rsidR="0018693D">
        <w:rPr>
          <w:rFonts w:ascii="Calibri" w:hAnsi="Calibri" w:cs="Calibri"/>
        </w:rPr>
        <w:t>widely known</w:t>
      </w:r>
      <w:r w:rsidR="007B5391">
        <w:rPr>
          <w:rFonts w:ascii="Calibri" w:hAnsi="Calibri" w:cs="Calibri"/>
        </w:rPr>
        <w:t xml:space="preserve"> </w:t>
      </w:r>
      <w:r w:rsidR="0018693D">
        <w:rPr>
          <w:rFonts w:ascii="Calibri" w:hAnsi="Calibri" w:cs="Calibri"/>
        </w:rPr>
        <w:t>institutions</w:t>
      </w:r>
      <w:r w:rsidR="007B5391">
        <w:rPr>
          <w:rFonts w:ascii="Calibri" w:hAnsi="Calibri" w:cs="Calibri"/>
        </w:rPr>
        <w:t xml:space="preserve"> like the British Museum</w:t>
      </w:r>
      <w:r w:rsidR="005F126D">
        <w:rPr>
          <w:rFonts w:ascii="Calibri" w:hAnsi="Calibri" w:cs="Calibri"/>
        </w:rPr>
        <w:t>, come with the expectation of academic authenticity</w:t>
      </w:r>
      <w:r w:rsidR="00D35602">
        <w:rPr>
          <w:rFonts w:ascii="Calibri" w:hAnsi="Calibri" w:cs="Calibri"/>
        </w:rPr>
        <w:t xml:space="preserve">.  </w:t>
      </w:r>
      <w:r w:rsidR="00865AF9">
        <w:rPr>
          <w:rFonts w:ascii="Calibri" w:hAnsi="Calibri" w:cs="Calibri"/>
        </w:rPr>
        <w:t xml:space="preserve">Heritage presented in a </w:t>
      </w:r>
      <w:r w:rsidR="00840235">
        <w:rPr>
          <w:rFonts w:ascii="Calibri" w:hAnsi="Calibri" w:cs="Calibri"/>
        </w:rPr>
        <w:t xml:space="preserve">television </w:t>
      </w:r>
      <w:r w:rsidR="00865AF9">
        <w:rPr>
          <w:rFonts w:ascii="Calibri" w:hAnsi="Calibri" w:cs="Calibri"/>
        </w:rPr>
        <w:t>documentary</w:t>
      </w:r>
      <w:r w:rsidR="00195CB2">
        <w:rPr>
          <w:rFonts w:ascii="Calibri" w:hAnsi="Calibri" w:cs="Calibri"/>
        </w:rPr>
        <w:t xml:space="preserve"> </w:t>
      </w:r>
      <w:r w:rsidR="005E23E2">
        <w:rPr>
          <w:rFonts w:ascii="Calibri" w:hAnsi="Calibri" w:cs="Calibri"/>
        </w:rPr>
        <w:t>is often viewed as more authentic than that found on YouTube,</w:t>
      </w:r>
      <w:r w:rsidR="004F1E74">
        <w:rPr>
          <w:rFonts w:ascii="Calibri" w:hAnsi="Calibri" w:cs="Calibri"/>
        </w:rPr>
        <w:t xml:space="preserve"> </w:t>
      </w:r>
      <w:r w:rsidR="005E23E2">
        <w:rPr>
          <w:rFonts w:ascii="Calibri" w:hAnsi="Calibri" w:cs="Calibri"/>
        </w:rPr>
        <w:t>yet</w:t>
      </w:r>
      <w:r w:rsidR="001F6F3A">
        <w:rPr>
          <w:rFonts w:ascii="Calibri" w:hAnsi="Calibri" w:cs="Calibri"/>
        </w:rPr>
        <w:t xml:space="preserve"> wide and varied audiences engage with the more casual, </w:t>
      </w:r>
      <w:r w:rsidR="00A26EE6">
        <w:rPr>
          <w:rFonts w:ascii="Calibri" w:hAnsi="Calibri" w:cs="Calibri"/>
        </w:rPr>
        <w:t xml:space="preserve">more easily accessed heritage found on these channels with </w:t>
      </w:r>
      <w:r w:rsidR="008E7EF6">
        <w:rPr>
          <w:rFonts w:ascii="Calibri" w:hAnsi="Calibri" w:cs="Calibri"/>
        </w:rPr>
        <w:t>greater</w:t>
      </w:r>
      <w:r w:rsidR="00A26EE6">
        <w:rPr>
          <w:rFonts w:ascii="Calibri" w:hAnsi="Calibri" w:cs="Calibri"/>
        </w:rPr>
        <w:t xml:space="preserve"> enthusiasm than the former medium.</w:t>
      </w:r>
      <w:r w:rsidR="00C63D2E">
        <w:rPr>
          <w:rStyle w:val="FootnoteReference"/>
          <w:rFonts w:ascii="Calibri" w:hAnsi="Calibri" w:cs="Calibri"/>
        </w:rPr>
        <w:footnoteReference w:id="7"/>
      </w:r>
      <w:r w:rsidR="007B7FFC">
        <w:rPr>
          <w:rFonts w:ascii="Calibri" w:hAnsi="Calibri" w:cs="Calibri"/>
        </w:rPr>
        <w:t xml:space="preserve">  Imagined authenticity </w:t>
      </w:r>
      <w:r w:rsidR="00E80794">
        <w:rPr>
          <w:rFonts w:ascii="Calibri" w:hAnsi="Calibri" w:cs="Calibri"/>
        </w:rPr>
        <w:t xml:space="preserve">is sufficient in many cases during reenactments or festivals, though </w:t>
      </w:r>
      <w:r w:rsidR="00122E37">
        <w:rPr>
          <w:rFonts w:ascii="Calibri" w:hAnsi="Calibri" w:cs="Calibri"/>
        </w:rPr>
        <w:t xml:space="preserve">here there is some debate whether visitors go for education on the ‘real’ or </w:t>
      </w:r>
      <w:r w:rsidR="00AE6B07">
        <w:rPr>
          <w:rFonts w:ascii="Calibri" w:hAnsi="Calibri" w:cs="Calibri"/>
        </w:rPr>
        <w:t xml:space="preserve">just to be entertained by a pseudo historical </w:t>
      </w:r>
      <w:r w:rsidR="00BA092F">
        <w:rPr>
          <w:rFonts w:ascii="Calibri" w:hAnsi="Calibri" w:cs="Calibri"/>
        </w:rPr>
        <w:t>fantasy</w:t>
      </w:r>
      <w:r w:rsidR="00AE6B07">
        <w:rPr>
          <w:rFonts w:ascii="Calibri" w:hAnsi="Calibri" w:cs="Calibri"/>
        </w:rPr>
        <w:t xml:space="preserve"> world</w:t>
      </w:r>
      <w:r w:rsidR="008551EE">
        <w:rPr>
          <w:rFonts w:ascii="Calibri" w:hAnsi="Calibri" w:cs="Calibri"/>
        </w:rPr>
        <w:t xml:space="preserve"> they are attached to.</w:t>
      </w:r>
      <w:r w:rsidR="008028FC">
        <w:rPr>
          <w:rStyle w:val="FootnoteReference"/>
          <w:rFonts w:ascii="Calibri" w:hAnsi="Calibri" w:cs="Calibri"/>
        </w:rPr>
        <w:footnoteReference w:id="8"/>
      </w:r>
      <w:r w:rsidR="00A26EE6">
        <w:rPr>
          <w:rFonts w:ascii="Calibri" w:hAnsi="Calibri" w:cs="Calibri"/>
        </w:rPr>
        <w:t xml:space="preserve"> </w:t>
      </w:r>
      <w:r w:rsidR="007B5391">
        <w:rPr>
          <w:rFonts w:ascii="Calibri" w:hAnsi="Calibri" w:cs="Calibri"/>
        </w:rPr>
        <w:t xml:space="preserve"> </w:t>
      </w:r>
    </w:p>
    <w:p w14:paraId="7FA85DE7" w14:textId="3CDDA659" w:rsidR="00D4152F" w:rsidRDefault="008565B6" w:rsidP="00E5781F">
      <w:pPr>
        <w:spacing w:after="0" w:line="240" w:lineRule="auto"/>
        <w:rPr>
          <w:rFonts w:ascii="Calibri" w:hAnsi="Calibri" w:cs="Calibri"/>
        </w:rPr>
      </w:pPr>
      <w:r>
        <w:rPr>
          <w:rFonts w:ascii="Calibri" w:hAnsi="Calibri" w:cs="Calibri"/>
        </w:rPr>
        <w:t>Authenticity can also often be indirectly important to the presentation of heritage, not as a concept which the audience are aware of, but as a driving force behind the innovation of new techniques for communication and presentation, such as immersive heritage and virtual heritage.  Its direct importance to different physical and online presentations of heritage can also vary.  This essay explores the levels of importance authenticity has in different projects, more especially from the perspective of the consumers of heritage.  It also seeks to reach a conclusion regarding the overall impact of authenticity in the presentation of all heritage.</w:t>
      </w:r>
    </w:p>
    <w:p w14:paraId="6094ED30" w14:textId="77777777" w:rsidR="000075DA" w:rsidRDefault="008A5752" w:rsidP="001E7EFB">
      <w:r>
        <w:t xml:space="preserve">In the traditional presentation of tangible heritage, the importance of academic authenticity is </w:t>
      </w:r>
      <w:r w:rsidR="008F6922">
        <w:t>high</w:t>
      </w:r>
      <w:r w:rsidR="004F635D">
        <w:t xml:space="preserve">, </w:t>
      </w:r>
      <w:r w:rsidR="00CB48EF">
        <w:t>both for the visitor and producer.</w:t>
      </w:r>
      <w:r w:rsidR="002150DD">
        <w:t xml:space="preserve">  It is often a </w:t>
      </w:r>
      <w:r w:rsidR="00783D6B">
        <w:t>deciding factor</w:t>
      </w:r>
      <w:r w:rsidR="0086502E">
        <w:t xml:space="preserve">, alongside visitor’s expectations of authenticity, in how items </w:t>
      </w:r>
      <w:r w:rsidR="004557E4">
        <w:t>are presented</w:t>
      </w:r>
      <w:r w:rsidR="0095590E">
        <w:t xml:space="preserve">, and which heritage is presented. </w:t>
      </w:r>
      <w:r w:rsidR="004F635D">
        <w:t xml:space="preserve"> </w:t>
      </w:r>
      <w:r w:rsidR="008F6922">
        <w:t xml:space="preserve">It is assumed by visitors form the </w:t>
      </w:r>
      <w:r w:rsidR="0030487A">
        <w:t xml:space="preserve">physical </w:t>
      </w:r>
      <w:r w:rsidR="008F6922">
        <w:t>presentation, and often included in the interpretation</w:t>
      </w:r>
      <w:r w:rsidR="0030487A">
        <w:t>.</w:t>
      </w:r>
    </w:p>
    <w:p w14:paraId="3A1E5470" w14:textId="4594E4C2" w:rsidR="009F62E8" w:rsidRDefault="0030487A" w:rsidP="001E7EFB">
      <w:r>
        <w:lastRenderedPageBreak/>
        <w:t xml:space="preserve">The traditional approach to presenting </w:t>
      </w:r>
      <w:r w:rsidR="005E61DB">
        <w:t xml:space="preserve">the </w:t>
      </w:r>
      <w:r w:rsidR="00BF0A05">
        <w:t>material</w:t>
      </w:r>
      <w:r w:rsidR="005E61DB">
        <w:t xml:space="preserve"> aspects of heritage </w:t>
      </w:r>
      <w:r w:rsidR="00854E9E">
        <w:t xml:space="preserve">generally involves a barrier </w:t>
      </w:r>
      <w:r w:rsidR="00EE544F">
        <w:t>separating</w:t>
      </w:r>
      <w:r w:rsidR="00854E9E">
        <w:t xml:space="preserve"> the audience </w:t>
      </w:r>
      <w:r w:rsidR="00EE544F">
        <w:t>from the</w:t>
      </w:r>
      <w:r w:rsidR="00854E9E">
        <w:t xml:space="preserve"> item.  </w:t>
      </w:r>
      <w:r w:rsidR="00EE544F">
        <w:t>The barrier can be</w:t>
      </w:r>
      <w:r w:rsidR="00BF0A05">
        <w:t xml:space="preserve"> physical,</w:t>
      </w:r>
      <w:r w:rsidR="00EE544F">
        <w:t xml:space="preserve"> a glass case or rope</w:t>
      </w:r>
      <w:r w:rsidR="00BF0A05">
        <w:t xml:space="preserve">, </w:t>
      </w:r>
      <w:r w:rsidR="00CB3E85">
        <w:t xml:space="preserve">or it can be an arbitrated barrier, </w:t>
      </w:r>
      <w:r w:rsidR="006C18F9">
        <w:t>like institution rules res</w:t>
      </w:r>
      <w:r w:rsidR="003F59A4">
        <w:t xml:space="preserve">tricting interacting with the object beyond </w:t>
      </w:r>
      <w:r w:rsidR="004F635D">
        <w:t>visual engagement.</w:t>
      </w:r>
      <w:r w:rsidR="00D67CE6">
        <w:t xml:space="preserve">  </w:t>
      </w:r>
      <w:r w:rsidR="00AE6785">
        <w:t xml:space="preserve">This emotional disconnect with the </w:t>
      </w:r>
      <w:r w:rsidR="000E5921">
        <w:t>remains of a culture is often associated with rigorous and professional authenticatio</w:t>
      </w:r>
      <w:r w:rsidR="00684F28">
        <w:t>n, whether this is true or not.</w:t>
      </w:r>
      <w:r w:rsidR="00F24B71">
        <w:t xml:space="preserve">  </w:t>
      </w:r>
      <w:r w:rsidR="00C85391">
        <w:t>Though usually seen in established museums, like the British Museum or Pitt Rivers, man</w:t>
      </w:r>
      <w:r w:rsidR="006F5FC0">
        <w:t>y pop</w:t>
      </w:r>
      <w:r w:rsidR="00187291">
        <w:t>-up</w:t>
      </w:r>
      <w:r w:rsidR="00324BC9">
        <w:t xml:space="preserve"> museums or private collectors mimic this presentation </w:t>
      </w:r>
      <w:r w:rsidR="00C1221E">
        <w:t xml:space="preserve">technique </w:t>
      </w:r>
      <w:r w:rsidR="00EE1C15">
        <w:t>to</w:t>
      </w:r>
      <w:r w:rsidR="00C1221E">
        <w:t xml:space="preserve"> create the impression of authenticity.</w:t>
      </w:r>
      <w:r w:rsidR="00035780">
        <w:t xml:space="preserve">  In this way it is not just museums which are “dedicated to the worship of authenticity</w:t>
      </w:r>
      <w:r w:rsidR="00555C3C">
        <w:t xml:space="preserve">”, as </w:t>
      </w:r>
      <w:r w:rsidR="003B7AC2">
        <w:t>Kruspel and Blumauer</w:t>
      </w:r>
      <w:r w:rsidR="00B14A07">
        <w:t xml:space="preserve"> believe.</w:t>
      </w:r>
      <w:r w:rsidR="000D7117" w:rsidRPr="000D7117">
        <w:rPr>
          <w:rStyle w:val="FootnoteReference"/>
        </w:rPr>
        <w:t xml:space="preserve"> </w:t>
      </w:r>
      <w:r w:rsidR="000D7117">
        <w:rPr>
          <w:rStyle w:val="FootnoteReference"/>
        </w:rPr>
        <w:footnoteReference w:id="9"/>
      </w:r>
      <w:r w:rsidR="000D7117">
        <w:t xml:space="preserve"> </w:t>
      </w:r>
      <w:r w:rsidR="006E0836">
        <w:t xml:space="preserve">  The difference comes with the architecture of these settings.  </w:t>
      </w:r>
      <w:r w:rsidR="0087619A">
        <w:t xml:space="preserve">In the older museums, the architecture is reminiscent of </w:t>
      </w:r>
      <w:r w:rsidR="008D6C91">
        <w:t>religious buildings</w:t>
      </w:r>
      <w:r w:rsidR="004C798E">
        <w:t>, creating a further pedes</w:t>
      </w:r>
      <w:r w:rsidR="00B50F08">
        <w:t>tal and disconnect for the audience</w:t>
      </w:r>
      <w:r w:rsidR="001B63C0">
        <w:t xml:space="preserve">, keeping the heritage </w:t>
      </w:r>
      <w:r w:rsidR="00C848E7">
        <w:t>pristine</w:t>
      </w:r>
      <w:r w:rsidR="00F130DE">
        <w:t xml:space="preserve"> and authentic.</w:t>
      </w:r>
      <w:r w:rsidR="0088587B">
        <w:rPr>
          <w:rStyle w:val="FootnoteReference"/>
        </w:rPr>
        <w:footnoteReference w:id="10"/>
      </w:r>
      <w:r w:rsidR="00F130DE">
        <w:t xml:space="preserve">  </w:t>
      </w:r>
    </w:p>
    <w:p w14:paraId="25450075" w14:textId="76F6FF02" w:rsidR="00DE1B47" w:rsidRDefault="00FB7BAA" w:rsidP="001E7EFB">
      <w:r>
        <w:t xml:space="preserve">Another aspect of this </w:t>
      </w:r>
      <w:r w:rsidR="004C7850">
        <w:t xml:space="preserve">presentation of tangible heritage which concerns the concept of authenticity </w:t>
      </w:r>
      <w:r w:rsidR="00684F28">
        <w:t>is the</w:t>
      </w:r>
      <w:r w:rsidR="006D4D5C">
        <w:t xml:space="preserve"> </w:t>
      </w:r>
      <w:r w:rsidR="00684F28">
        <w:t xml:space="preserve">interpretation </w:t>
      </w:r>
      <w:r w:rsidR="005E0A3E">
        <w:t>displayed with the items.</w:t>
      </w:r>
      <w:r w:rsidR="00420E77">
        <w:t xml:space="preserve">  </w:t>
      </w:r>
      <w:r w:rsidR="008C1F75">
        <w:t>Province is generally displayed included in these display</w:t>
      </w:r>
      <w:r w:rsidR="001F70DC">
        <w:t>s as ‘proof’</w:t>
      </w:r>
      <w:r w:rsidR="00CD1223">
        <w:t xml:space="preserve"> that the item is genuine.</w:t>
      </w:r>
      <w:r w:rsidR="008E452B">
        <w:t xml:space="preserve">  </w:t>
      </w:r>
      <w:r w:rsidR="00CD1223">
        <w:t xml:space="preserve">Items with lost or unsure </w:t>
      </w:r>
      <w:r w:rsidR="008E452B">
        <w:t xml:space="preserve">province </w:t>
      </w:r>
      <w:r w:rsidR="00E15638">
        <w:t xml:space="preserve">are often </w:t>
      </w:r>
      <w:r w:rsidR="003A79B0">
        <w:t xml:space="preserve">left in storage and not displayed as part of an exhibit on the period or culture </w:t>
      </w:r>
      <w:r w:rsidR="0074757F">
        <w:t xml:space="preserve">which </w:t>
      </w:r>
      <w:r w:rsidR="00E35BC6">
        <w:t xml:space="preserve">most would associate them with.  This is for fear that there may be a discovery </w:t>
      </w:r>
      <w:r w:rsidR="00955F41">
        <w:t>which will be made rendering it inauthentic to the group</w:t>
      </w:r>
      <w:r w:rsidR="00B32C7B">
        <w:t xml:space="preserve"> of items with which it has been placed.</w:t>
      </w:r>
      <w:r w:rsidR="00C956C3">
        <w:t xml:space="preserve">  </w:t>
      </w:r>
      <w:r w:rsidR="00926820">
        <w:t xml:space="preserve">If authenticity was less </w:t>
      </w:r>
      <w:r w:rsidR="00EA34A1">
        <w:t>of a concern in these settings</w:t>
      </w:r>
      <w:r w:rsidR="00223A55">
        <w:t xml:space="preserve">, </w:t>
      </w:r>
      <w:r w:rsidR="008C1EFE">
        <w:t>audiences may be</w:t>
      </w:r>
      <w:r w:rsidR="00E94DBC">
        <w:t xml:space="preserve"> educated on their visits about </w:t>
      </w:r>
      <w:r w:rsidR="00295A8B">
        <w:t xml:space="preserve">another kind of heritage, and </w:t>
      </w:r>
      <w:r w:rsidR="00592076">
        <w:t xml:space="preserve">how fake items come to exist, or </w:t>
      </w:r>
      <w:r w:rsidR="00151DEC">
        <w:t xml:space="preserve">why the heritage of one period or place may mimic another.  </w:t>
      </w:r>
    </w:p>
    <w:p w14:paraId="531C825B" w14:textId="1367215F" w:rsidR="006A5D03" w:rsidRDefault="00595491" w:rsidP="001E7EFB">
      <w:r>
        <w:t xml:space="preserve">One </w:t>
      </w:r>
      <w:r w:rsidR="00151DEC">
        <w:t>example of this</w:t>
      </w:r>
      <w:r w:rsidR="00423F55">
        <w:t>, and a casualty of the authenticity-centric system</w:t>
      </w:r>
      <w:r w:rsidR="00CB68C9">
        <w:t>,</w:t>
      </w:r>
      <w:r>
        <w:t xml:space="preserve"> is</w:t>
      </w:r>
      <w:r w:rsidR="008E0B0E">
        <w:t xml:space="preserve"> the replica</w:t>
      </w:r>
      <w:r w:rsidR="00423F55">
        <w:t xml:space="preserve"> </w:t>
      </w:r>
      <w:r w:rsidR="00B95965">
        <w:t xml:space="preserve">Egyptian </w:t>
      </w:r>
      <w:r w:rsidR="00423F55">
        <w:t>amulets and scarabs</w:t>
      </w:r>
      <w:r w:rsidR="00DF67E2">
        <w:t xml:space="preserve"> which today are mostly dismissed</w:t>
      </w:r>
      <w:r w:rsidR="007224BF">
        <w:t xml:space="preserve"> </w:t>
      </w:r>
      <w:r w:rsidR="001A1523">
        <w:t xml:space="preserve">as fake and </w:t>
      </w:r>
      <w:r w:rsidR="00EC7030">
        <w:t xml:space="preserve">left un-displayed or </w:t>
      </w:r>
      <w:r w:rsidR="00664CF7">
        <w:t xml:space="preserve">thrown out as worthless.  These replicas were prevalent in the </w:t>
      </w:r>
      <w:r w:rsidR="009A189F">
        <w:t xml:space="preserve">nineteenth and twentieth </w:t>
      </w:r>
      <w:r w:rsidR="002B1194">
        <w:t xml:space="preserve">centuries, sold to </w:t>
      </w:r>
      <w:r w:rsidR="0070267D">
        <w:t xml:space="preserve">collectors and archaeology enthusiasts as genuine </w:t>
      </w:r>
      <w:r w:rsidR="00931DA8">
        <w:t xml:space="preserve">Ancient Egyptian relics.  </w:t>
      </w:r>
      <w:r w:rsidR="00CE4B34">
        <w:t xml:space="preserve">Only decades later were they discovered to be </w:t>
      </w:r>
      <w:r w:rsidR="005760D0">
        <w:t xml:space="preserve">modern </w:t>
      </w:r>
      <w:r w:rsidR="00CB68C9">
        <w:t>fakes</w:t>
      </w:r>
      <w:r w:rsidR="00F071F5">
        <w:t>.</w:t>
      </w:r>
      <w:r w:rsidR="00A87672">
        <w:rPr>
          <w:rStyle w:val="FootnoteReference"/>
        </w:rPr>
        <w:footnoteReference w:id="11"/>
      </w:r>
      <w:r w:rsidR="00F071F5">
        <w:t xml:space="preserve">  </w:t>
      </w:r>
      <w:r w:rsidR="007C582C">
        <w:t xml:space="preserve">There are some of these scarabs and amulets, however, which are </w:t>
      </w:r>
      <w:r w:rsidR="00DB4276">
        <w:t xml:space="preserve">more difficult to date and place, </w:t>
      </w:r>
      <w:r w:rsidR="00DB33C4">
        <w:t xml:space="preserve">because contemporaries of the Ancient Egyptians </w:t>
      </w:r>
      <w:r w:rsidR="00CC1769">
        <w:t>also created replicas</w:t>
      </w:r>
      <w:r w:rsidR="007150D2">
        <w:t>, making the items genuine to the period, but not location</w:t>
      </w:r>
      <w:r w:rsidR="00591FA4">
        <w:t>.</w:t>
      </w:r>
      <w:r w:rsidR="005F7198">
        <w:rPr>
          <w:rStyle w:val="FootnoteReference"/>
        </w:rPr>
        <w:footnoteReference w:id="12"/>
      </w:r>
      <w:r w:rsidR="00591FA4">
        <w:t xml:space="preserve">  </w:t>
      </w:r>
      <w:r w:rsidR="00A7276F">
        <w:t>To avoid this fascinating, troublesome</w:t>
      </w:r>
      <w:r w:rsidR="00675F74">
        <w:t xml:space="preserve"> and inconvenient grey area</w:t>
      </w:r>
      <w:r w:rsidR="00262548">
        <w:t xml:space="preserve"> of Egyptian history</w:t>
      </w:r>
      <w:r w:rsidR="00171645">
        <w:t xml:space="preserve">, archaeology, </w:t>
      </w:r>
      <w:r w:rsidR="00292352">
        <w:t>and histor</w:t>
      </w:r>
      <w:r w:rsidR="00FE7E18">
        <w:t xml:space="preserve">iography, most museums will either not display such replicas, </w:t>
      </w:r>
      <w:r w:rsidR="003547AA">
        <w:t xml:space="preserve">will give them their own section, or group them with </w:t>
      </w:r>
      <w:r w:rsidR="0080699A">
        <w:t xml:space="preserve">a with </w:t>
      </w:r>
      <w:r w:rsidR="009D3A30">
        <w:t>nineteenth</w:t>
      </w:r>
      <w:r w:rsidR="0080699A">
        <w:t xml:space="preserve"> century </w:t>
      </w:r>
      <w:r w:rsidR="009D3A30">
        <w:t>archaeology</w:t>
      </w:r>
      <w:r w:rsidR="0080699A">
        <w:t xml:space="preserve"> and colonialism exhibits.</w:t>
      </w:r>
      <w:r w:rsidR="009A6D9D">
        <w:rPr>
          <w:rStyle w:val="FootnoteReference"/>
        </w:rPr>
        <w:footnoteReference w:id="13"/>
      </w:r>
      <w:r w:rsidR="009A346E">
        <w:t xml:space="preserve">  </w:t>
      </w:r>
      <w:r w:rsidR="005E63FB">
        <w:t xml:space="preserve">Here the academic and perceived authenticity of </w:t>
      </w:r>
      <w:r w:rsidR="00FB3908">
        <w:t xml:space="preserve">heritage </w:t>
      </w:r>
      <w:r w:rsidR="00001695">
        <w:t xml:space="preserve">directly </w:t>
      </w:r>
      <w:r w:rsidR="00C331DF">
        <w:t xml:space="preserve">affects how </w:t>
      </w:r>
      <w:r w:rsidR="003C394D">
        <w:t xml:space="preserve">it is presented.  </w:t>
      </w:r>
      <w:r w:rsidR="00E87C81">
        <w:t xml:space="preserve">These items are relevant, interesting and authentic </w:t>
      </w:r>
      <w:r w:rsidR="00971BBB">
        <w:t>pieces of tangible heritage</w:t>
      </w:r>
      <w:r w:rsidR="00565CE9">
        <w:t xml:space="preserve">, but may not align with </w:t>
      </w:r>
      <w:r w:rsidR="003A435E">
        <w:t xml:space="preserve">audience perceptions of authenticity, reflecting negatively on the professionalism of the </w:t>
      </w:r>
      <w:r w:rsidR="006A5D03">
        <w:t xml:space="preserve">establishment without being addressed properly.  </w:t>
      </w:r>
    </w:p>
    <w:p w14:paraId="48E18E7A" w14:textId="77777777" w:rsidR="009140F5" w:rsidRDefault="006A5D03" w:rsidP="001E7EFB">
      <w:r>
        <w:lastRenderedPageBreak/>
        <w:t xml:space="preserve">Another way authenticity impacts </w:t>
      </w:r>
      <w:r w:rsidR="00E446F9">
        <w:t xml:space="preserve">the presentation of heritage in a traditional setting is the </w:t>
      </w:r>
      <w:r w:rsidR="0088587B">
        <w:t>dialogue</w:t>
      </w:r>
      <w:r w:rsidR="00E446F9">
        <w:t xml:space="preserve"> used in its interpretation.  Like </w:t>
      </w:r>
      <w:r w:rsidR="00281B51">
        <w:t>the barriers, it is mostly clinical, factual and emotionless</w:t>
      </w:r>
      <w:r w:rsidR="00741424">
        <w:t xml:space="preserve">, as if reluctant to move beyond the original </w:t>
      </w:r>
      <w:r w:rsidR="00085A02">
        <w:t>absence of explanation or information</w:t>
      </w:r>
      <w:r w:rsidR="00281B51">
        <w:t>.</w:t>
      </w:r>
      <w:r w:rsidR="00ED53AC">
        <w:rPr>
          <w:rStyle w:val="FootnoteReference"/>
        </w:rPr>
        <w:footnoteReference w:id="14"/>
      </w:r>
    </w:p>
    <w:p w14:paraId="5E85FC72" w14:textId="404597E9" w:rsidR="001E7EFB" w:rsidRDefault="00281B51" w:rsidP="001E7EFB">
      <w:r>
        <w:t xml:space="preserve">Though we are </w:t>
      </w:r>
      <w:r w:rsidR="0088587B">
        <w:t>beginning</w:t>
      </w:r>
      <w:r>
        <w:t xml:space="preserve"> to see deviation </w:t>
      </w:r>
      <w:r w:rsidR="0088587B">
        <w:t>from</w:t>
      </w:r>
      <w:r w:rsidR="00DD5401">
        <w:t xml:space="preserve"> </w:t>
      </w:r>
      <w:r w:rsidR="00DB12A8">
        <w:t>t</w:t>
      </w:r>
      <w:r w:rsidR="00DD5401">
        <w:t xml:space="preserve">his approach </w:t>
      </w:r>
      <w:r w:rsidR="00DB12A8">
        <w:t>i</w:t>
      </w:r>
      <w:r w:rsidR="00DD5401">
        <w:t xml:space="preserve">t is still the prevalent method of communicating to an </w:t>
      </w:r>
      <w:r w:rsidR="0088587B">
        <w:t>audience</w:t>
      </w:r>
      <w:r w:rsidR="00DD5401">
        <w:t xml:space="preserve"> in sombre tones that the heritage they are viewing is more authentic for being removed from its context, </w:t>
      </w:r>
      <w:r w:rsidR="0089239E">
        <w:t xml:space="preserve">which is then explained by the infallible description plaque.  </w:t>
      </w:r>
      <w:r w:rsidR="00554706">
        <w:t xml:space="preserve">Education is a serious matter for adults, and the main concern of the exhibit an audience is viewing in many of these settings.  </w:t>
      </w:r>
      <w:r w:rsidR="00CC57F1">
        <w:t>Frivolous</w:t>
      </w:r>
      <w:r w:rsidR="00554706">
        <w:t xml:space="preserve"> emotion, interaction and </w:t>
      </w:r>
      <w:r w:rsidR="00CC57F1">
        <w:t xml:space="preserve">imagination is reserved for </w:t>
      </w:r>
      <w:r w:rsidR="006E0521">
        <w:t xml:space="preserve">children, who need these things to be educated because of a shorter attention span.  </w:t>
      </w:r>
      <w:r w:rsidR="00AD5AEC">
        <w:t xml:space="preserve">Indeed, it is one of the reasons many non-traditional methods of heritage presentation are viewed as ‘family events’, or </w:t>
      </w:r>
      <w:r w:rsidR="00E16CC7">
        <w:t xml:space="preserve">less trustworthy, and thus less favoured by prestigious institutions.  </w:t>
      </w:r>
    </w:p>
    <w:p w14:paraId="21D10E96" w14:textId="3B7F5A03" w:rsidR="001C5030" w:rsidRPr="006F6636" w:rsidRDefault="001C5030" w:rsidP="001E7EFB">
      <w:r>
        <w:t xml:space="preserve">Thankfully, </w:t>
      </w:r>
      <w:r w:rsidR="00B048F5">
        <w:t>there is</w:t>
      </w:r>
      <w:r>
        <w:t xml:space="preserve"> a growing innovation in traditional museum settings, </w:t>
      </w:r>
      <w:r w:rsidR="00851629">
        <w:t xml:space="preserve">most notably, science museums, </w:t>
      </w:r>
      <w:r w:rsidR="004B24D0">
        <w:t>which meld the traditional, factual interpretation,</w:t>
      </w:r>
      <w:r w:rsidR="00924A32">
        <w:t xml:space="preserve"> indicate </w:t>
      </w:r>
      <w:r w:rsidR="004B24D0">
        <w:t>rigorous research</w:t>
      </w:r>
      <w:r w:rsidR="00924A32">
        <w:t xml:space="preserve"> via naming prominent </w:t>
      </w:r>
      <w:r w:rsidR="003F5301">
        <w:t>professors</w:t>
      </w:r>
      <w:r w:rsidR="00924A32">
        <w:t xml:space="preserve">, and encourage extra-visual engagement.  </w:t>
      </w:r>
      <w:r w:rsidR="009E26BB">
        <w:t>However, t</w:t>
      </w:r>
      <w:r w:rsidR="006402A9">
        <w:t xml:space="preserve">his deviation is more easily embraced </w:t>
      </w:r>
      <w:r w:rsidR="009E26BB">
        <w:t xml:space="preserve">when the heritage in question is not </w:t>
      </w:r>
      <w:r w:rsidR="00D9573B">
        <w:t>tangible.  On</w:t>
      </w:r>
      <w:r w:rsidR="003F5301">
        <w:t xml:space="preserve"> a small scale, there is a clear example of this at the </w:t>
      </w:r>
      <w:r w:rsidR="009A66AC">
        <w:t xml:space="preserve">Francis Crick Institute exhibition, </w:t>
      </w:r>
      <w:r w:rsidR="009A66AC">
        <w:rPr>
          <w:i/>
          <w:iCs/>
        </w:rPr>
        <w:t>Hello Brain</w:t>
      </w:r>
      <w:r w:rsidR="006F6636">
        <w:t>.</w:t>
      </w:r>
      <w:r w:rsidR="00D1361D">
        <w:rPr>
          <w:rStyle w:val="FootnoteReference"/>
        </w:rPr>
        <w:footnoteReference w:id="15"/>
      </w:r>
      <w:r w:rsidR="006F6636">
        <w:t xml:space="preserve">  It’s main focus is educating visitors about the brain, however, the majority of the exhibition is taken up by presenting the history of </w:t>
      </w:r>
      <w:r w:rsidR="009D0E07">
        <w:t>discovery and neuroscience, much of which has little physical heritage to be explored</w:t>
      </w:r>
      <w:r w:rsidR="00E75667">
        <w:t xml:space="preserve">, and so by necessity, must </w:t>
      </w:r>
      <w:r w:rsidR="00D9573B">
        <w:t>present the heritage differently to spearheads in a glass case.</w:t>
      </w:r>
      <w:r w:rsidR="00C35F11">
        <w:t xml:space="preserve">  The exhibition also embraces heritage as something which can be made</w:t>
      </w:r>
      <w:r w:rsidR="00A51632">
        <w:t xml:space="preserve"> now, rather than only documented, or discovered in the present.</w:t>
      </w:r>
      <w:r w:rsidR="00D1361D">
        <w:rPr>
          <w:rStyle w:val="FootnoteReference"/>
        </w:rPr>
        <w:footnoteReference w:id="16"/>
      </w:r>
      <w:r w:rsidR="00A51632">
        <w:t xml:space="preserve">  </w:t>
      </w:r>
    </w:p>
    <w:p w14:paraId="3CE00DD1" w14:textId="7E75A981" w:rsidR="001351C2" w:rsidRDefault="0062354E" w:rsidP="001E7EFB">
      <w:r>
        <w:t>The physical space in which much tangible heritage must be presented to audiences</w:t>
      </w:r>
      <w:r w:rsidR="004F6B9E">
        <w:t xml:space="preserve"> </w:t>
      </w:r>
      <w:r w:rsidR="00A77D1B">
        <w:t xml:space="preserve">innately encourages imagined </w:t>
      </w:r>
      <w:r w:rsidR="001F3E5F">
        <w:t>authenticity and</w:t>
      </w:r>
      <w:r w:rsidR="00A77D1B">
        <w:t xml:space="preserve"> encourages the expectation of </w:t>
      </w:r>
      <w:r w:rsidR="00032CBC">
        <w:t xml:space="preserve">professional authenticity.  However, the importance of authenticity </w:t>
      </w:r>
      <w:r w:rsidR="00BA4383">
        <w:t>shifts when heritage is presented virtually</w:t>
      </w:r>
      <w:r w:rsidR="005D44A3">
        <w:t>.</w:t>
      </w:r>
      <w:r w:rsidR="000718A2">
        <w:t xml:space="preserve">  </w:t>
      </w:r>
      <w:r w:rsidR="00F74B02">
        <w:t>This</w:t>
      </w:r>
      <w:r w:rsidR="00054D5C">
        <w:t xml:space="preserve">, more modern method of presenting the material aspects of heritage is when </w:t>
      </w:r>
      <w:r w:rsidR="00B26A1A">
        <w:t xml:space="preserve">the </w:t>
      </w:r>
      <w:r w:rsidR="009339AF">
        <w:t>“</w:t>
      </w:r>
      <w:r w:rsidR="00482525">
        <w:t>museum… [becomes] not a monument to Great Ideas or a dry lesson on past civilizations, nor… an elite temple of unintelligible art</w:t>
      </w:r>
      <w:r w:rsidR="00A32DA5">
        <w:t xml:space="preserve">”.  </w:t>
      </w:r>
      <w:r w:rsidR="003E6997">
        <w:t xml:space="preserve">In most cases </w:t>
      </w:r>
      <w:r w:rsidR="008705F3">
        <w:t xml:space="preserve">when authenticity is a concern, </w:t>
      </w:r>
      <w:r w:rsidR="00C87CD4">
        <w:t xml:space="preserve">professional authenticity is </w:t>
      </w:r>
      <w:r w:rsidR="007B7A6F">
        <w:t>emphasised, however, more important</w:t>
      </w:r>
      <w:r w:rsidR="004A3CEA">
        <w:t xml:space="preserve"> to presentation</w:t>
      </w:r>
      <w:r w:rsidR="007B7A6F">
        <w:t xml:space="preserve"> </w:t>
      </w:r>
      <w:r w:rsidR="004A3CEA">
        <w:t>in most digital heritage projects and websites, is the engagement of the audience</w:t>
      </w:r>
      <w:r w:rsidR="00D95442">
        <w:t>.  Most are concerned with creating</w:t>
      </w:r>
      <w:r w:rsidR="004A3CEA">
        <w:t xml:space="preserve"> </w:t>
      </w:r>
      <w:r w:rsidR="00AD16AC">
        <w:t xml:space="preserve">an atmosphere for the audience where history lives and visitors </w:t>
      </w:r>
      <w:r w:rsidR="00D95442">
        <w:t xml:space="preserve">of many </w:t>
      </w:r>
      <w:r w:rsidR="001D3AEA">
        <w:t xml:space="preserve">demographics can </w:t>
      </w:r>
      <w:r w:rsidR="00E5055B">
        <w:t>interact and</w:t>
      </w:r>
      <w:r w:rsidR="001D3AEA">
        <w:t xml:space="preserve"> connect</w:t>
      </w:r>
      <w:r w:rsidR="00806B75">
        <w:t xml:space="preserve"> with </w:t>
      </w:r>
      <w:r w:rsidR="00CF455B">
        <w:t>heritage.  Here,</w:t>
      </w:r>
      <w:r w:rsidR="00806B75">
        <w:t xml:space="preserve"> the </w:t>
      </w:r>
      <w:r w:rsidR="00461346">
        <w:t xml:space="preserve">priority is presenting heritage as layered, </w:t>
      </w:r>
      <w:r w:rsidR="006825B9">
        <w:t>and relatable,</w:t>
      </w:r>
      <w:r w:rsidR="005D6F23">
        <w:t xml:space="preserve"> </w:t>
      </w:r>
      <w:r w:rsidR="00007EDD">
        <w:t xml:space="preserve">the authenticity is </w:t>
      </w:r>
      <w:r w:rsidR="0069074E">
        <w:t>both a tool in accomplishing this and a welcome by-product</w:t>
      </w:r>
      <w:r w:rsidR="005D6F23">
        <w:t xml:space="preserve">.  </w:t>
      </w:r>
      <w:r w:rsidR="00E5055B">
        <w:t>Education</w:t>
      </w:r>
      <w:r w:rsidR="003268C2">
        <w:t xml:space="preserve"> rather than alienation takes priority over credentials</w:t>
      </w:r>
      <w:r w:rsidR="00935A12">
        <w:t>, which are usually consigned to a sperate page</w:t>
      </w:r>
      <w:r w:rsidR="001351C2">
        <w:t>.</w:t>
      </w:r>
    </w:p>
    <w:p w14:paraId="5BD09206" w14:textId="77777777" w:rsidR="00306EB8" w:rsidRDefault="001351C2" w:rsidP="001E7EFB">
      <w:r>
        <w:t xml:space="preserve">There are, however, several variations in the presentation of heritage, dependant on the producer and anticipated audience.  To explore this, we will examine </w:t>
      </w:r>
      <w:r w:rsidR="000A3D38">
        <w:t>second</w:t>
      </w:r>
      <w:r>
        <w:t xml:space="preserve"> examples.  </w:t>
      </w:r>
      <w:r w:rsidR="001A0824">
        <w:t xml:space="preserve">First, the British </w:t>
      </w:r>
      <w:r w:rsidR="00306EB8">
        <w:t>M</w:t>
      </w:r>
      <w:r w:rsidR="001A0824">
        <w:t>useum’s virtual museum,</w:t>
      </w:r>
      <w:r w:rsidR="00CF6DA8">
        <w:t xml:space="preserve"> </w:t>
      </w:r>
      <w:r w:rsidR="00CF6DA8">
        <w:rPr>
          <w:i/>
          <w:iCs/>
        </w:rPr>
        <w:t>Museum of the World,</w:t>
      </w:r>
      <w:r w:rsidR="001A0824">
        <w:t xml:space="preserve"> created for visitors during the COVID-19 pandemic, when physical visitation was not possible.</w:t>
      </w:r>
      <w:r w:rsidR="00E129F0">
        <w:rPr>
          <w:rStyle w:val="FootnoteReference"/>
        </w:rPr>
        <w:footnoteReference w:id="17"/>
      </w:r>
    </w:p>
    <w:p w14:paraId="6B923B23" w14:textId="4F992287" w:rsidR="000312FF" w:rsidRDefault="00C20F85" w:rsidP="001E7EFB">
      <w:r>
        <w:lastRenderedPageBreak/>
        <w:t>Has an initial</w:t>
      </w:r>
      <w:r w:rsidR="001604DD">
        <w:t xml:space="preserve">ly creative presentation, placing items catalogued at the museum along </w:t>
      </w:r>
      <w:r w:rsidR="00210139">
        <w:t xml:space="preserve">multiple </w:t>
      </w:r>
      <w:r w:rsidR="001604DD">
        <w:t>timeline</w:t>
      </w:r>
      <w:r w:rsidR="00210139">
        <w:t>s correlating to world locations</w:t>
      </w:r>
      <w:r w:rsidR="001604DD">
        <w:t xml:space="preserve"> which the audience </w:t>
      </w:r>
      <w:r w:rsidR="00F93BDA">
        <w:t>must traverse.  This give</w:t>
      </w:r>
      <w:r w:rsidR="009941B1">
        <w:t xml:space="preserve">s context to the items on virtual display, and </w:t>
      </w:r>
      <w:r w:rsidR="00763758">
        <w:t xml:space="preserve">could arguably be </w:t>
      </w:r>
      <w:r w:rsidR="00782172">
        <w:t>an</w:t>
      </w:r>
      <w:r w:rsidR="00763758">
        <w:t xml:space="preserve"> attempt to </w:t>
      </w:r>
      <w:r w:rsidR="00823FF2">
        <w:t xml:space="preserve">promote </w:t>
      </w:r>
      <w:r w:rsidR="003B2A24">
        <w:t>imagined authenticity</w:t>
      </w:r>
      <w:r w:rsidR="00CA1C0E">
        <w:t>.  However, when an item is selected, we are met with something very close to the format of a conv</w:t>
      </w:r>
      <w:r w:rsidR="00E13203">
        <w:t xml:space="preserve">entional </w:t>
      </w:r>
      <w:r w:rsidR="00624CAA">
        <w:t>museum label.</w:t>
      </w:r>
      <w:r w:rsidR="001F1C1F">
        <w:t xml:space="preserve">  We are also met with an effort to layer information</w:t>
      </w:r>
      <w:r w:rsidR="00DA41EE">
        <w:t xml:space="preserve">, with </w:t>
      </w:r>
      <w:r w:rsidR="002C4538">
        <w:t xml:space="preserve">a map, sound clip and </w:t>
      </w:r>
      <w:r w:rsidR="00E129F0">
        <w:t>related objects.</w:t>
      </w:r>
      <w:r w:rsidR="00624E69">
        <w:rPr>
          <w:rStyle w:val="FootnoteReference"/>
        </w:rPr>
        <w:footnoteReference w:id="18"/>
      </w:r>
      <w:r w:rsidR="00D82886">
        <w:t xml:space="preserve">  This </w:t>
      </w:r>
      <w:r w:rsidR="00C95962">
        <w:t>was</w:t>
      </w:r>
      <w:r w:rsidR="00D82886">
        <w:t xml:space="preserve"> by far the most </w:t>
      </w:r>
      <w:r w:rsidR="005130C7">
        <w:t>deviant</w:t>
      </w:r>
      <w:r w:rsidR="00D82886">
        <w:t xml:space="preserve"> and explorative </w:t>
      </w:r>
      <w:r w:rsidR="00C95962">
        <w:t xml:space="preserve">of the British Museum’s </w:t>
      </w:r>
      <w:r w:rsidR="005D4B52">
        <w:t xml:space="preserve">attempts to virtually present their collections, but was </w:t>
      </w:r>
      <w:r w:rsidR="00843054">
        <w:t>unfortunately</w:t>
      </w:r>
      <w:r w:rsidR="005D4B52">
        <w:t xml:space="preserve"> archived shortly after 2020, likely to encourage more physical visitors.  </w:t>
      </w:r>
      <w:r w:rsidR="00C95962">
        <w:t xml:space="preserve"> </w:t>
      </w:r>
      <w:r w:rsidR="005130C7">
        <w:t>Their other collections involve static pictures with no interpretation, or only that found in the snapshots of the museum rooms themselves.</w:t>
      </w:r>
      <w:r w:rsidR="00AC08B0">
        <w:rPr>
          <w:rStyle w:val="FootnoteReference"/>
        </w:rPr>
        <w:footnoteReference w:id="19"/>
      </w:r>
      <w:r w:rsidR="00A3194D">
        <w:t xml:space="preserve">  The museum’</w:t>
      </w:r>
      <w:r w:rsidR="0063415C">
        <w:t xml:space="preserve">s virtual efforts struggle to let go of the </w:t>
      </w:r>
      <w:r w:rsidR="000A3D38">
        <w:t>presentation</w:t>
      </w:r>
      <w:r w:rsidR="00EF4615">
        <w:t xml:space="preserve"> audiences associate with the </w:t>
      </w:r>
      <w:r w:rsidR="0063415C">
        <w:t>authenticity</w:t>
      </w:r>
      <w:r w:rsidR="00EF4615">
        <w:t xml:space="preserve"> of the </w:t>
      </w:r>
      <w:r w:rsidR="000312FF">
        <w:t xml:space="preserve">institution during their physical visits.  </w:t>
      </w:r>
    </w:p>
    <w:p w14:paraId="1CC5D5AF" w14:textId="4927B54B" w:rsidR="00AA1393" w:rsidRDefault="000312FF" w:rsidP="001E7EFB">
      <w:r>
        <w:t>This is not the case for the City Witness project.  Though professional authenticity was still clearly a</w:t>
      </w:r>
      <w:r w:rsidR="00BB0A12">
        <w:t xml:space="preserve">n important concern for those who created the project, immersion and engagement </w:t>
      </w:r>
      <w:r w:rsidR="0074180F">
        <w:t xml:space="preserve">from all ages is clearly of more importance, </w:t>
      </w:r>
      <w:r w:rsidR="00405CBF">
        <w:t>and the presentation of the heritage on this site reflects this</w:t>
      </w:r>
      <w:r w:rsidR="00820242">
        <w:t>.</w:t>
      </w:r>
      <w:r w:rsidR="00A67C31">
        <w:t xml:space="preserve">  </w:t>
      </w:r>
      <w:r w:rsidR="00E44E25">
        <w:t xml:space="preserve">Though </w:t>
      </w:r>
      <w:r w:rsidR="00E211BA">
        <w:t xml:space="preserve">the concept of </w:t>
      </w:r>
      <w:r w:rsidR="00404B60">
        <w:t>authenticity is a key con</w:t>
      </w:r>
      <w:r w:rsidR="00E211BA">
        <w:t>cern</w:t>
      </w:r>
      <w:r w:rsidR="00404B60">
        <w:t xml:space="preserve"> for the </w:t>
      </w:r>
      <w:r w:rsidR="00E211BA">
        <w:t>information attached to the heritage, t</w:t>
      </w:r>
      <w:r w:rsidR="00A67C31">
        <w:t xml:space="preserve">he deciding factor in how heritage is presented here is not authenticity, but </w:t>
      </w:r>
      <w:r w:rsidR="00C13ADD">
        <w:t xml:space="preserve">how the medium can be used to fullest advantage to provide </w:t>
      </w:r>
      <w:r w:rsidR="00843054">
        <w:t>depth, connection and education.</w:t>
      </w:r>
      <w:r w:rsidR="0034246E">
        <w:rPr>
          <w:rStyle w:val="FootnoteReference"/>
        </w:rPr>
        <w:footnoteReference w:id="20"/>
      </w:r>
      <w:r w:rsidR="00170227">
        <w:t xml:space="preserve">  There is a considerable emphasis, through font and layout, on </w:t>
      </w:r>
      <w:r w:rsidR="00DE413E">
        <w:t>academic authority on the homepage</w:t>
      </w:r>
      <w:r w:rsidR="007077F9">
        <w:t>, as well as the ‘about’ and ‘context’ page</w:t>
      </w:r>
      <w:r w:rsidR="00AD17FD">
        <w:t xml:space="preserve">.  The main portion of the website is dedicated to helping audiences </w:t>
      </w:r>
      <w:r w:rsidR="00782172">
        <w:t>visualise and</w:t>
      </w:r>
      <w:r w:rsidR="00AD17FD">
        <w:t xml:space="preserve"> connect rather than authenticate.</w:t>
      </w:r>
      <w:r w:rsidR="00996A21">
        <w:t xml:space="preserve">  </w:t>
      </w:r>
      <w:r w:rsidR="0059054C">
        <w:t xml:space="preserve">The viewer’s need for authenticity is even here, however, associated with age, as </w:t>
      </w:r>
      <w:r w:rsidR="005177FC">
        <w:t xml:space="preserve">academic </w:t>
      </w:r>
      <w:r w:rsidR="00835725">
        <w:t>rigor</w:t>
      </w:r>
      <w:r w:rsidR="005177FC">
        <w:t xml:space="preserve"> is left visible on most pages except for </w:t>
      </w:r>
      <w:r w:rsidR="000B3B92">
        <w:t xml:space="preserve">the ‘game’ page, which </w:t>
      </w:r>
      <w:r w:rsidR="00835725">
        <w:t>is clearly aimed at younger audiences.</w:t>
      </w:r>
      <w:r w:rsidR="00354351">
        <w:t xml:space="preserve">  On the other hand, this is more evidence that connection to events and peop</w:t>
      </w:r>
      <w:r w:rsidR="00AD7FB5">
        <w:t xml:space="preserve">le is more important on this site.  The City Witness project also presents </w:t>
      </w:r>
      <w:r w:rsidR="00FC39A5">
        <w:t>the non-</w:t>
      </w:r>
      <w:r w:rsidR="003D69D5">
        <w:t>tangible</w:t>
      </w:r>
      <w:r w:rsidR="00FC39A5">
        <w:t xml:space="preserve"> heritage – legends, traditions of saints’ miracles and multiple accounts</w:t>
      </w:r>
      <w:r w:rsidR="00725E08">
        <w:t xml:space="preserve"> -</w:t>
      </w:r>
      <w:r w:rsidR="00FC39A5">
        <w:t xml:space="preserve"> alongside the </w:t>
      </w:r>
      <w:r w:rsidR="00725E08">
        <w:t xml:space="preserve">more </w:t>
      </w:r>
      <w:r w:rsidR="003D69D5">
        <w:t>tangible</w:t>
      </w:r>
      <w:r w:rsidR="00725E08">
        <w:t xml:space="preserve">, albeit virtual, heritage </w:t>
      </w:r>
      <w:r w:rsidR="002D79BE">
        <w:t>–</w:t>
      </w:r>
      <w:r w:rsidR="00725E08">
        <w:t xml:space="preserve"> </w:t>
      </w:r>
      <w:r w:rsidR="002D79BE">
        <w:t xml:space="preserve">translations and </w:t>
      </w:r>
      <w:r w:rsidR="003D69D5">
        <w:t>original</w:t>
      </w:r>
      <w:r w:rsidR="002D79BE">
        <w:t xml:space="preserve"> records uploaded</w:t>
      </w:r>
      <w:r w:rsidR="00D035CE">
        <w:t xml:space="preserve"> and old maps</w:t>
      </w:r>
      <w:r w:rsidR="003D69D5">
        <w:t>.</w:t>
      </w:r>
      <w:r w:rsidR="00D642FE">
        <w:rPr>
          <w:rStyle w:val="FootnoteReference"/>
        </w:rPr>
        <w:footnoteReference w:id="21"/>
      </w:r>
    </w:p>
    <w:p w14:paraId="051BB996" w14:textId="06B7F366" w:rsidR="00F54B75" w:rsidRDefault="0046169C" w:rsidP="001E7EFB">
      <w:r>
        <w:t xml:space="preserve">There is another virtual presentation of </w:t>
      </w:r>
      <w:r w:rsidR="00821351">
        <w:t xml:space="preserve">heritage which almost entirely discards professional authenticity and </w:t>
      </w:r>
      <w:r w:rsidR="002570D3">
        <w:t xml:space="preserve">proudly embraces the imagined, </w:t>
      </w:r>
      <w:r w:rsidR="00E316F8">
        <w:t>entirely</w:t>
      </w:r>
      <w:r w:rsidR="002570D3">
        <w:t xml:space="preserve"> prioritising of connection</w:t>
      </w:r>
      <w:r w:rsidR="00393D8F">
        <w:t>,</w:t>
      </w:r>
      <w:r w:rsidR="002570D3">
        <w:t xml:space="preserve"> evocation of emotion</w:t>
      </w:r>
      <w:r w:rsidR="00E316F8">
        <w:t xml:space="preserve"> </w:t>
      </w:r>
      <w:r w:rsidR="00393D8F">
        <w:t>and many would say entertainment</w:t>
      </w:r>
      <w:r w:rsidR="00F7661B">
        <w:t>.  This</w:t>
      </w:r>
      <w:r w:rsidR="009B4939">
        <w:t xml:space="preserve"> </w:t>
      </w:r>
      <w:r w:rsidR="00381066">
        <w:t xml:space="preserve">is so similar to its physical counterpart in approach to presentation, that </w:t>
      </w:r>
      <w:r w:rsidR="00FB3E6D">
        <w:t xml:space="preserve">they can be discussed synonymously.  An immersive approach to the presentation of heritage, whether virtual </w:t>
      </w:r>
      <w:r w:rsidR="0089577F">
        <w:t xml:space="preserve">or physical relies on </w:t>
      </w:r>
      <w:r w:rsidR="00AC7F66">
        <w:t xml:space="preserve">the perceptions and preconceptions </w:t>
      </w:r>
      <w:r w:rsidR="0089577F">
        <w:t xml:space="preserve">an audience may have of a particular period or </w:t>
      </w:r>
      <w:r w:rsidR="00EE6CFB">
        <w:t>country.</w:t>
      </w:r>
      <w:r w:rsidR="00472746">
        <w:rPr>
          <w:rStyle w:val="FootnoteReference"/>
        </w:rPr>
        <w:footnoteReference w:id="22"/>
      </w:r>
      <w:r w:rsidR="00EE6CFB">
        <w:t xml:space="preserve">  This is generally more</w:t>
      </w:r>
      <w:r w:rsidR="00AC7F66">
        <w:t xml:space="preserve"> important to the decisions around the presentation of heritage </w:t>
      </w:r>
      <w:r w:rsidR="009949C9">
        <w:t xml:space="preserve">than </w:t>
      </w:r>
      <w:r w:rsidR="00490BD3">
        <w:t xml:space="preserve">the idea of </w:t>
      </w:r>
      <w:r w:rsidR="000E00C3">
        <w:t>academic accuracy</w:t>
      </w:r>
      <w:r w:rsidR="00490BD3">
        <w:t xml:space="preserve">.  In immersive heritage, </w:t>
      </w:r>
      <w:r w:rsidR="00F3374A">
        <w:t xml:space="preserve">audiences are more likely to be </w:t>
      </w:r>
      <w:r w:rsidR="004F2DF0">
        <w:t>lenient</w:t>
      </w:r>
      <w:r w:rsidR="00F3374A">
        <w:t xml:space="preserve"> with the accuracy of the items and traditions </w:t>
      </w:r>
      <w:r w:rsidR="00CB37D0">
        <w:t xml:space="preserve">presented to them, if they </w:t>
      </w:r>
      <w:r w:rsidR="00CB37D0">
        <w:rPr>
          <w:i/>
          <w:iCs/>
        </w:rPr>
        <w:t>feel</w:t>
      </w:r>
      <w:r w:rsidR="00CB37D0">
        <w:t xml:space="preserve"> authentic, or in other words, seem to fit with the </w:t>
      </w:r>
      <w:r w:rsidR="009766B7">
        <w:t xml:space="preserve">impression they already have of a certain period, </w:t>
      </w:r>
      <w:r w:rsidR="00B05F37">
        <w:t>or the environment created by the producers at a site or museum.</w:t>
      </w:r>
    </w:p>
    <w:p w14:paraId="6D291307" w14:textId="7CC2C7D0" w:rsidR="001F5BEA" w:rsidRDefault="001F5BEA" w:rsidP="001E7EFB">
      <w:r>
        <w:lastRenderedPageBreak/>
        <w:t>Within immersive heritage there are several approaches to presentation, w</w:t>
      </w:r>
      <w:r w:rsidR="00AB21FE">
        <w:t xml:space="preserve">hich treat authenticity with varying degrees of importance.  </w:t>
      </w:r>
      <w:r w:rsidR="00C4179E">
        <w:t xml:space="preserve">The immersive heritage of Virtual Reality is overall, concerned with the accessibility of heritage, rather than </w:t>
      </w:r>
      <w:r w:rsidR="00F14D4E">
        <w:t>authenticity.</w:t>
      </w:r>
      <w:r w:rsidR="005B1F32">
        <w:t xml:space="preserve">  It is usually presented as a replacement for a </w:t>
      </w:r>
      <w:r w:rsidR="005706B7">
        <w:t xml:space="preserve">physical visit to a site, placing the visitor </w:t>
      </w:r>
      <w:r w:rsidR="00C6647B">
        <w:t xml:space="preserve">‘in the shoes’ of </w:t>
      </w:r>
      <w:r w:rsidR="00993433">
        <w:t>someone from the past.</w:t>
      </w:r>
      <w:r w:rsidR="00F14D4E">
        <w:t xml:space="preserve">  </w:t>
      </w:r>
      <w:r w:rsidR="005B1F32">
        <w:t>Much like digital heritage</w:t>
      </w:r>
      <w:r w:rsidR="00993433">
        <w:t xml:space="preserve"> this presentation </w:t>
      </w:r>
      <w:r w:rsidR="002F711F">
        <w:t xml:space="preserve">also revolves around adding layers to the </w:t>
      </w:r>
      <w:r w:rsidR="00942389">
        <w:t xml:space="preserve">interpretation of the heritage.  </w:t>
      </w:r>
      <w:r w:rsidR="00400C62">
        <w:t xml:space="preserve">Recently, using this as priority for presentation has </w:t>
      </w:r>
      <w:r w:rsidR="00AC558B">
        <w:t xml:space="preserve">been explored, </w:t>
      </w:r>
      <w:r w:rsidR="002433AE">
        <w:t xml:space="preserve">trying to create, </w:t>
      </w:r>
      <w:r w:rsidR="00572733">
        <w:t>as Silke Sch</w:t>
      </w:r>
      <w:r w:rsidR="00481ED0">
        <w:t>wandt sa</w:t>
      </w:r>
      <w:r w:rsidR="002433AE">
        <w:t>ys</w:t>
      </w:r>
      <w:r w:rsidR="00481ED0">
        <w:t>, “</w:t>
      </w:r>
      <w:r w:rsidR="002433AE">
        <w:t xml:space="preserve">an interactive, </w:t>
      </w:r>
      <w:r w:rsidR="000A4355">
        <w:t>synchronised</w:t>
      </w:r>
      <w:r w:rsidR="008E505D">
        <w:t xml:space="preserve"> view” of a time or place’s history.</w:t>
      </w:r>
      <w:r w:rsidR="003510B5">
        <w:rPr>
          <w:rStyle w:val="FootnoteReference"/>
        </w:rPr>
        <w:footnoteReference w:id="23"/>
      </w:r>
      <w:r w:rsidR="008E505D">
        <w:t xml:space="preserve">  </w:t>
      </w:r>
      <w:r w:rsidR="0094492E">
        <w:t xml:space="preserve">Her own virtual immersive project, </w:t>
      </w:r>
      <w:r w:rsidR="00755C68">
        <w:t xml:space="preserve">is based on drawing together data points which pieces of history and heritage represent and organising them into a </w:t>
      </w:r>
      <w:r w:rsidR="00E24BC0">
        <w:t>network which is easier to navigate.</w:t>
      </w:r>
      <w:r w:rsidR="00AC47C7">
        <w:rPr>
          <w:rStyle w:val="FootnoteReference"/>
        </w:rPr>
        <w:footnoteReference w:id="24"/>
      </w:r>
      <w:r w:rsidR="00E24BC0">
        <w:t xml:space="preserve">  The focus of this presentation was </w:t>
      </w:r>
      <w:r w:rsidR="000A4355">
        <w:t>aesthetic</w:t>
      </w:r>
      <w:r w:rsidR="009D3BFF">
        <w:t xml:space="preserve">, </w:t>
      </w:r>
      <w:r w:rsidR="000A4355">
        <w:t>accessibility</w:t>
      </w:r>
      <w:r w:rsidR="009D3BFF">
        <w:t xml:space="preserve"> and connectivity.  Here, as in physical immersive heritage, creating meaningful connection and </w:t>
      </w:r>
      <w:r w:rsidR="008443DB">
        <w:t xml:space="preserve">offering audiences relatability, is more important than </w:t>
      </w:r>
      <w:r w:rsidR="00063572">
        <w:t xml:space="preserve">professional or imagined authenticity.  </w:t>
      </w:r>
    </w:p>
    <w:p w14:paraId="56801318" w14:textId="479AB79F" w:rsidR="00063572" w:rsidRDefault="00063572" w:rsidP="001E7EFB">
      <w:r>
        <w:t xml:space="preserve">Physical immersive heritage differs in that </w:t>
      </w:r>
      <w:r w:rsidR="000A4355">
        <w:t xml:space="preserve">imagined authenticity is paramount to its presentation, as a vehicle for creating emotional connection.  </w:t>
      </w:r>
      <w:r w:rsidR="0089191D">
        <w:t xml:space="preserve">Chhabra, </w:t>
      </w:r>
      <w:r w:rsidR="00DC378B">
        <w:t>H</w:t>
      </w:r>
      <w:r w:rsidR="0089191D">
        <w:t xml:space="preserve">ealy and Sills comment </w:t>
      </w:r>
      <w:r w:rsidR="003615CD">
        <w:t xml:space="preserve">about events marketed as historical, or with a connection to </w:t>
      </w:r>
      <w:r w:rsidR="007F0BCD">
        <w:t xml:space="preserve">a cultural heritage, “the authenticity of events and attractions is staged and distorted </w:t>
      </w:r>
      <w:r w:rsidR="00E85AD0">
        <w:t>to suit the needs of both the ‘guests’ and their ‘hosts</w:t>
      </w:r>
      <w:r w:rsidR="009C72DB">
        <w:t>’”.</w:t>
      </w:r>
      <w:r w:rsidR="00BF3BB5">
        <w:rPr>
          <w:rStyle w:val="FootnoteReference"/>
        </w:rPr>
        <w:footnoteReference w:id="25"/>
      </w:r>
      <w:r w:rsidR="00855F29">
        <w:t xml:space="preserve">  They discuss the staging of </w:t>
      </w:r>
      <w:r w:rsidR="00D5721A">
        <w:t>Modern Highland Games, held not only in Scotland, but also N</w:t>
      </w:r>
      <w:r w:rsidR="0028494C">
        <w:t>ew Zealand, Canada and the United States</w:t>
      </w:r>
      <w:r w:rsidR="00093FBE">
        <w:t xml:space="preserve">, which are essentially a fabrication or most charitably, a revival, </w:t>
      </w:r>
      <w:r w:rsidR="001F798A">
        <w:t xml:space="preserve">rather than </w:t>
      </w:r>
      <w:r w:rsidR="00C31249">
        <w:t xml:space="preserve">an </w:t>
      </w:r>
      <w:r w:rsidR="001F798A">
        <w:t xml:space="preserve">‘authentic’ </w:t>
      </w:r>
      <w:r w:rsidR="00C31249">
        <w:t xml:space="preserve"> continuation of tradition.  </w:t>
      </w:r>
      <w:r w:rsidR="00757B50">
        <w:t>The revival was also encouraged by historic enemies</w:t>
      </w:r>
      <w:r w:rsidR="0091028C">
        <w:t xml:space="preserve">, rather than the Scots themselves. The Modern Highland Games provide an emotional connection for anyone with Scottish heritage, or </w:t>
      </w:r>
      <w:r w:rsidR="00247F31">
        <w:t>any who are interested in the idea of Scottish heritage</w:t>
      </w:r>
      <w:r w:rsidR="00B317A2">
        <w:t xml:space="preserve">, as they can participate in activities they perceive their ancestors to have </w:t>
      </w:r>
      <w:r w:rsidR="005547CB">
        <w:t>also engaged with</w:t>
      </w:r>
      <w:r w:rsidR="00247F31">
        <w:t xml:space="preserve">.  The perception many have from the media is </w:t>
      </w:r>
      <w:r w:rsidR="00116FFA">
        <w:t xml:space="preserve">generally the type of heritage displayed here.  </w:t>
      </w:r>
      <w:r w:rsidR="009B76FB">
        <w:t>“Nostalgic collective memory selectively reconstructs he pasts to serve the needs of the present.”</w:t>
      </w:r>
      <w:r w:rsidR="00D5010E">
        <w:rPr>
          <w:rStyle w:val="FootnoteReference"/>
        </w:rPr>
        <w:footnoteReference w:id="26"/>
      </w:r>
    </w:p>
    <w:p w14:paraId="3D725DFB" w14:textId="3DB61496" w:rsidR="001E7EFB" w:rsidRPr="006C25B7" w:rsidRDefault="00116FFA" w:rsidP="00F478EC">
      <w:r>
        <w:t xml:space="preserve"> </w:t>
      </w:r>
      <w:r w:rsidR="006347C2">
        <w:t xml:space="preserve">A similar phenomenon is visible </w:t>
      </w:r>
      <w:r>
        <w:t xml:space="preserve">at sites like the </w:t>
      </w:r>
      <w:r w:rsidR="00F50047">
        <w:t>gene Autry Western Heritage Museum</w:t>
      </w:r>
      <w:r w:rsidR="006347C2">
        <w:t>.  T</w:t>
      </w:r>
      <w:r w:rsidR="004F2DF0">
        <w:t>he authenticity</w:t>
      </w:r>
      <w:r w:rsidR="006347C2">
        <w:t xml:space="preserve"> here</w:t>
      </w:r>
      <w:r w:rsidR="004F2DF0">
        <w:t xml:space="preserve"> </w:t>
      </w:r>
      <w:r w:rsidR="00F50047">
        <w:t>is</w:t>
      </w:r>
      <w:r w:rsidR="004F2DF0">
        <w:t xml:space="preserve"> a </w:t>
      </w:r>
      <w:r w:rsidR="00694EC4">
        <w:t>delicate</w:t>
      </w:r>
      <w:r w:rsidR="004F2DF0">
        <w:t xml:space="preserve"> balance of select small details which are both expected and unexpected, as well as</w:t>
      </w:r>
      <w:r w:rsidR="00694EC4">
        <w:t xml:space="preserve"> careful omissions of less comfortable accuracies which “</w:t>
      </w:r>
      <w:r w:rsidR="003B41E7">
        <w:t>vacuum clean the past”</w:t>
      </w:r>
      <w:r w:rsidR="00E8567E">
        <w:t xml:space="preserve">, allowing people to step into a </w:t>
      </w:r>
      <w:r w:rsidR="00A448E4">
        <w:t>romanticised</w:t>
      </w:r>
      <w:r w:rsidR="00E8567E">
        <w:t xml:space="preserve"> </w:t>
      </w:r>
      <w:r w:rsidR="00A448E4">
        <w:t>historical world.</w:t>
      </w:r>
      <w:r w:rsidR="00D95A41">
        <w:rPr>
          <w:rStyle w:val="FootnoteReference"/>
        </w:rPr>
        <w:footnoteReference w:id="27"/>
      </w:r>
      <w:r w:rsidR="00140E35">
        <w:t xml:space="preserve">  Audiences are </w:t>
      </w:r>
      <w:r w:rsidR="007F271F">
        <w:t>eager to embrace something which is “a congenial blend of the unique and the popular, the historical and the modern, the national and the personal”.</w:t>
      </w:r>
      <w:r w:rsidR="00F22DC6">
        <w:rPr>
          <w:rStyle w:val="FootnoteReference"/>
        </w:rPr>
        <w:footnoteReference w:id="28"/>
      </w:r>
      <w:r w:rsidR="007F271F">
        <w:t xml:space="preserve">  </w:t>
      </w:r>
      <w:r w:rsidR="00C65486">
        <w:t xml:space="preserve">So long as there are identifiable ‘cowboys’, </w:t>
      </w:r>
      <w:r w:rsidR="00140C3F">
        <w:t xml:space="preserve">and saloons, </w:t>
      </w:r>
      <w:r w:rsidR="00A46B8E">
        <w:t>an audience can feel it is an authentic recreation of their history.</w:t>
      </w:r>
      <w:r w:rsidR="00397C90">
        <w:rPr>
          <w:rStyle w:val="FootnoteReference"/>
        </w:rPr>
        <w:footnoteReference w:id="29"/>
      </w:r>
      <w:r w:rsidR="004E411B">
        <w:t xml:space="preserve">  Because of this, </w:t>
      </w:r>
      <w:r w:rsidR="00197EBF">
        <w:t xml:space="preserve">visitors to re-enactments and living museums, </w:t>
      </w:r>
      <w:r w:rsidR="00BB755E">
        <w:t xml:space="preserve">are often </w:t>
      </w:r>
      <w:r w:rsidR="00B06967">
        <w:t>“dismissed as fun seekers”.</w:t>
      </w:r>
      <w:r w:rsidR="00397C90">
        <w:rPr>
          <w:rStyle w:val="FootnoteReference"/>
        </w:rPr>
        <w:footnoteReference w:id="30"/>
      </w:r>
      <w:r w:rsidR="00B06967">
        <w:t xml:space="preserve">  </w:t>
      </w:r>
      <w:r w:rsidR="00A74359">
        <w:t xml:space="preserve">McIntosh and Prentice argue that </w:t>
      </w:r>
      <w:r w:rsidR="00375105">
        <w:t>immersive</w:t>
      </w:r>
      <w:r w:rsidR="00A74359">
        <w:t xml:space="preserve"> heritage like this</w:t>
      </w:r>
      <w:r w:rsidR="00592EF1">
        <w:t>, however, can provide an emotional connection to the past, and that personal meaning</w:t>
      </w:r>
      <w:r w:rsidR="00375105">
        <w:t>, appreciation and insight are promoted at events and sites like this</w:t>
      </w:r>
      <w:r w:rsidR="00F34D09">
        <w:t xml:space="preserve">, </w:t>
      </w:r>
      <w:r w:rsidR="00F34D09">
        <w:lastRenderedPageBreak/>
        <w:t>generating empathy with the past.</w:t>
      </w:r>
      <w:r w:rsidR="002010A6">
        <w:rPr>
          <w:rStyle w:val="FootnoteReference"/>
        </w:rPr>
        <w:footnoteReference w:id="31"/>
      </w:r>
      <w:r w:rsidR="00F34D09">
        <w:t xml:space="preserve">  This is largely due to the presentation of heritage</w:t>
      </w:r>
      <w:r w:rsidR="009152B3">
        <w:t xml:space="preserve"> at these sites</w:t>
      </w:r>
      <w:r w:rsidR="00F34D09">
        <w:t xml:space="preserve"> – both </w:t>
      </w:r>
      <w:r w:rsidR="009152B3">
        <w:t>original and replicated –</w:t>
      </w:r>
      <w:r w:rsidR="00946357">
        <w:t xml:space="preserve"> lacking written interpretation.  Instead</w:t>
      </w:r>
      <w:r w:rsidR="002010A6">
        <w:t>,</w:t>
      </w:r>
      <w:r w:rsidR="00946357">
        <w:t xml:space="preserve"> </w:t>
      </w:r>
      <w:r w:rsidR="006C25B7">
        <w:t>the presentation is the interpretation of the heritage, both tangible and intangible.  Context is returned to items</w:t>
      </w:r>
      <w:r w:rsidR="00C10B76">
        <w:t>, making them easier to identify with lives</w:t>
      </w:r>
      <w:r w:rsidR="00DB6057">
        <w:t xml:space="preserve">.  Audiences can see their own everyday items, traditions, or </w:t>
      </w:r>
      <w:r w:rsidR="003A33C9">
        <w:t>stories as they interact with the heritage around them</w:t>
      </w:r>
      <w:r w:rsidR="00273322">
        <w:t>, making the physical and non-physical heritage</w:t>
      </w:r>
      <w:r w:rsidR="00CF618F">
        <w:t xml:space="preserve"> objectively</w:t>
      </w:r>
      <w:r w:rsidR="00273322">
        <w:t xml:space="preserve"> authentic to them</w:t>
      </w:r>
      <w:r w:rsidR="00CF618F">
        <w:t xml:space="preserve"> without the professional authenticity present in other settings.</w:t>
      </w:r>
      <w:r w:rsidR="0085218E">
        <w:rPr>
          <w:rStyle w:val="FootnoteReference"/>
        </w:rPr>
        <w:footnoteReference w:id="32"/>
      </w:r>
      <w:r w:rsidR="00CF618F">
        <w:t xml:space="preserve">  </w:t>
      </w:r>
    </w:p>
    <w:p w14:paraId="4CB42BC9" w14:textId="147A725F" w:rsidR="009549D9" w:rsidRDefault="00F478EC" w:rsidP="008565B6">
      <w:r>
        <w:t xml:space="preserve">Overall, the concept of authenticity is </w:t>
      </w:r>
      <w:r w:rsidR="0011243F">
        <w:t xml:space="preserve">very important to how heritage is presented.  However, the medium in which it is presented </w:t>
      </w:r>
      <w:r w:rsidR="006E79C3">
        <w:t xml:space="preserve">is often a more important factor, and also </w:t>
      </w:r>
      <w:r w:rsidR="00832AEE">
        <w:t xml:space="preserve">generally determines how the degree to which </w:t>
      </w:r>
      <w:r w:rsidR="00C13392">
        <w:t>authenticity is prioritised</w:t>
      </w:r>
      <w:r w:rsidR="00790029">
        <w:t xml:space="preserve"> in presentation.</w:t>
      </w:r>
      <w:r w:rsidR="00B96E80">
        <w:t xml:space="preserve">  </w:t>
      </w:r>
      <w:r w:rsidR="009D1CD7">
        <w:t>In the physical space of mus</w:t>
      </w:r>
      <w:r w:rsidR="00F10BDE">
        <w:t xml:space="preserve">eums professional authenticity reigns, and the audience expectation of </w:t>
      </w:r>
      <w:r w:rsidR="00D45C0C">
        <w:t xml:space="preserve">what this academic authenticity should be is a driving force in </w:t>
      </w:r>
      <w:r w:rsidR="00F9351E">
        <w:t>creating a disconnect between audience, object and context</w:t>
      </w:r>
      <w:r w:rsidR="008D0B3E">
        <w:t xml:space="preserve">.  </w:t>
      </w:r>
      <w:r w:rsidR="0087202E">
        <w:t xml:space="preserve">Some special exhibitions are able to move away from this, </w:t>
      </w:r>
      <w:r w:rsidR="00ED33D5">
        <w:t>by focusing on information and engagement over authenticity.</w:t>
      </w:r>
      <w:r w:rsidR="00B96E80">
        <w:t xml:space="preserve">  </w:t>
      </w:r>
      <w:r w:rsidR="00ED33D5">
        <w:t xml:space="preserve">Academic authenticity </w:t>
      </w:r>
      <w:r w:rsidR="00C74675">
        <w:t xml:space="preserve">is </w:t>
      </w:r>
      <w:r w:rsidR="00884C32">
        <w:t xml:space="preserve">still important to the presentation of digital </w:t>
      </w:r>
      <w:r w:rsidR="00BA69B0">
        <w:t>heritage</w:t>
      </w:r>
      <w:r w:rsidR="00884C32">
        <w:t>, though presented separately to the heritage</w:t>
      </w:r>
      <w:r w:rsidR="00BA69B0">
        <w:t>.</w:t>
      </w:r>
      <w:r w:rsidR="00D65BD2">
        <w:t xml:space="preserve">  </w:t>
      </w:r>
      <w:r w:rsidR="000E3457">
        <w:t xml:space="preserve">However, more important than </w:t>
      </w:r>
      <w:r w:rsidR="004A4466">
        <w:t>the authenticity of heritage, is the layering of information around it, seeking to create a connection with varying audiences.</w:t>
      </w:r>
      <w:r w:rsidR="00646555">
        <w:t xml:space="preserve">  Similarly, Virtual reality takes this a step further,</w:t>
      </w:r>
      <w:r w:rsidR="00D232E2">
        <w:t xml:space="preserve"> making educational resonance the </w:t>
      </w:r>
      <w:r w:rsidR="009549D9">
        <w:t>key to presentation, and is the medium which relies least on any kind of authenticity for its presentation</w:t>
      </w:r>
      <w:r w:rsidR="0003462F">
        <w:t>.  Physical immersive heritage, re-enactments</w:t>
      </w:r>
      <w:r w:rsidR="002E1A40">
        <w:t xml:space="preserve"> or </w:t>
      </w:r>
      <w:r w:rsidR="006A1046">
        <w:t xml:space="preserve">recreations of heritage, in contrast, </w:t>
      </w:r>
      <w:r w:rsidR="006A567C">
        <w:t>rely heavily on imagined and staged authenticity</w:t>
      </w:r>
      <w:r w:rsidR="00D6087B">
        <w:t xml:space="preserve">.  Authenticity is key for </w:t>
      </w:r>
      <w:r w:rsidR="003976BF">
        <w:t xml:space="preserve">deciding how immersive heritage is presented, in a context, whether researched or </w:t>
      </w:r>
      <w:r w:rsidR="001D6B9E">
        <w:t>reimagined</w:t>
      </w:r>
      <w:r w:rsidR="002D15A1">
        <w:t>.</w:t>
      </w:r>
    </w:p>
    <w:p w14:paraId="17258F37" w14:textId="5A4FF1C9" w:rsidR="007170AC" w:rsidRDefault="007170AC" w:rsidP="008565B6"/>
    <w:p w14:paraId="47FB9C56" w14:textId="77777777" w:rsidR="007170AC" w:rsidRDefault="007170AC">
      <w:r>
        <w:br w:type="page"/>
      </w:r>
    </w:p>
    <w:p w14:paraId="2D1E660E" w14:textId="2562419E" w:rsidR="003A4534" w:rsidRPr="003A4534" w:rsidRDefault="007170AC" w:rsidP="003A4534">
      <w:r>
        <w:lastRenderedPageBreak/>
        <w:t>Bibliography</w:t>
      </w:r>
    </w:p>
    <w:p w14:paraId="023DF637" w14:textId="77777777" w:rsidR="003A4534" w:rsidRDefault="003A4534" w:rsidP="00017FEB">
      <w:pPr>
        <w:pStyle w:val="FootnoteText"/>
        <w:ind w:right="284"/>
        <w:rPr>
          <w:rFonts w:ascii="Arial" w:hAnsi="Arial" w:cs="Arial"/>
          <w:sz w:val="22"/>
          <w:szCs w:val="22"/>
        </w:rPr>
      </w:pPr>
    </w:p>
    <w:p w14:paraId="40BCAB92" w14:textId="77777777" w:rsidR="00D51326" w:rsidRDefault="00D51326" w:rsidP="000279B0">
      <w:pPr>
        <w:ind w:left="284" w:right="284" w:hanging="284"/>
        <w:rPr>
          <w:rFonts w:ascii="Arial" w:hAnsi="Arial" w:cs="Arial"/>
          <w:sz w:val="22"/>
          <w:szCs w:val="22"/>
        </w:rPr>
      </w:pPr>
    </w:p>
    <w:p w14:paraId="210EC43A" w14:textId="77777777" w:rsidR="00D51326" w:rsidRPr="008565B6" w:rsidRDefault="00D51326" w:rsidP="006E799A">
      <w:pPr>
        <w:pStyle w:val="FootnoteText"/>
      </w:pPr>
    </w:p>
    <w:p w14:paraId="1E1B4844" w14:textId="77777777" w:rsidR="00D51326" w:rsidRPr="00F33D87" w:rsidRDefault="00D51326" w:rsidP="00017FEB">
      <w:pPr>
        <w:ind w:right="284"/>
        <w:rPr>
          <w:rFonts w:ascii="Arial" w:hAnsi="Arial" w:cs="Arial"/>
          <w:sz w:val="22"/>
          <w:szCs w:val="22"/>
        </w:rPr>
      </w:pPr>
      <w:r w:rsidRPr="00F33D87">
        <w:rPr>
          <w:rFonts w:ascii="Arial" w:hAnsi="Arial" w:cs="Arial"/>
          <w:sz w:val="22"/>
          <w:szCs w:val="22"/>
        </w:rPr>
        <w:t xml:space="preserve">&lt; </w:t>
      </w:r>
      <w:hyperlink r:id="rId11" w:history="1">
        <w:r w:rsidRPr="00F33D87">
          <w:rPr>
            <w:rStyle w:val="Hyperlink"/>
            <w:rFonts w:ascii="Arial" w:hAnsi="Arial" w:cs="Arial"/>
            <w:sz w:val="22"/>
            <w:szCs w:val="22"/>
          </w:rPr>
          <w:t>https://www.crick.ac.uk/whats-on/exhibitions/hello-brain</w:t>
        </w:r>
      </w:hyperlink>
      <w:r w:rsidRPr="00F33D87">
        <w:rPr>
          <w:rFonts w:ascii="Arial" w:hAnsi="Arial" w:cs="Arial"/>
          <w:sz w:val="22"/>
          <w:szCs w:val="22"/>
        </w:rPr>
        <w:t xml:space="preserve"> &gt; [accessed 08/07/2024].</w:t>
      </w:r>
    </w:p>
    <w:p w14:paraId="17B01999" w14:textId="77777777" w:rsidR="00D51326" w:rsidRPr="00F33D87" w:rsidRDefault="00D51326" w:rsidP="000279B0">
      <w:pPr>
        <w:ind w:left="284" w:right="284" w:hanging="284"/>
        <w:rPr>
          <w:rFonts w:ascii="Arial" w:hAnsi="Arial" w:cs="Arial"/>
          <w:sz w:val="22"/>
          <w:szCs w:val="22"/>
        </w:rPr>
      </w:pPr>
      <w:r w:rsidRPr="00F33D87">
        <w:rPr>
          <w:rFonts w:ascii="Arial" w:hAnsi="Arial" w:cs="Arial"/>
          <w:sz w:val="22"/>
          <w:szCs w:val="22"/>
        </w:rPr>
        <w:t xml:space="preserve">Aaltonen, Jouko ‘From evidence to re-enactment: history, television and documentary film’, </w:t>
      </w:r>
      <w:r w:rsidRPr="00F33D87">
        <w:rPr>
          <w:rFonts w:ascii="Arial" w:hAnsi="Arial" w:cs="Arial"/>
          <w:i/>
          <w:iCs/>
          <w:sz w:val="22"/>
          <w:szCs w:val="22"/>
        </w:rPr>
        <w:t>Journal of Media Practice</w:t>
      </w:r>
      <w:r w:rsidRPr="00F33D87">
        <w:rPr>
          <w:rFonts w:ascii="Arial" w:hAnsi="Arial" w:cs="Arial"/>
          <w:sz w:val="22"/>
          <w:szCs w:val="22"/>
        </w:rPr>
        <w:t>, vol 16:2, pp.108-125, p 2-3, 10-11.</w:t>
      </w:r>
    </w:p>
    <w:p w14:paraId="59D2B23C" w14:textId="77777777" w:rsidR="00D51326" w:rsidRPr="00F33D87" w:rsidRDefault="00D51326" w:rsidP="000279B0">
      <w:pPr>
        <w:pStyle w:val="FootnoteText"/>
        <w:ind w:left="284" w:right="284" w:hanging="284"/>
        <w:rPr>
          <w:rFonts w:ascii="Arial" w:hAnsi="Arial" w:cs="Arial"/>
          <w:sz w:val="22"/>
          <w:szCs w:val="22"/>
        </w:rPr>
      </w:pPr>
      <w:r w:rsidRPr="00F33D87">
        <w:rPr>
          <w:rFonts w:ascii="Arial" w:hAnsi="Arial" w:cs="Arial"/>
          <w:sz w:val="22"/>
          <w:szCs w:val="22"/>
        </w:rPr>
        <w:t xml:space="preserve">Archeosoup, </w:t>
      </w:r>
      <w:r w:rsidRPr="00F33D87">
        <w:rPr>
          <w:rFonts w:ascii="Arial" w:hAnsi="Arial" w:cs="Arial"/>
          <w:i/>
          <w:iCs/>
          <w:sz w:val="22"/>
          <w:szCs w:val="22"/>
        </w:rPr>
        <w:t>Museum of the World (British Museum): Review</w:t>
      </w:r>
      <w:r w:rsidRPr="00F33D87">
        <w:rPr>
          <w:rFonts w:ascii="Arial" w:hAnsi="Arial" w:cs="Arial"/>
          <w:sz w:val="22"/>
          <w:szCs w:val="22"/>
        </w:rPr>
        <w:t xml:space="preserve"> &lt;</w:t>
      </w:r>
      <w:r>
        <w:rPr>
          <w:rFonts w:ascii="Arial" w:hAnsi="Arial" w:cs="Arial"/>
          <w:sz w:val="22"/>
          <w:szCs w:val="22"/>
        </w:rPr>
        <w:t xml:space="preserve"> </w:t>
      </w:r>
      <w:hyperlink r:id="rId12" w:history="1">
        <w:r w:rsidRPr="004E7860">
          <w:rPr>
            <w:rStyle w:val="Hyperlink"/>
            <w:rFonts w:ascii="Arial" w:hAnsi="Arial" w:cs="Arial"/>
            <w:sz w:val="22"/>
            <w:szCs w:val="22"/>
          </w:rPr>
          <w:t>https://www.youtube.com/watch?v=Jpycog7AAY0</w:t>
        </w:r>
      </w:hyperlink>
      <w:r w:rsidRPr="00F33D87">
        <w:rPr>
          <w:rFonts w:ascii="Arial" w:hAnsi="Arial" w:cs="Arial"/>
          <w:sz w:val="22"/>
          <w:szCs w:val="22"/>
        </w:rPr>
        <w:t xml:space="preserve"> &gt; [accessed 08/07/24].</w:t>
      </w:r>
    </w:p>
    <w:p w14:paraId="030C95B9" w14:textId="77777777" w:rsidR="00D51326" w:rsidRPr="00F33D87" w:rsidRDefault="00D51326" w:rsidP="00017FEB">
      <w:pPr>
        <w:spacing w:after="120" w:line="360" w:lineRule="auto"/>
        <w:ind w:left="284" w:right="284" w:hanging="284"/>
        <w:rPr>
          <w:rFonts w:ascii="Arial" w:hAnsi="Arial" w:cs="Arial"/>
          <w:sz w:val="22"/>
          <w:szCs w:val="22"/>
        </w:rPr>
      </w:pPr>
      <w:r w:rsidRPr="00F33D87">
        <w:rPr>
          <w:rFonts w:ascii="Arial" w:hAnsi="Arial" w:cs="Arial"/>
          <w:sz w:val="22"/>
          <w:szCs w:val="22"/>
        </w:rPr>
        <w:t xml:space="preserve">Bryce, Derek; Murdy, Samantha; Alexander, Mathew, ‘Diaspora, Authenticity and the Imagined Past’, </w:t>
      </w:r>
      <w:r w:rsidRPr="00F33D87">
        <w:rPr>
          <w:rFonts w:ascii="Arial" w:hAnsi="Arial" w:cs="Arial"/>
          <w:i/>
          <w:iCs/>
          <w:sz w:val="22"/>
          <w:szCs w:val="22"/>
        </w:rPr>
        <w:t>Annals of Tourism Research</w:t>
      </w:r>
      <w:r w:rsidRPr="00F33D87">
        <w:rPr>
          <w:rFonts w:ascii="Arial" w:hAnsi="Arial" w:cs="Arial"/>
          <w:sz w:val="22"/>
          <w:szCs w:val="22"/>
        </w:rPr>
        <w:t>, Vol 66 (2017) pp. 49-60.</w:t>
      </w:r>
    </w:p>
    <w:p w14:paraId="14D8793B" w14:textId="77777777" w:rsidR="00D51326" w:rsidRPr="00F33D87" w:rsidRDefault="00D51326" w:rsidP="000279B0">
      <w:pPr>
        <w:pStyle w:val="FootnoteText"/>
        <w:ind w:left="284" w:right="284" w:hanging="284"/>
        <w:rPr>
          <w:rFonts w:ascii="Arial" w:hAnsi="Arial" w:cs="Arial"/>
          <w:sz w:val="22"/>
          <w:szCs w:val="22"/>
        </w:rPr>
      </w:pPr>
      <w:r w:rsidRPr="00F33D87">
        <w:rPr>
          <w:rFonts w:ascii="Arial" w:hAnsi="Arial" w:cs="Arial"/>
          <w:sz w:val="22"/>
          <w:szCs w:val="22"/>
        </w:rPr>
        <w:t>Carl Walsh, Kaelin Jewell, ‘What to Do with Fakes?  Modern Productions of Ancient Egyptian Objects as Pedagogical Tools in Museums’,</w:t>
      </w:r>
      <w:r w:rsidRPr="00F33D87">
        <w:rPr>
          <w:rFonts w:ascii="Arial" w:hAnsi="Arial" w:cs="Arial"/>
          <w:i/>
          <w:iCs/>
          <w:sz w:val="22"/>
          <w:szCs w:val="22"/>
        </w:rPr>
        <w:t xml:space="preserve"> Teaching Ancient Egypt in Museums, </w:t>
      </w:r>
      <w:r w:rsidRPr="00F33D87">
        <w:rPr>
          <w:rFonts w:ascii="Arial" w:hAnsi="Arial" w:cs="Arial"/>
          <w:sz w:val="22"/>
          <w:szCs w:val="22"/>
        </w:rPr>
        <w:t>(2024), pp. 42-55.</w:t>
      </w:r>
    </w:p>
    <w:p w14:paraId="02CAF253" w14:textId="77777777" w:rsidR="00D51326" w:rsidRPr="00F33D87" w:rsidRDefault="00D51326" w:rsidP="000279B0">
      <w:pPr>
        <w:ind w:left="284" w:right="284" w:hanging="284"/>
        <w:rPr>
          <w:rFonts w:ascii="Arial" w:hAnsi="Arial" w:cs="Arial"/>
          <w:sz w:val="22"/>
          <w:szCs w:val="22"/>
        </w:rPr>
      </w:pPr>
      <w:r w:rsidRPr="00F33D87">
        <w:rPr>
          <w:rFonts w:ascii="Arial" w:hAnsi="Arial" w:cs="Arial"/>
          <w:sz w:val="22"/>
          <w:szCs w:val="22"/>
        </w:rPr>
        <w:t>Carnegie,</w:t>
      </w:r>
      <w:r>
        <w:rPr>
          <w:rFonts w:ascii="Arial" w:hAnsi="Arial" w:cs="Arial"/>
          <w:sz w:val="22"/>
          <w:szCs w:val="22"/>
        </w:rPr>
        <w:t xml:space="preserve"> </w:t>
      </w:r>
      <w:r w:rsidRPr="00F33D87">
        <w:rPr>
          <w:rFonts w:ascii="Arial" w:hAnsi="Arial" w:cs="Arial"/>
          <w:sz w:val="22"/>
          <w:szCs w:val="22"/>
        </w:rPr>
        <w:t>Elizabeth</w:t>
      </w:r>
      <w:r>
        <w:rPr>
          <w:rFonts w:ascii="Arial" w:hAnsi="Arial" w:cs="Arial"/>
          <w:sz w:val="22"/>
          <w:szCs w:val="22"/>
        </w:rPr>
        <w:t>;</w:t>
      </w:r>
      <w:r w:rsidRPr="00F33D87">
        <w:rPr>
          <w:rFonts w:ascii="Arial" w:hAnsi="Arial" w:cs="Arial"/>
          <w:sz w:val="22"/>
          <w:szCs w:val="22"/>
        </w:rPr>
        <w:t xml:space="preserve"> McCabe,</w:t>
      </w:r>
      <w:r>
        <w:rPr>
          <w:rFonts w:ascii="Arial" w:hAnsi="Arial" w:cs="Arial"/>
          <w:sz w:val="22"/>
          <w:szCs w:val="22"/>
        </w:rPr>
        <w:t xml:space="preserve"> Scott,</w:t>
      </w:r>
      <w:r w:rsidRPr="00F33D87">
        <w:rPr>
          <w:rFonts w:ascii="Arial" w:hAnsi="Arial" w:cs="Arial"/>
          <w:sz w:val="22"/>
          <w:szCs w:val="22"/>
        </w:rPr>
        <w:t xml:space="preserve"> ‘Re-Enactment Events and Tourism’, </w:t>
      </w:r>
      <w:r w:rsidRPr="00F33D87">
        <w:rPr>
          <w:rFonts w:ascii="Arial" w:hAnsi="Arial" w:cs="Arial"/>
          <w:i/>
          <w:iCs/>
          <w:sz w:val="22"/>
          <w:szCs w:val="22"/>
        </w:rPr>
        <w:t>Current Issues in Tourism</w:t>
      </w:r>
      <w:r w:rsidRPr="00F33D87">
        <w:rPr>
          <w:rFonts w:ascii="Arial" w:hAnsi="Arial" w:cs="Arial"/>
          <w:sz w:val="22"/>
          <w:szCs w:val="22"/>
        </w:rPr>
        <w:t>, vol. 11 (2008), pp. 349–68. </w:t>
      </w:r>
    </w:p>
    <w:p w14:paraId="4FAF878E" w14:textId="77777777" w:rsidR="00D51326" w:rsidRPr="00F33D87" w:rsidRDefault="00D51326" w:rsidP="00017FEB">
      <w:pPr>
        <w:spacing w:after="120" w:line="360" w:lineRule="auto"/>
        <w:ind w:left="284" w:right="284" w:hanging="284"/>
        <w:rPr>
          <w:rFonts w:ascii="Arial" w:hAnsi="Arial" w:cs="Arial"/>
          <w:sz w:val="22"/>
          <w:szCs w:val="22"/>
        </w:rPr>
      </w:pPr>
      <w:r w:rsidRPr="00F33D87">
        <w:rPr>
          <w:rFonts w:ascii="Arial" w:hAnsi="Arial" w:cs="Arial"/>
          <w:sz w:val="22"/>
          <w:szCs w:val="22"/>
        </w:rPr>
        <w:t xml:space="preserve">Chhabra, Deepak; Healy, Robert; Sills, Erin ‘Staged Authenticity and Heritage Tourism’, </w:t>
      </w:r>
      <w:r w:rsidRPr="00F33D87">
        <w:rPr>
          <w:rFonts w:ascii="Arial" w:hAnsi="Arial" w:cs="Arial"/>
          <w:i/>
          <w:iCs/>
          <w:sz w:val="22"/>
          <w:szCs w:val="22"/>
        </w:rPr>
        <w:t>Annals of Tourism Research,</w:t>
      </w:r>
      <w:r w:rsidRPr="00F33D87">
        <w:rPr>
          <w:rFonts w:ascii="Arial" w:hAnsi="Arial" w:cs="Arial"/>
          <w:sz w:val="22"/>
          <w:szCs w:val="22"/>
        </w:rPr>
        <w:t xml:space="preserve"> vol 30, (2003) pp.702-719.</w:t>
      </w:r>
    </w:p>
    <w:p w14:paraId="1BF02921" w14:textId="77777777" w:rsidR="003A4534" w:rsidRPr="00F33D87" w:rsidRDefault="003A4534" w:rsidP="000279B0">
      <w:pPr>
        <w:ind w:left="284" w:right="284" w:hanging="284"/>
        <w:rPr>
          <w:rFonts w:ascii="Arial" w:hAnsi="Arial" w:cs="Arial"/>
          <w:sz w:val="22"/>
          <w:szCs w:val="22"/>
        </w:rPr>
      </w:pPr>
      <w:r w:rsidRPr="00F33D87">
        <w:rPr>
          <w:rFonts w:ascii="Arial" w:hAnsi="Arial" w:cs="Arial"/>
          <w:sz w:val="22"/>
          <w:szCs w:val="22"/>
        </w:rPr>
        <w:t xml:space="preserve">Elizabeth Carnegie, and Scott McCabe, ‘Re-Enactment Events and Tourism’, </w:t>
      </w:r>
      <w:r w:rsidRPr="00F33D87">
        <w:rPr>
          <w:rFonts w:ascii="Arial" w:hAnsi="Arial" w:cs="Arial"/>
          <w:i/>
          <w:iCs/>
          <w:sz w:val="22"/>
          <w:szCs w:val="22"/>
        </w:rPr>
        <w:t>Current Issues in Tourism</w:t>
      </w:r>
      <w:r w:rsidRPr="00F33D87">
        <w:rPr>
          <w:rFonts w:ascii="Arial" w:hAnsi="Arial" w:cs="Arial"/>
          <w:sz w:val="22"/>
          <w:szCs w:val="22"/>
        </w:rPr>
        <w:t>, vol. 11 (2008), pp. 349–68. </w:t>
      </w:r>
    </w:p>
    <w:p w14:paraId="6766A8F5" w14:textId="77777777" w:rsidR="00D51326" w:rsidRPr="00F33D87" w:rsidRDefault="00D51326" w:rsidP="00017FEB">
      <w:pPr>
        <w:spacing w:line="360" w:lineRule="auto"/>
        <w:ind w:left="284" w:right="284" w:hanging="284"/>
        <w:rPr>
          <w:rFonts w:ascii="Arial" w:hAnsi="Arial" w:cs="Arial"/>
          <w:sz w:val="22"/>
          <w:szCs w:val="22"/>
        </w:rPr>
      </w:pPr>
      <w:r w:rsidRPr="00F33D87">
        <w:rPr>
          <w:rFonts w:ascii="Arial" w:hAnsi="Arial" w:cs="Arial"/>
          <w:sz w:val="22"/>
          <w:szCs w:val="22"/>
        </w:rPr>
        <w:t xml:space="preserve">Farrelly, Francis; Kock, Florian; Josiassen, Alexander, ‘Cultural Heritage Authenticity: A Producer View’, </w:t>
      </w:r>
      <w:r w:rsidRPr="00F33D87">
        <w:rPr>
          <w:rFonts w:ascii="Arial" w:hAnsi="Arial" w:cs="Arial"/>
          <w:i/>
          <w:iCs/>
          <w:sz w:val="22"/>
          <w:szCs w:val="22"/>
        </w:rPr>
        <w:t>Annals of Tourism Research</w:t>
      </w:r>
      <w:r w:rsidRPr="00F33D87">
        <w:rPr>
          <w:rFonts w:ascii="Arial" w:hAnsi="Arial" w:cs="Arial"/>
          <w:sz w:val="22"/>
          <w:szCs w:val="22"/>
        </w:rPr>
        <w:t>, vol. 79 (2019) pp. 1-12.</w:t>
      </w:r>
    </w:p>
    <w:p w14:paraId="686CB444" w14:textId="77777777" w:rsidR="00D51326" w:rsidRPr="00F33D87" w:rsidRDefault="00D51326" w:rsidP="00017FEB">
      <w:pPr>
        <w:spacing w:line="360" w:lineRule="auto"/>
        <w:ind w:left="284" w:right="284" w:hanging="284"/>
        <w:rPr>
          <w:rFonts w:ascii="Arial" w:hAnsi="Arial" w:cs="Arial"/>
          <w:sz w:val="22"/>
          <w:szCs w:val="22"/>
        </w:rPr>
      </w:pPr>
      <w:r w:rsidRPr="00F33D87">
        <w:rPr>
          <w:rFonts w:ascii="Arial" w:hAnsi="Arial" w:cs="Arial"/>
          <w:sz w:val="22"/>
          <w:szCs w:val="22"/>
        </w:rPr>
        <w:t xml:space="preserve">McIntosh, Alison J.; Prentice, Richard, ‘Affirming Authenticity: Consuming Cultural Heritage’, </w:t>
      </w:r>
      <w:r w:rsidRPr="00F33D87">
        <w:rPr>
          <w:rFonts w:ascii="Arial" w:hAnsi="Arial" w:cs="Arial"/>
          <w:i/>
          <w:iCs/>
          <w:sz w:val="22"/>
          <w:szCs w:val="22"/>
        </w:rPr>
        <w:t>Annals of Tourism Research</w:t>
      </w:r>
      <w:r w:rsidRPr="00F33D87">
        <w:rPr>
          <w:rFonts w:ascii="Arial" w:hAnsi="Arial" w:cs="Arial"/>
          <w:sz w:val="22"/>
          <w:szCs w:val="22"/>
        </w:rPr>
        <w:t>, vol. 26, (1999) pp.589-612.</w:t>
      </w:r>
    </w:p>
    <w:p w14:paraId="2D4C78CF" w14:textId="77777777" w:rsidR="00D51326" w:rsidRPr="00F33D87" w:rsidRDefault="00D51326" w:rsidP="00017FEB">
      <w:pPr>
        <w:spacing w:line="360" w:lineRule="auto"/>
        <w:ind w:left="284" w:right="284" w:hanging="284"/>
        <w:rPr>
          <w:rFonts w:ascii="Arial" w:hAnsi="Arial" w:cs="Arial"/>
          <w:sz w:val="22"/>
          <w:szCs w:val="22"/>
        </w:rPr>
      </w:pPr>
      <w:r w:rsidRPr="00F33D87">
        <w:rPr>
          <w:rFonts w:ascii="Arial" w:hAnsi="Arial" w:cs="Arial"/>
          <w:sz w:val="22"/>
          <w:szCs w:val="22"/>
        </w:rPr>
        <w:t xml:space="preserve">Park, Eunkyung; Choi, Byoung-Kil; J Lee, Timothy, ‘The Role and Dimensions of Authenticity in Heritage Tourism’, </w:t>
      </w:r>
      <w:r w:rsidRPr="00F33D87">
        <w:rPr>
          <w:rFonts w:ascii="Arial" w:hAnsi="Arial" w:cs="Arial"/>
          <w:i/>
          <w:iCs/>
          <w:sz w:val="22"/>
          <w:szCs w:val="22"/>
        </w:rPr>
        <w:t>Tourism Management</w:t>
      </w:r>
      <w:r w:rsidRPr="00F33D87">
        <w:rPr>
          <w:rFonts w:ascii="Arial" w:hAnsi="Arial" w:cs="Arial"/>
          <w:sz w:val="22"/>
          <w:szCs w:val="22"/>
        </w:rPr>
        <w:t>, vol 74 (2019), pp.99-109.</w:t>
      </w:r>
    </w:p>
    <w:p w14:paraId="69C36A73" w14:textId="77777777" w:rsidR="00D51326" w:rsidRPr="00F33D87" w:rsidRDefault="00D51326" w:rsidP="00017FEB">
      <w:pPr>
        <w:spacing w:line="360" w:lineRule="auto"/>
        <w:ind w:left="284" w:right="284" w:hanging="284"/>
        <w:rPr>
          <w:rFonts w:ascii="Arial" w:hAnsi="Arial" w:cs="Arial"/>
          <w:sz w:val="22"/>
          <w:szCs w:val="22"/>
        </w:rPr>
      </w:pPr>
      <w:r w:rsidRPr="00F33D87">
        <w:rPr>
          <w:rFonts w:ascii="Arial" w:hAnsi="Arial" w:cs="Arial"/>
          <w:sz w:val="22"/>
          <w:szCs w:val="22"/>
        </w:rPr>
        <w:t xml:space="preserve">Prentice, Richard; Andersen, Vivien, ‘Interpreting Heritage Essentialisms:  Familiarity and Felt History’, </w:t>
      </w:r>
      <w:r w:rsidRPr="00F33D87">
        <w:rPr>
          <w:rFonts w:ascii="Arial" w:hAnsi="Arial" w:cs="Arial"/>
          <w:i/>
          <w:iCs/>
          <w:sz w:val="22"/>
          <w:szCs w:val="22"/>
        </w:rPr>
        <w:t>Tourism Management</w:t>
      </w:r>
      <w:r w:rsidRPr="00F33D87">
        <w:rPr>
          <w:rFonts w:ascii="Arial" w:hAnsi="Arial" w:cs="Arial"/>
          <w:sz w:val="22"/>
          <w:szCs w:val="22"/>
        </w:rPr>
        <w:t>, vol. 28 (2007), pp. 661-676.</w:t>
      </w:r>
    </w:p>
    <w:p w14:paraId="471B3145" w14:textId="77777777" w:rsidR="00D51326" w:rsidRPr="00F33D87" w:rsidRDefault="00D51326" w:rsidP="000279B0">
      <w:pPr>
        <w:pStyle w:val="FootnoteText"/>
        <w:ind w:left="284" w:right="284" w:hanging="284"/>
        <w:rPr>
          <w:rFonts w:ascii="Arial" w:hAnsi="Arial" w:cs="Arial"/>
          <w:sz w:val="22"/>
          <w:szCs w:val="22"/>
        </w:rPr>
      </w:pPr>
      <w:r w:rsidRPr="00F33D87">
        <w:rPr>
          <w:rFonts w:ascii="Arial" w:hAnsi="Arial" w:cs="Arial"/>
          <w:sz w:val="22"/>
          <w:szCs w:val="22"/>
        </w:rPr>
        <w:t>Prentice</w:t>
      </w:r>
      <w:r>
        <w:rPr>
          <w:rFonts w:ascii="Arial" w:hAnsi="Arial" w:cs="Arial"/>
          <w:sz w:val="22"/>
          <w:szCs w:val="22"/>
        </w:rPr>
        <w:t xml:space="preserve">, </w:t>
      </w:r>
      <w:r w:rsidRPr="00F33D87">
        <w:rPr>
          <w:rFonts w:ascii="Arial" w:hAnsi="Arial" w:cs="Arial"/>
          <w:sz w:val="22"/>
          <w:szCs w:val="22"/>
        </w:rPr>
        <w:t>Richard</w:t>
      </w:r>
      <w:r w:rsidRPr="00F33D87">
        <w:rPr>
          <w:rFonts w:ascii="Arial" w:hAnsi="Arial" w:cs="Arial"/>
          <w:sz w:val="22"/>
          <w:szCs w:val="22"/>
        </w:rPr>
        <w:t>; Andersen,</w:t>
      </w:r>
      <w:r>
        <w:rPr>
          <w:rFonts w:ascii="Arial" w:hAnsi="Arial" w:cs="Arial"/>
          <w:sz w:val="22"/>
          <w:szCs w:val="22"/>
        </w:rPr>
        <w:t xml:space="preserve"> </w:t>
      </w:r>
      <w:r w:rsidRPr="00F33D87">
        <w:rPr>
          <w:rFonts w:ascii="Arial" w:hAnsi="Arial" w:cs="Arial"/>
          <w:sz w:val="22"/>
          <w:szCs w:val="22"/>
        </w:rPr>
        <w:t>Vivien</w:t>
      </w:r>
      <w:r>
        <w:rPr>
          <w:rFonts w:ascii="Arial" w:hAnsi="Arial" w:cs="Arial"/>
          <w:sz w:val="22"/>
          <w:szCs w:val="22"/>
        </w:rPr>
        <w:t>,</w:t>
      </w:r>
      <w:r w:rsidRPr="00F33D87">
        <w:rPr>
          <w:rFonts w:ascii="Arial" w:hAnsi="Arial" w:cs="Arial"/>
          <w:sz w:val="22"/>
          <w:szCs w:val="22"/>
        </w:rPr>
        <w:t xml:space="preserve"> ‘Interpreting Heritage Essentialisms:  Familiarity and Felt History’, </w:t>
      </w:r>
      <w:r w:rsidRPr="00F33D87">
        <w:rPr>
          <w:rFonts w:ascii="Arial" w:hAnsi="Arial" w:cs="Arial"/>
          <w:i/>
          <w:iCs/>
          <w:sz w:val="22"/>
          <w:szCs w:val="22"/>
        </w:rPr>
        <w:t>Tourism Management</w:t>
      </w:r>
      <w:r w:rsidRPr="00F33D87">
        <w:rPr>
          <w:rFonts w:ascii="Arial" w:hAnsi="Arial" w:cs="Arial"/>
          <w:sz w:val="22"/>
          <w:szCs w:val="22"/>
        </w:rPr>
        <w:t>, vol. 28 (2007), pp. 661-676.</w:t>
      </w:r>
    </w:p>
    <w:p w14:paraId="08D7A209" w14:textId="77777777" w:rsidR="00D51326" w:rsidRPr="00F33D87" w:rsidRDefault="00D51326" w:rsidP="00017FEB">
      <w:pPr>
        <w:spacing w:after="120" w:line="360" w:lineRule="auto"/>
        <w:ind w:left="284" w:right="284" w:hanging="284"/>
        <w:rPr>
          <w:rFonts w:ascii="Arial" w:hAnsi="Arial" w:cs="Arial"/>
          <w:sz w:val="22"/>
          <w:szCs w:val="22"/>
        </w:rPr>
      </w:pPr>
      <w:r w:rsidRPr="00F33D87">
        <w:rPr>
          <w:rFonts w:ascii="Arial" w:hAnsi="Arial" w:cs="Arial"/>
          <w:sz w:val="22"/>
          <w:szCs w:val="22"/>
        </w:rPr>
        <w:t xml:space="preserve">R Donath, Jackie ‘The Gene Autry Western Heritage Museum: the Problem of an Authentic Western Mystique’ (review), </w:t>
      </w:r>
      <w:r w:rsidRPr="00F33D87">
        <w:rPr>
          <w:rFonts w:ascii="Arial" w:hAnsi="Arial" w:cs="Arial"/>
          <w:i/>
          <w:iCs/>
          <w:sz w:val="22"/>
          <w:szCs w:val="22"/>
        </w:rPr>
        <w:t>American Quarterly</w:t>
      </w:r>
      <w:r w:rsidRPr="00F33D87">
        <w:rPr>
          <w:rFonts w:ascii="Arial" w:hAnsi="Arial" w:cs="Arial"/>
          <w:sz w:val="22"/>
          <w:szCs w:val="22"/>
        </w:rPr>
        <w:t>, Vol 43, (1991), pp.82-102.</w:t>
      </w:r>
    </w:p>
    <w:p w14:paraId="536FE818" w14:textId="77777777" w:rsidR="003A4534" w:rsidRPr="00F33D87" w:rsidRDefault="003A4534" w:rsidP="000279B0">
      <w:pPr>
        <w:pStyle w:val="FootnoteText"/>
        <w:ind w:left="284" w:right="284" w:hanging="284"/>
        <w:rPr>
          <w:rFonts w:ascii="Arial" w:hAnsi="Arial" w:cs="Arial"/>
          <w:sz w:val="22"/>
          <w:szCs w:val="22"/>
        </w:rPr>
      </w:pPr>
      <w:r w:rsidRPr="00F33D87">
        <w:rPr>
          <w:rFonts w:ascii="Arial" w:hAnsi="Arial" w:cs="Arial"/>
          <w:sz w:val="22"/>
          <w:szCs w:val="22"/>
        </w:rPr>
        <w:t xml:space="preserve">Richard Prentice; Vivien Andersen, ‘Interpreting Heritage Essentialisms:  Familiarity and Felt History’, </w:t>
      </w:r>
      <w:r w:rsidRPr="00F33D87">
        <w:rPr>
          <w:rFonts w:ascii="Arial" w:hAnsi="Arial" w:cs="Arial"/>
          <w:i/>
          <w:iCs/>
          <w:sz w:val="22"/>
          <w:szCs w:val="22"/>
        </w:rPr>
        <w:t>Tourism Management</w:t>
      </w:r>
      <w:r w:rsidRPr="00F33D87">
        <w:rPr>
          <w:rFonts w:ascii="Arial" w:hAnsi="Arial" w:cs="Arial"/>
          <w:sz w:val="22"/>
          <w:szCs w:val="22"/>
        </w:rPr>
        <w:t>, vol. 28 (2007), pp. 661-676.</w:t>
      </w:r>
    </w:p>
    <w:p w14:paraId="0727BCBC" w14:textId="77777777" w:rsidR="003A4534" w:rsidRPr="00F33D87" w:rsidRDefault="003A4534" w:rsidP="00017FEB">
      <w:pPr>
        <w:spacing w:line="360" w:lineRule="auto"/>
        <w:ind w:left="284" w:right="284" w:hanging="284"/>
        <w:rPr>
          <w:rFonts w:ascii="Arial" w:hAnsi="Arial" w:cs="Arial"/>
          <w:sz w:val="22"/>
          <w:szCs w:val="22"/>
        </w:rPr>
      </w:pPr>
      <w:r w:rsidRPr="00F33D87">
        <w:rPr>
          <w:rFonts w:ascii="Arial" w:hAnsi="Arial" w:cs="Arial"/>
          <w:sz w:val="22"/>
          <w:szCs w:val="22"/>
        </w:rPr>
        <w:t xml:space="preserve">Ruggles, D. Fairchild; and Silverman, Helaine ‘From Tangible to Intangible Heritage’, </w:t>
      </w:r>
      <w:r w:rsidRPr="00F33D87">
        <w:rPr>
          <w:rFonts w:ascii="Arial" w:hAnsi="Arial" w:cs="Arial"/>
          <w:i/>
          <w:iCs/>
          <w:sz w:val="22"/>
          <w:szCs w:val="22"/>
        </w:rPr>
        <w:t>Intangible Heritage Embodied</w:t>
      </w:r>
      <w:r w:rsidRPr="00F33D87">
        <w:rPr>
          <w:rFonts w:ascii="Arial" w:hAnsi="Arial" w:cs="Arial"/>
          <w:sz w:val="22"/>
          <w:szCs w:val="22"/>
        </w:rPr>
        <w:t>, (2009) pp. 1-14.</w:t>
      </w:r>
    </w:p>
    <w:p w14:paraId="1A802DE0" w14:textId="77777777" w:rsidR="00D51326" w:rsidRPr="00F33D87" w:rsidRDefault="00D51326" w:rsidP="000279B0">
      <w:pPr>
        <w:ind w:left="284" w:right="284" w:hanging="284"/>
        <w:rPr>
          <w:rFonts w:ascii="Arial" w:hAnsi="Arial" w:cs="Arial"/>
          <w:sz w:val="22"/>
          <w:szCs w:val="22"/>
        </w:rPr>
      </w:pPr>
      <w:r w:rsidRPr="00F33D87">
        <w:rPr>
          <w:rFonts w:ascii="Arial" w:hAnsi="Arial" w:cs="Arial"/>
          <w:sz w:val="22"/>
          <w:szCs w:val="22"/>
        </w:rPr>
        <w:t xml:space="preserve">Ruggles, D. Fairchild; and Silverman, Helaine ‘From Tangible to Intangible Heritage’, </w:t>
      </w:r>
      <w:r w:rsidRPr="00F33D87">
        <w:rPr>
          <w:rFonts w:ascii="Arial" w:hAnsi="Arial" w:cs="Arial"/>
          <w:i/>
          <w:iCs/>
          <w:sz w:val="22"/>
          <w:szCs w:val="22"/>
        </w:rPr>
        <w:t>Intangible Heritage Embodied</w:t>
      </w:r>
      <w:r w:rsidRPr="00F33D87">
        <w:rPr>
          <w:rFonts w:ascii="Arial" w:hAnsi="Arial" w:cs="Arial"/>
          <w:sz w:val="22"/>
          <w:szCs w:val="22"/>
        </w:rPr>
        <w:t>, (2009) pp. 1-14. </w:t>
      </w:r>
    </w:p>
    <w:p w14:paraId="426C98FB" w14:textId="77777777" w:rsidR="00D51326" w:rsidRPr="00F33D87" w:rsidRDefault="00D51326" w:rsidP="000279B0">
      <w:pPr>
        <w:pStyle w:val="FootnoteText"/>
        <w:ind w:left="284" w:right="284" w:hanging="284"/>
        <w:rPr>
          <w:rFonts w:ascii="Arial" w:hAnsi="Arial" w:cs="Arial"/>
          <w:sz w:val="22"/>
          <w:szCs w:val="22"/>
        </w:rPr>
      </w:pPr>
      <w:r w:rsidRPr="00F33D87">
        <w:rPr>
          <w:rFonts w:ascii="Arial" w:hAnsi="Arial" w:cs="Arial"/>
          <w:sz w:val="22"/>
          <w:szCs w:val="22"/>
        </w:rPr>
        <w:t xml:space="preserve">Skuse, Mathew L. ‘Aegyptiaca in action: Assessing the Significance of Scarabs and Other Egyptian and Egyptianizing  “Amulets” at Perachora and Beyond’, </w:t>
      </w:r>
      <w:r w:rsidRPr="00F33D87">
        <w:rPr>
          <w:rFonts w:ascii="Arial" w:hAnsi="Arial" w:cs="Arial"/>
          <w:i/>
          <w:iCs/>
          <w:sz w:val="22"/>
          <w:szCs w:val="22"/>
        </w:rPr>
        <w:t>Journal of Ancient Egyptian Interconnections</w:t>
      </w:r>
      <w:r w:rsidRPr="00F33D87">
        <w:rPr>
          <w:rFonts w:ascii="Arial" w:hAnsi="Arial" w:cs="Arial"/>
          <w:sz w:val="22"/>
          <w:szCs w:val="22"/>
        </w:rPr>
        <w:t>, Vol 32 (2021), pp. 39-81</w:t>
      </w:r>
    </w:p>
    <w:p w14:paraId="5B35AE46" w14:textId="77777777" w:rsidR="00D51326" w:rsidRPr="00F33D87" w:rsidRDefault="00D51326" w:rsidP="00017FEB">
      <w:pPr>
        <w:spacing w:after="120" w:line="360" w:lineRule="auto"/>
        <w:ind w:left="284" w:right="284" w:hanging="284"/>
        <w:rPr>
          <w:rFonts w:ascii="Arial" w:hAnsi="Arial" w:cs="Arial"/>
          <w:sz w:val="22"/>
          <w:szCs w:val="22"/>
        </w:rPr>
      </w:pPr>
      <w:r w:rsidRPr="00F33D87">
        <w:rPr>
          <w:rFonts w:ascii="Arial" w:hAnsi="Arial" w:cs="Arial"/>
          <w:sz w:val="22"/>
          <w:szCs w:val="22"/>
        </w:rPr>
        <w:t xml:space="preserve">Smith, Pamela, </w:t>
      </w:r>
      <w:r w:rsidRPr="00F33D87">
        <w:rPr>
          <w:rFonts w:ascii="Arial" w:hAnsi="Arial" w:cs="Arial"/>
          <w:i/>
          <w:iCs/>
          <w:sz w:val="22"/>
          <w:szCs w:val="22"/>
        </w:rPr>
        <w:t>From History to Heritage: Using a company’s Past to Guide Its Future</w:t>
      </w:r>
      <w:r w:rsidRPr="00F33D87">
        <w:rPr>
          <w:rFonts w:ascii="Arial" w:hAnsi="Arial" w:cs="Arial"/>
          <w:sz w:val="22"/>
          <w:szCs w:val="22"/>
        </w:rPr>
        <w:t>, (United Kingdom, Bangor University, 2013).</w:t>
      </w:r>
    </w:p>
    <w:p w14:paraId="34331AE1" w14:textId="77777777" w:rsidR="00D51326" w:rsidRPr="00F33D87" w:rsidRDefault="00D51326" w:rsidP="000279B0">
      <w:pPr>
        <w:pStyle w:val="FootnoteText"/>
        <w:ind w:left="284" w:right="284" w:hanging="284"/>
        <w:rPr>
          <w:rFonts w:ascii="Arial" w:hAnsi="Arial" w:cs="Arial"/>
          <w:sz w:val="22"/>
          <w:szCs w:val="22"/>
        </w:rPr>
      </w:pPr>
      <w:r w:rsidRPr="00F33D87">
        <w:rPr>
          <w:rFonts w:ascii="Arial" w:hAnsi="Arial" w:cs="Arial"/>
          <w:i/>
          <w:iCs/>
          <w:sz w:val="22"/>
          <w:szCs w:val="22"/>
        </w:rPr>
        <w:t>The Museum of the World </w:t>
      </w:r>
      <w:r w:rsidRPr="00F33D87">
        <w:rPr>
          <w:rFonts w:ascii="Arial" w:hAnsi="Arial" w:cs="Arial"/>
          <w:sz w:val="22"/>
          <w:szCs w:val="22"/>
        </w:rPr>
        <w:t>&lt; </w:t>
      </w:r>
      <w:hyperlink r:id="rId13" w:tgtFrame="_blank" w:history="1">
        <w:r w:rsidRPr="00F33D87">
          <w:rPr>
            <w:rStyle w:val="Hyperlink"/>
            <w:rFonts w:ascii="Arial" w:hAnsi="Arial" w:cs="Arial"/>
            <w:sz w:val="22"/>
            <w:szCs w:val="22"/>
          </w:rPr>
          <w:t>https://www.openhistoryarchive.com/the-museum-of-the-world</w:t>
        </w:r>
      </w:hyperlink>
      <w:r w:rsidRPr="00F33D87">
        <w:rPr>
          <w:rFonts w:ascii="Arial" w:hAnsi="Arial" w:cs="Arial"/>
          <w:sz w:val="22"/>
          <w:szCs w:val="22"/>
        </w:rPr>
        <w:t> &gt; [accessed 17/02/2024].</w:t>
      </w:r>
    </w:p>
    <w:sectPr w:rsidR="00D51326" w:rsidRPr="00F33D87" w:rsidSect="00694FF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065BBE" w14:textId="77777777" w:rsidR="00D803EA" w:rsidRDefault="00D803EA" w:rsidP="00EC4BA3">
      <w:pPr>
        <w:spacing w:after="0" w:line="240" w:lineRule="auto"/>
      </w:pPr>
      <w:r>
        <w:separator/>
      </w:r>
    </w:p>
  </w:endnote>
  <w:endnote w:type="continuationSeparator" w:id="0">
    <w:p w14:paraId="653347DB" w14:textId="77777777" w:rsidR="00D803EA" w:rsidRDefault="00D803EA" w:rsidP="00EC4BA3">
      <w:pPr>
        <w:spacing w:after="0" w:line="240" w:lineRule="auto"/>
      </w:pPr>
      <w:r>
        <w:continuationSeparator/>
      </w:r>
    </w:p>
  </w:endnote>
  <w:endnote w:type="continuationNotice" w:id="1">
    <w:p w14:paraId="0DB1627C" w14:textId="77777777" w:rsidR="00D803EA" w:rsidRDefault="00D803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850BE6" w14:textId="77777777" w:rsidR="00D803EA" w:rsidRDefault="00D803EA" w:rsidP="00EC4BA3">
      <w:pPr>
        <w:spacing w:after="0" w:line="240" w:lineRule="auto"/>
      </w:pPr>
      <w:r>
        <w:separator/>
      </w:r>
    </w:p>
  </w:footnote>
  <w:footnote w:type="continuationSeparator" w:id="0">
    <w:p w14:paraId="15AFE44B" w14:textId="77777777" w:rsidR="00D803EA" w:rsidRDefault="00D803EA" w:rsidP="00EC4BA3">
      <w:pPr>
        <w:spacing w:after="0" w:line="240" w:lineRule="auto"/>
      </w:pPr>
      <w:r>
        <w:continuationSeparator/>
      </w:r>
    </w:p>
  </w:footnote>
  <w:footnote w:type="continuationNotice" w:id="1">
    <w:p w14:paraId="00E87EDE" w14:textId="77777777" w:rsidR="00D803EA" w:rsidRDefault="00D803EA">
      <w:pPr>
        <w:spacing w:after="0" w:line="240" w:lineRule="auto"/>
      </w:pPr>
    </w:p>
  </w:footnote>
  <w:footnote w:id="2">
    <w:p w14:paraId="40DFA505" w14:textId="20DE09FC" w:rsidR="00CE2EEC" w:rsidRDefault="00CE2EEC">
      <w:pPr>
        <w:pStyle w:val="FootnoteText"/>
      </w:pPr>
      <w:r>
        <w:rPr>
          <w:rStyle w:val="FootnoteReference"/>
        </w:rPr>
        <w:footnoteRef/>
      </w:r>
      <w:r>
        <w:t xml:space="preserve"> </w:t>
      </w:r>
      <w:r w:rsidRPr="00CE2EEC">
        <w:t xml:space="preserve">Derek Bryce; Samantha Murdy; Mathew Alexander, ‘Diaspora, Authenticity and the Imagined Past’, </w:t>
      </w:r>
      <w:r w:rsidRPr="00CE2EEC">
        <w:rPr>
          <w:i/>
          <w:iCs/>
        </w:rPr>
        <w:t>Annals of Tourism Research</w:t>
      </w:r>
      <w:r w:rsidRPr="00CE2EEC">
        <w:t>, Vol 66 (2017) pp. 49-60</w:t>
      </w:r>
      <w:r w:rsidR="004D0355">
        <w:t>, p</w:t>
      </w:r>
      <w:r w:rsidR="00100540">
        <w:t>49</w:t>
      </w:r>
      <w:r w:rsidR="00856660">
        <w:t>-50</w:t>
      </w:r>
      <w:r w:rsidR="00FC516C">
        <w:t>.</w:t>
      </w:r>
    </w:p>
  </w:footnote>
  <w:footnote w:id="3">
    <w:p w14:paraId="53ADF28D" w14:textId="47FEE7A4" w:rsidR="005F281C" w:rsidRDefault="005F281C">
      <w:pPr>
        <w:pStyle w:val="FootnoteText"/>
      </w:pPr>
      <w:r>
        <w:rPr>
          <w:rStyle w:val="FootnoteReference"/>
        </w:rPr>
        <w:footnoteRef/>
      </w:r>
      <w:r>
        <w:t xml:space="preserve"> Ibid.</w:t>
      </w:r>
      <w:r w:rsidR="00DD3F9C">
        <w:t xml:space="preserve">; </w:t>
      </w:r>
      <w:r w:rsidR="00132E2F" w:rsidRPr="00132E2F">
        <w:t xml:space="preserve">Alison J McIntosh; Richard C. Prentice, ‘Affirming Authenticity: Consuming Cultural Heritage’, </w:t>
      </w:r>
      <w:r w:rsidR="00132E2F" w:rsidRPr="00132E2F">
        <w:rPr>
          <w:i/>
          <w:iCs/>
        </w:rPr>
        <w:t>Annals of tourism Research</w:t>
      </w:r>
      <w:r w:rsidR="00132E2F" w:rsidRPr="00132E2F">
        <w:t>, Vol 26, pp. 589-612 (1999)</w:t>
      </w:r>
      <w:r w:rsidR="00132E2F">
        <w:t>, p</w:t>
      </w:r>
      <w:r w:rsidR="00D76295">
        <w:t xml:space="preserve"> 590</w:t>
      </w:r>
      <w:r w:rsidR="001E0A43">
        <w:t>.</w:t>
      </w:r>
    </w:p>
  </w:footnote>
  <w:footnote w:id="4">
    <w:p w14:paraId="3BFA81A1" w14:textId="3CAFB0AA" w:rsidR="004F7890" w:rsidRDefault="004F7890">
      <w:pPr>
        <w:pStyle w:val="FootnoteText"/>
      </w:pPr>
      <w:r>
        <w:rPr>
          <w:rStyle w:val="FootnoteReference"/>
        </w:rPr>
        <w:footnoteRef/>
      </w:r>
      <w:r>
        <w:t xml:space="preserve"> </w:t>
      </w:r>
      <w:r w:rsidRPr="004F7890">
        <w:t xml:space="preserve">Eunkyung Park, Byoung-Kil Choi, Timothy J. Lee, ‘The Role and Dimensions of Authenticity in Heritage Tourism’, </w:t>
      </w:r>
      <w:r w:rsidRPr="004F7890">
        <w:rPr>
          <w:i/>
          <w:iCs/>
        </w:rPr>
        <w:t>Tourism Management,</w:t>
      </w:r>
      <w:r w:rsidRPr="004F7890">
        <w:t xml:space="preserve"> Vol 74, (2019), pp. 99-109</w:t>
      </w:r>
      <w:r w:rsidR="001E0A43">
        <w:t>.</w:t>
      </w:r>
    </w:p>
  </w:footnote>
  <w:footnote w:id="5">
    <w:p w14:paraId="672E02BB" w14:textId="52600078" w:rsidR="0088709C" w:rsidRDefault="0088709C">
      <w:pPr>
        <w:pStyle w:val="FootnoteText"/>
      </w:pPr>
      <w:r>
        <w:rPr>
          <w:rStyle w:val="FootnoteReference"/>
        </w:rPr>
        <w:footnoteRef/>
      </w:r>
      <w:r>
        <w:t xml:space="preserve"> </w:t>
      </w:r>
      <w:r w:rsidR="00CD2D19" w:rsidRPr="00CD2D19">
        <w:t xml:space="preserve">Deepak Chhabra; Robert Healy; Erin Sills, ‘Staged Authenticity and Heritage Tourism’, </w:t>
      </w:r>
      <w:r w:rsidR="00CD2D19" w:rsidRPr="00CD2D19">
        <w:rPr>
          <w:i/>
          <w:iCs/>
        </w:rPr>
        <w:t>Annals of Tourism Research,</w:t>
      </w:r>
      <w:r w:rsidR="00CD2D19" w:rsidRPr="00CD2D19">
        <w:t xml:space="preserve"> Vol 30, pp.702-719, (2003)</w:t>
      </w:r>
      <w:r w:rsidR="001E0A43">
        <w:t>.</w:t>
      </w:r>
    </w:p>
  </w:footnote>
  <w:footnote w:id="6">
    <w:p w14:paraId="2BACA93D" w14:textId="31E0A8B4" w:rsidR="001E0A43" w:rsidRDefault="001E0A43">
      <w:pPr>
        <w:pStyle w:val="FootnoteText"/>
      </w:pPr>
      <w:r>
        <w:rPr>
          <w:rStyle w:val="FootnoteReference"/>
        </w:rPr>
        <w:footnoteRef/>
      </w:r>
      <w:r>
        <w:t xml:space="preserve"> </w:t>
      </w:r>
      <w:r w:rsidRPr="001E0A43">
        <w:t>D. Fairchild</w:t>
      </w:r>
      <w:r w:rsidR="00B07426">
        <w:t xml:space="preserve"> Ruggles</w:t>
      </w:r>
      <w:r w:rsidRPr="001E0A43">
        <w:t xml:space="preserve">; and Silverman, Helaine ‘From Tangible to Intangible Heritage’, </w:t>
      </w:r>
      <w:r w:rsidRPr="001E0A43">
        <w:rPr>
          <w:i/>
          <w:iCs/>
        </w:rPr>
        <w:t>Intangible Heritage Embodied</w:t>
      </w:r>
      <w:r w:rsidRPr="001E0A43">
        <w:t>, (2009) pp. 1-14</w:t>
      </w:r>
      <w:r>
        <w:t>.</w:t>
      </w:r>
      <w:r w:rsidR="00C857F0">
        <w:t>, p</w:t>
      </w:r>
      <w:r w:rsidR="00426204">
        <w:t>p.1-2</w:t>
      </w:r>
    </w:p>
  </w:footnote>
  <w:footnote w:id="7">
    <w:p w14:paraId="1131DC30" w14:textId="5E3E1320" w:rsidR="00C63D2E" w:rsidRPr="005D7622" w:rsidRDefault="00C63D2E">
      <w:pPr>
        <w:pStyle w:val="FootnoteText"/>
      </w:pPr>
      <w:r>
        <w:rPr>
          <w:rStyle w:val="FootnoteReference"/>
        </w:rPr>
        <w:footnoteRef/>
      </w:r>
      <w:r>
        <w:t xml:space="preserve"> </w:t>
      </w:r>
      <w:r w:rsidR="001262DE">
        <w:t>Jouko Aaltonen, ‘From evidence to re-enactment</w:t>
      </w:r>
      <w:r w:rsidR="008432F1">
        <w:t xml:space="preserve">: history, television and documentary film’, </w:t>
      </w:r>
      <w:r w:rsidR="00662EA4">
        <w:rPr>
          <w:i/>
          <w:iCs/>
        </w:rPr>
        <w:t>Journal of Media Practice</w:t>
      </w:r>
      <w:r w:rsidR="005D7622">
        <w:t>, vol 16</w:t>
      </w:r>
      <w:r w:rsidR="00047130">
        <w:t xml:space="preserve">:2, pp.108-125, p </w:t>
      </w:r>
      <w:r w:rsidR="00BF3FBD">
        <w:t>2-3, 10-11</w:t>
      </w:r>
    </w:p>
  </w:footnote>
  <w:footnote w:id="8">
    <w:p w14:paraId="101F7CD9" w14:textId="05B640E4" w:rsidR="008028FC" w:rsidRDefault="008028FC">
      <w:pPr>
        <w:pStyle w:val="FootnoteText"/>
      </w:pPr>
      <w:r>
        <w:rPr>
          <w:rStyle w:val="FootnoteReference"/>
        </w:rPr>
        <w:footnoteRef/>
      </w:r>
      <w:r>
        <w:t xml:space="preserve"> </w:t>
      </w:r>
      <w:r w:rsidR="00B07426">
        <w:t xml:space="preserve">Elizabeth </w:t>
      </w:r>
      <w:r w:rsidR="00333DEB" w:rsidRPr="00333DEB">
        <w:t xml:space="preserve">Carnegie, and Scott McCabe, ‘Re-Enactment Events and Tourism’, </w:t>
      </w:r>
      <w:r w:rsidR="00333DEB" w:rsidRPr="00333DEB">
        <w:rPr>
          <w:i/>
          <w:iCs/>
        </w:rPr>
        <w:t>Current Issues in Tourism</w:t>
      </w:r>
      <w:r w:rsidR="00333DEB" w:rsidRPr="00333DEB">
        <w:t>, vol. 11 (2008), pp. 349–68. </w:t>
      </w:r>
    </w:p>
  </w:footnote>
  <w:footnote w:id="9">
    <w:p w14:paraId="6F8ED87E" w14:textId="77777777" w:rsidR="000D7117" w:rsidRDefault="000D7117" w:rsidP="000D7117">
      <w:pPr>
        <w:pStyle w:val="FootnoteText"/>
      </w:pPr>
      <w:r>
        <w:rPr>
          <w:rStyle w:val="FootnoteReference"/>
        </w:rPr>
        <w:footnoteRef/>
      </w:r>
      <w:r>
        <w:t xml:space="preserve"> </w:t>
      </w:r>
      <w:r w:rsidRPr="00096DBA">
        <w:t>Stefanie Jovanovic-Kruspel; Reinhard Blumauer, ‘The Magic of Authenticity in 19</w:t>
      </w:r>
      <w:r w:rsidRPr="00096DBA">
        <w:rPr>
          <w:vertAlign w:val="superscript"/>
        </w:rPr>
        <w:t>th</w:t>
      </w:r>
      <w:r w:rsidRPr="00096DBA">
        <w:t xml:space="preserve"> Century Museums – The Solomon Islands Caryatide by Viktor Tilgner and the discovery of the Novara Spear’, </w:t>
      </w:r>
      <w:r w:rsidRPr="00096DBA">
        <w:rPr>
          <w:i/>
          <w:iCs/>
        </w:rPr>
        <w:t>Anthropology and Prehistory</w:t>
      </w:r>
      <w:r w:rsidRPr="00096DBA">
        <w:t>, (2020) Vol 122, pp. 187-209</w:t>
      </w:r>
      <w:r>
        <w:t>, p. 189</w:t>
      </w:r>
    </w:p>
  </w:footnote>
  <w:footnote w:id="10">
    <w:p w14:paraId="5E639BE8" w14:textId="752FEC1A" w:rsidR="0088587B" w:rsidRDefault="0088587B">
      <w:pPr>
        <w:pStyle w:val="FootnoteText"/>
      </w:pPr>
      <w:r>
        <w:rPr>
          <w:rStyle w:val="FootnoteReference"/>
        </w:rPr>
        <w:footnoteRef/>
      </w:r>
      <w:r>
        <w:t xml:space="preserve"> Ibid.</w:t>
      </w:r>
    </w:p>
  </w:footnote>
  <w:footnote w:id="11">
    <w:p w14:paraId="420AC0DA" w14:textId="6840FA7B" w:rsidR="00A87672" w:rsidRDefault="00A87672">
      <w:pPr>
        <w:pStyle w:val="FootnoteText"/>
      </w:pPr>
      <w:r>
        <w:rPr>
          <w:rStyle w:val="FootnoteReference"/>
        </w:rPr>
        <w:footnoteRef/>
      </w:r>
      <w:r>
        <w:t xml:space="preserve"> Carl Walsh, Kaelin Jewell, ‘What to Do with Fakes?  Modern Productions of Ancient Egyptian Objects as Pedagogical Tools in Museums’,</w:t>
      </w:r>
      <w:r>
        <w:rPr>
          <w:i/>
          <w:iCs/>
        </w:rPr>
        <w:t xml:space="preserve"> Teaching Ancient Egypt in Museums, </w:t>
      </w:r>
      <w:r>
        <w:t>(2024)</w:t>
      </w:r>
      <w:r w:rsidR="00AA25F3">
        <w:t>, pp. 42-55</w:t>
      </w:r>
    </w:p>
  </w:footnote>
  <w:footnote w:id="12">
    <w:p w14:paraId="663DEA6B" w14:textId="0AA97ED6" w:rsidR="005F7198" w:rsidRPr="00D678EA" w:rsidRDefault="005F7198">
      <w:pPr>
        <w:pStyle w:val="FootnoteText"/>
      </w:pPr>
      <w:r>
        <w:rPr>
          <w:rStyle w:val="FootnoteReference"/>
        </w:rPr>
        <w:footnoteRef/>
      </w:r>
      <w:r>
        <w:t xml:space="preserve"> </w:t>
      </w:r>
      <w:r w:rsidR="007814EB">
        <w:t>Mathew L. Skuse,</w:t>
      </w:r>
      <w:r w:rsidR="000B2CC6">
        <w:t xml:space="preserve"> </w:t>
      </w:r>
      <w:r w:rsidR="000C325D">
        <w:t>‘</w:t>
      </w:r>
      <w:r w:rsidR="00D678EA">
        <w:t xml:space="preserve">Aegyptiaca in action: Assessing the Significance of Scarabs and Other Egyptian and Egyptianizing  “Amulets” at Perachora and Beyond’, </w:t>
      </w:r>
      <w:r w:rsidR="00D678EA">
        <w:rPr>
          <w:i/>
          <w:iCs/>
        </w:rPr>
        <w:t>Journal of Ancient Egyptian Interconnections</w:t>
      </w:r>
      <w:r w:rsidR="00DD21D4">
        <w:t xml:space="preserve">, </w:t>
      </w:r>
      <w:r w:rsidR="00280B91">
        <w:t>Vol 32 (2021), pp. 39-81</w:t>
      </w:r>
    </w:p>
  </w:footnote>
  <w:footnote w:id="13">
    <w:p w14:paraId="54C2150B" w14:textId="725F7605" w:rsidR="009A6D9D" w:rsidRPr="00826AB0" w:rsidRDefault="009A6D9D">
      <w:pPr>
        <w:pStyle w:val="FootnoteText"/>
      </w:pPr>
      <w:r>
        <w:rPr>
          <w:rStyle w:val="FootnoteReference"/>
        </w:rPr>
        <w:footnoteRef/>
      </w:r>
      <w:r>
        <w:t xml:space="preserve"> </w:t>
      </w:r>
      <w:r w:rsidR="00A87672">
        <w:t>Walsh, Jewell, ‘What to Do with Fakes?’</w:t>
      </w:r>
    </w:p>
  </w:footnote>
  <w:footnote w:id="14">
    <w:p w14:paraId="0FB6B666" w14:textId="092DA528" w:rsidR="00ED53AC" w:rsidRDefault="00ED53AC">
      <w:pPr>
        <w:pStyle w:val="FootnoteText"/>
      </w:pPr>
      <w:r>
        <w:rPr>
          <w:rStyle w:val="FootnoteReference"/>
        </w:rPr>
        <w:footnoteRef/>
      </w:r>
      <w:r>
        <w:t xml:space="preserve"> </w:t>
      </w:r>
      <w:r w:rsidR="004E38F0">
        <w:t>‘The Magic of Authenticity in 19</w:t>
      </w:r>
      <w:r w:rsidR="004E38F0" w:rsidRPr="004E38F0">
        <w:rPr>
          <w:vertAlign w:val="superscript"/>
        </w:rPr>
        <w:t>th</w:t>
      </w:r>
      <w:r w:rsidR="004E38F0">
        <w:t xml:space="preserve"> Century Museums’</w:t>
      </w:r>
      <w:r w:rsidR="002106A9">
        <w:t xml:space="preserve"> p</w:t>
      </w:r>
      <w:r w:rsidR="00BE01EA">
        <w:t>189-190</w:t>
      </w:r>
    </w:p>
  </w:footnote>
  <w:footnote w:id="15">
    <w:p w14:paraId="20C93172" w14:textId="1018B0DF" w:rsidR="00D1361D" w:rsidRDefault="00D1361D">
      <w:pPr>
        <w:pStyle w:val="FootnoteText"/>
      </w:pPr>
      <w:r>
        <w:rPr>
          <w:rStyle w:val="FootnoteReference"/>
        </w:rPr>
        <w:footnoteRef/>
      </w:r>
      <w:r>
        <w:t xml:space="preserve"> </w:t>
      </w:r>
      <w:r w:rsidR="00D255A2">
        <w:t xml:space="preserve">&lt; </w:t>
      </w:r>
      <w:hyperlink r:id="rId1" w:history="1">
        <w:r w:rsidR="00D255A2" w:rsidRPr="004E7860">
          <w:rPr>
            <w:rStyle w:val="Hyperlink"/>
          </w:rPr>
          <w:t>https://www.crick.ac.uk/whats-on/exhibitions/hello-brain</w:t>
        </w:r>
      </w:hyperlink>
      <w:r w:rsidR="00D255A2">
        <w:t xml:space="preserve"> &gt; [accessed 08/07/2024]</w:t>
      </w:r>
    </w:p>
  </w:footnote>
  <w:footnote w:id="16">
    <w:p w14:paraId="70C66B27" w14:textId="3C77F602" w:rsidR="00D1361D" w:rsidRDefault="00D1361D">
      <w:pPr>
        <w:pStyle w:val="FootnoteText"/>
      </w:pPr>
      <w:r>
        <w:rPr>
          <w:rStyle w:val="FootnoteReference"/>
        </w:rPr>
        <w:footnoteRef/>
      </w:r>
      <w:r>
        <w:t xml:space="preserve"> </w:t>
      </w:r>
      <w:r w:rsidR="00C336D0">
        <w:t>Ibid.</w:t>
      </w:r>
      <w:r w:rsidR="007B5510">
        <w:t xml:space="preserve"> The ‘Nit a Neuron’ project is an excellent example of </w:t>
      </w:r>
      <w:r w:rsidR="009B3FFB">
        <w:t>creating a tradition which also leaves physical heritage.</w:t>
      </w:r>
    </w:p>
  </w:footnote>
  <w:footnote w:id="17">
    <w:p w14:paraId="4F98AD5B" w14:textId="78428125" w:rsidR="00E129F0" w:rsidRDefault="00E129F0">
      <w:pPr>
        <w:pStyle w:val="FootnoteText"/>
      </w:pPr>
      <w:r>
        <w:rPr>
          <w:rStyle w:val="FootnoteReference"/>
        </w:rPr>
        <w:footnoteRef/>
      </w:r>
      <w:r>
        <w:t xml:space="preserve"> </w:t>
      </w:r>
      <w:r w:rsidR="00E04BF0" w:rsidRPr="00E04BF0">
        <w:rPr>
          <w:i/>
          <w:iCs/>
        </w:rPr>
        <w:t>The Museum of the World </w:t>
      </w:r>
      <w:r w:rsidR="00E04BF0" w:rsidRPr="00E04BF0">
        <w:t>&lt; </w:t>
      </w:r>
      <w:hyperlink r:id="rId2" w:tgtFrame="_blank" w:history="1">
        <w:r w:rsidR="00E04BF0" w:rsidRPr="00E04BF0">
          <w:rPr>
            <w:rStyle w:val="Hyperlink"/>
          </w:rPr>
          <w:t>https://www.openhistoryarchive.com/the-museum-of-the-world</w:t>
        </w:r>
      </w:hyperlink>
      <w:r w:rsidR="00E04BF0" w:rsidRPr="00E04BF0">
        <w:t> &gt; [accessed 17/02/2024]</w:t>
      </w:r>
      <w:r w:rsidR="00E04BF0">
        <w:t>;</w:t>
      </w:r>
      <w:r w:rsidR="00945A20">
        <w:t xml:space="preserve"> </w:t>
      </w:r>
      <w:r w:rsidR="004264B2">
        <w:t>Archeosoup</w:t>
      </w:r>
      <w:r w:rsidR="00931FF7">
        <w:t xml:space="preserve">, </w:t>
      </w:r>
      <w:r w:rsidR="00931FF7">
        <w:rPr>
          <w:i/>
          <w:iCs/>
        </w:rPr>
        <w:t>Museum of the World (British Museum</w:t>
      </w:r>
      <w:r w:rsidR="00F72287">
        <w:rPr>
          <w:i/>
          <w:iCs/>
        </w:rPr>
        <w:t>): Review</w:t>
      </w:r>
      <w:r w:rsidR="00E04BF0">
        <w:t xml:space="preserve"> </w:t>
      </w:r>
      <w:r w:rsidR="000D3C20">
        <w:t xml:space="preserve">&lt; </w:t>
      </w:r>
      <w:hyperlink r:id="rId3" w:history="1">
        <w:r w:rsidR="000D3C20" w:rsidRPr="004E7860">
          <w:rPr>
            <w:rStyle w:val="Hyperlink"/>
          </w:rPr>
          <w:t>https://www.youtube.com/watch?v=Jpycog7AAY0</w:t>
        </w:r>
      </w:hyperlink>
      <w:r w:rsidR="000D3C20">
        <w:t xml:space="preserve"> &gt;</w:t>
      </w:r>
      <w:r w:rsidR="00E2378D">
        <w:t xml:space="preserve"> [accessed 08/07/24]</w:t>
      </w:r>
      <w:r w:rsidR="00F72287">
        <w:t xml:space="preserve"> This project has sadly been </w:t>
      </w:r>
      <w:r w:rsidR="00622A4E">
        <w:t xml:space="preserve">archived by the museum and google, so </w:t>
      </w:r>
      <w:r w:rsidR="00A37171">
        <w:t xml:space="preserve">reviews like this are a good way to see what the website was.  </w:t>
      </w:r>
    </w:p>
  </w:footnote>
  <w:footnote w:id="18">
    <w:p w14:paraId="7CDA8A02" w14:textId="37637984" w:rsidR="00624E69" w:rsidRDefault="00624E69">
      <w:pPr>
        <w:pStyle w:val="FootnoteText"/>
      </w:pPr>
      <w:r>
        <w:rPr>
          <w:rStyle w:val="FootnoteReference"/>
        </w:rPr>
        <w:footnoteRef/>
      </w:r>
      <w:r>
        <w:t xml:space="preserve"> &lt; </w:t>
      </w:r>
      <w:hyperlink r:id="rId4" w:history="1">
        <w:r w:rsidRPr="004E7860">
          <w:rPr>
            <w:rStyle w:val="Hyperlink"/>
          </w:rPr>
          <w:t>https://www.youtube.com/watch?v=Jpycog7AAY0</w:t>
        </w:r>
      </w:hyperlink>
      <w:r>
        <w:t xml:space="preserve"> &gt; [accessed 08/07/2024]</w:t>
      </w:r>
    </w:p>
  </w:footnote>
  <w:footnote w:id="19">
    <w:p w14:paraId="2347DF4B" w14:textId="5D857A45" w:rsidR="00AC08B0" w:rsidRDefault="00AC08B0">
      <w:pPr>
        <w:pStyle w:val="FootnoteText"/>
      </w:pPr>
      <w:r>
        <w:rPr>
          <w:rStyle w:val="FootnoteReference"/>
        </w:rPr>
        <w:footnoteRef/>
      </w:r>
      <w:r>
        <w:t xml:space="preserve"> </w:t>
      </w:r>
      <w:r w:rsidR="00505F40">
        <w:t xml:space="preserve">&lt; </w:t>
      </w:r>
      <w:hyperlink r:id="rId5" w:history="1">
        <w:r w:rsidR="00505F40" w:rsidRPr="004E7860">
          <w:rPr>
            <w:rStyle w:val="Hyperlink"/>
          </w:rPr>
          <w:t>https://www.britishmuseum.org/blog/how-explore-british-museum-home</w:t>
        </w:r>
      </w:hyperlink>
      <w:r w:rsidR="00505F40">
        <w:t xml:space="preserve"> &gt; [accessed 08/07/2024]</w:t>
      </w:r>
    </w:p>
  </w:footnote>
  <w:footnote w:id="20">
    <w:p w14:paraId="57534E35" w14:textId="58DFBB3D" w:rsidR="0034246E" w:rsidRDefault="0034246E">
      <w:pPr>
        <w:pStyle w:val="FootnoteText"/>
      </w:pPr>
      <w:r>
        <w:rPr>
          <w:rStyle w:val="FootnoteReference"/>
        </w:rPr>
        <w:footnoteRef/>
      </w:r>
      <w:r>
        <w:t xml:space="preserve"> </w:t>
      </w:r>
      <w:r w:rsidR="00B95EB7">
        <w:t xml:space="preserve">Silke </w:t>
      </w:r>
      <w:r w:rsidR="00B95EB7" w:rsidRPr="00AC47C7">
        <w:t>Schwandt, ‘Going Virtual: How Does the Potential of Interactive Scenarios Influence the Way We Do History in the 21</w:t>
      </w:r>
      <w:r w:rsidR="00B95EB7" w:rsidRPr="00AC47C7">
        <w:rPr>
          <w:vertAlign w:val="superscript"/>
        </w:rPr>
        <w:t>st</w:t>
      </w:r>
      <w:r w:rsidR="00B95EB7" w:rsidRPr="00AC47C7">
        <w:t xml:space="preserve"> Century?’, </w:t>
      </w:r>
      <w:r w:rsidR="00B95EB7" w:rsidRPr="00AC47C7">
        <w:rPr>
          <w:i/>
          <w:iCs/>
        </w:rPr>
        <w:t>Panel Four: Digital History and Theory Symposium</w:t>
      </w:r>
      <w:r w:rsidR="00B95EB7" w:rsidRPr="00AC47C7">
        <w:t xml:space="preserve">, (Brown University, 2023)  &lt; </w:t>
      </w:r>
      <w:hyperlink r:id="rId6" w:tgtFrame="_blank" w:history="1">
        <w:r w:rsidR="00B95EB7" w:rsidRPr="00AC47C7">
          <w:rPr>
            <w:rStyle w:val="Hyperlink"/>
          </w:rPr>
          <w:t>https://www.youtube.com/watch?v=jaaRoKpnRqY&amp;t=2596s</w:t>
        </w:r>
      </w:hyperlink>
      <w:r w:rsidR="00B95EB7" w:rsidRPr="00AC47C7">
        <w:t xml:space="preserve"> &gt; [accessed 16/02/2024]</w:t>
      </w:r>
      <w:r w:rsidR="00B95EB7">
        <w:t>.</w:t>
      </w:r>
      <w:r w:rsidR="00B95EB7" w:rsidRPr="00AC47C7">
        <w:t> </w:t>
      </w:r>
    </w:p>
  </w:footnote>
  <w:footnote w:id="21">
    <w:p w14:paraId="7D1376EB" w14:textId="67DC77AD" w:rsidR="00D642FE" w:rsidRDefault="00D642FE">
      <w:pPr>
        <w:pStyle w:val="FootnoteText"/>
      </w:pPr>
      <w:r>
        <w:rPr>
          <w:rStyle w:val="FootnoteReference"/>
        </w:rPr>
        <w:footnoteRef/>
      </w:r>
      <w:r>
        <w:t xml:space="preserve"> </w:t>
      </w:r>
      <w:r w:rsidR="006F5BB9" w:rsidRPr="006F5BB9">
        <w:rPr>
          <w:i/>
          <w:iCs/>
        </w:rPr>
        <w:t xml:space="preserve">City Witness, </w:t>
      </w:r>
      <w:r w:rsidR="006F5BB9" w:rsidRPr="006F5BB9">
        <w:t xml:space="preserve">(2014) &lt; </w:t>
      </w:r>
      <w:hyperlink r:id="rId7" w:tgtFrame="_blank" w:history="1">
        <w:r w:rsidR="006F5BB9" w:rsidRPr="006F5BB9">
          <w:rPr>
            <w:rStyle w:val="Hyperlink"/>
          </w:rPr>
          <w:t>https://medievalswansea.ac.uk/en/index.html</w:t>
        </w:r>
      </w:hyperlink>
      <w:r w:rsidR="006F5BB9" w:rsidRPr="006F5BB9">
        <w:t xml:space="preserve"> &gt; [accessed 15/02/2024] </w:t>
      </w:r>
    </w:p>
  </w:footnote>
  <w:footnote w:id="22">
    <w:p w14:paraId="338E42F4" w14:textId="0B84950D" w:rsidR="00472746" w:rsidRDefault="00472746">
      <w:pPr>
        <w:pStyle w:val="FootnoteText"/>
      </w:pPr>
      <w:r>
        <w:rPr>
          <w:rStyle w:val="FootnoteReference"/>
        </w:rPr>
        <w:footnoteRef/>
      </w:r>
      <w:r>
        <w:t xml:space="preserve"> </w:t>
      </w:r>
      <w:r w:rsidR="00A41603" w:rsidRPr="00A41603">
        <w:t>Richard</w:t>
      </w:r>
      <w:r w:rsidR="00A41603">
        <w:t xml:space="preserve"> Prentice</w:t>
      </w:r>
      <w:r w:rsidR="00A41603" w:rsidRPr="00A41603">
        <w:t xml:space="preserve">; </w:t>
      </w:r>
      <w:r w:rsidR="00A41603">
        <w:t xml:space="preserve">Vivien </w:t>
      </w:r>
      <w:r w:rsidR="00A41603" w:rsidRPr="00A41603">
        <w:t xml:space="preserve">Andersen, ‘Interpreting Heritage Essentialisms:  Familiarity and Felt History’, </w:t>
      </w:r>
      <w:r w:rsidR="00A41603" w:rsidRPr="00B95EB7">
        <w:rPr>
          <w:i/>
          <w:iCs/>
        </w:rPr>
        <w:t>Tourism Management</w:t>
      </w:r>
      <w:r w:rsidR="00A41603" w:rsidRPr="00A41603">
        <w:t>, vol. 28 (2007), pp. 661-676.</w:t>
      </w:r>
    </w:p>
  </w:footnote>
  <w:footnote w:id="23">
    <w:p w14:paraId="60BCFE58" w14:textId="5C20B4ED" w:rsidR="003510B5" w:rsidRDefault="003510B5">
      <w:pPr>
        <w:pStyle w:val="FootnoteText"/>
      </w:pPr>
      <w:r>
        <w:rPr>
          <w:rStyle w:val="FootnoteReference"/>
        </w:rPr>
        <w:footnoteRef/>
      </w:r>
      <w:r>
        <w:t xml:space="preserve"> </w:t>
      </w:r>
      <w:r w:rsidR="00A263E6">
        <w:t>Schwandt, ‘Going Viral’</w:t>
      </w:r>
    </w:p>
  </w:footnote>
  <w:footnote w:id="24">
    <w:p w14:paraId="44C1466A" w14:textId="682A24F9" w:rsidR="00AC47C7" w:rsidRDefault="00AC47C7">
      <w:pPr>
        <w:pStyle w:val="FootnoteText"/>
      </w:pPr>
      <w:r>
        <w:rPr>
          <w:rStyle w:val="FootnoteReference"/>
        </w:rPr>
        <w:footnoteRef/>
      </w:r>
      <w:r>
        <w:t xml:space="preserve"> </w:t>
      </w:r>
      <w:r w:rsidR="00B95EB7">
        <w:t>Schwandt, ‘Going Viral’</w:t>
      </w:r>
    </w:p>
  </w:footnote>
  <w:footnote w:id="25">
    <w:p w14:paraId="67EA7666" w14:textId="4703EA47" w:rsidR="00BF3BB5" w:rsidRDefault="00BF3BB5">
      <w:pPr>
        <w:pStyle w:val="FootnoteText"/>
      </w:pPr>
      <w:r>
        <w:rPr>
          <w:rStyle w:val="FootnoteReference"/>
        </w:rPr>
        <w:footnoteRef/>
      </w:r>
      <w:r>
        <w:t xml:space="preserve"> </w:t>
      </w:r>
      <w:r w:rsidR="00234B7F" w:rsidRPr="00234B7F">
        <w:t xml:space="preserve">Deepak Chhabra; Robert Healy; Erin Sills, ‘Staged Authenticity and Heritage Tourism’, </w:t>
      </w:r>
      <w:r w:rsidR="00234B7F" w:rsidRPr="00234B7F">
        <w:rPr>
          <w:i/>
          <w:iCs/>
        </w:rPr>
        <w:t>Annals of Tourism Research,</w:t>
      </w:r>
      <w:r w:rsidR="00234B7F" w:rsidRPr="00234B7F">
        <w:t xml:space="preserve"> Vol 30, </w:t>
      </w:r>
      <w:r w:rsidR="00234B7F">
        <w:t xml:space="preserve">(2003), </w:t>
      </w:r>
      <w:r w:rsidR="00234B7F" w:rsidRPr="00234B7F">
        <w:t>pp.702-719</w:t>
      </w:r>
      <w:r w:rsidR="00234B7F">
        <w:t xml:space="preserve">, </w:t>
      </w:r>
      <w:r w:rsidR="00D5010E">
        <w:t>p 703.</w:t>
      </w:r>
    </w:p>
  </w:footnote>
  <w:footnote w:id="26">
    <w:p w14:paraId="2D12C460" w14:textId="69B18625" w:rsidR="00D5010E" w:rsidRDefault="00D5010E">
      <w:pPr>
        <w:pStyle w:val="FootnoteText"/>
      </w:pPr>
      <w:r>
        <w:rPr>
          <w:rStyle w:val="FootnoteReference"/>
        </w:rPr>
        <w:footnoteRef/>
      </w:r>
      <w:r>
        <w:t xml:space="preserve"> Chhabra; Healy; Sills, ‘Staged Authenticity and Heritage Tourism’, p</w:t>
      </w:r>
      <w:r w:rsidR="002010A6">
        <w:t xml:space="preserve"> 705</w:t>
      </w:r>
    </w:p>
  </w:footnote>
  <w:footnote w:id="27">
    <w:p w14:paraId="722AB326" w14:textId="187AD6B6" w:rsidR="00D95A41" w:rsidRDefault="00D95A41">
      <w:pPr>
        <w:pStyle w:val="FootnoteText"/>
      </w:pPr>
      <w:r>
        <w:rPr>
          <w:rStyle w:val="FootnoteReference"/>
        </w:rPr>
        <w:footnoteRef/>
      </w:r>
      <w:r>
        <w:t xml:space="preserve"> </w:t>
      </w:r>
      <w:r w:rsidR="00F22DC6">
        <w:t xml:space="preserve">Jackie </w:t>
      </w:r>
      <w:r w:rsidR="00F22DC6" w:rsidRPr="00F22DC6">
        <w:t>R Donath</w:t>
      </w:r>
      <w:r w:rsidR="00F22DC6">
        <w:t>,</w:t>
      </w:r>
      <w:r w:rsidR="00F22DC6" w:rsidRPr="00F22DC6">
        <w:t xml:space="preserve"> ‘The Gene Autry Western Heritage Museum: the Problem of an Authentic Western Mystique’ (review), American Quarterly, Vol 43, (1991), pp.82-102</w:t>
      </w:r>
      <w:r w:rsidR="00397C90">
        <w:t>, p 91</w:t>
      </w:r>
      <w:r w:rsidR="00BF3BB5">
        <w:t>.</w:t>
      </w:r>
    </w:p>
  </w:footnote>
  <w:footnote w:id="28">
    <w:p w14:paraId="4416C03F" w14:textId="00E2D10F" w:rsidR="00F22DC6" w:rsidRDefault="00F22DC6">
      <w:pPr>
        <w:pStyle w:val="FootnoteText"/>
      </w:pPr>
      <w:r>
        <w:rPr>
          <w:rStyle w:val="FootnoteReference"/>
        </w:rPr>
        <w:footnoteRef/>
      </w:r>
      <w:r>
        <w:t xml:space="preserve"> Dona</w:t>
      </w:r>
      <w:r w:rsidR="00321C60">
        <w:t>th, ‘The Gene Autry Western Heritage Museum’, p</w:t>
      </w:r>
      <w:r w:rsidR="00397C90">
        <w:t xml:space="preserve"> 87</w:t>
      </w:r>
      <w:r w:rsidR="00BF3BB5">
        <w:t>.</w:t>
      </w:r>
    </w:p>
  </w:footnote>
  <w:footnote w:id="29">
    <w:p w14:paraId="0322AD61" w14:textId="50616D3F" w:rsidR="00397C90" w:rsidRDefault="00397C90">
      <w:pPr>
        <w:pStyle w:val="FootnoteText"/>
      </w:pPr>
      <w:r>
        <w:rPr>
          <w:rStyle w:val="FootnoteReference"/>
        </w:rPr>
        <w:footnoteRef/>
      </w:r>
      <w:r>
        <w:t xml:space="preserve"> Ibid.</w:t>
      </w:r>
    </w:p>
  </w:footnote>
  <w:footnote w:id="30">
    <w:p w14:paraId="3B4D6725" w14:textId="5C3BE591" w:rsidR="00397C90" w:rsidRDefault="00397C90">
      <w:pPr>
        <w:pStyle w:val="FootnoteText"/>
      </w:pPr>
      <w:r>
        <w:rPr>
          <w:rStyle w:val="FootnoteReference"/>
        </w:rPr>
        <w:footnoteRef/>
      </w:r>
      <w:r>
        <w:t xml:space="preserve"> </w:t>
      </w:r>
      <w:r w:rsidR="00A54FBA">
        <w:t xml:space="preserve">McIntosh; Prentice, ‘Affirming </w:t>
      </w:r>
      <w:r w:rsidR="0085218E">
        <w:t>Authenticity</w:t>
      </w:r>
      <w:r w:rsidR="00A54FBA">
        <w:t xml:space="preserve">’, p </w:t>
      </w:r>
      <w:r w:rsidR="0085218E">
        <w:t>591</w:t>
      </w:r>
      <w:r w:rsidR="00BF3BB5">
        <w:t>.</w:t>
      </w:r>
    </w:p>
  </w:footnote>
  <w:footnote w:id="31">
    <w:p w14:paraId="17E66196" w14:textId="05F577E6" w:rsidR="002010A6" w:rsidRDefault="002010A6">
      <w:pPr>
        <w:pStyle w:val="FootnoteText"/>
      </w:pPr>
      <w:r>
        <w:rPr>
          <w:rStyle w:val="FootnoteReference"/>
        </w:rPr>
        <w:footnoteRef/>
      </w:r>
      <w:r>
        <w:t xml:space="preserve"> </w:t>
      </w:r>
      <w:r w:rsidR="0012636A">
        <w:t xml:space="preserve">McIntosh; Prentice, ‘Affirming Authenticity’, p </w:t>
      </w:r>
      <w:r w:rsidR="00E55331">
        <w:t>591-594</w:t>
      </w:r>
    </w:p>
  </w:footnote>
  <w:footnote w:id="32">
    <w:p w14:paraId="52085A85" w14:textId="03BA6278" w:rsidR="0085218E" w:rsidRDefault="0085218E">
      <w:pPr>
        <w:pStyle w:val="FootnoteText"/>
      </w:pPr>
      <w:r>
        <w:rPr>
          <w:rStyle w:val="FootnoteReference"/>
        </w:rPr>
        <w:footnoteRef/>
      </w:r>
      <w:r>
        <w:t xml:space="preserve"> </w:t>
      </w:r>
      <w:r w:rsidR="00B96E80" w:rsidRPr="00B96E80">
        <w:t xml:space="preserve">Eunkyung Park, Byoung-Kil Choi, Timothy J. Lee, ‘The Role and Dimensions of Authenticity in Heritage Tourism’, </w:t>
      </w:r>
      <w:r w:rsidR="00B96E80" w:rsidRPr="00B96E80">
        <w:rPr>
          <w:i/>
          <w:iCs/>
        </w:rPr>
        <w:t>Tourism Management,</w:t>
      </w:r>
      <w:r w:rsidR="00B96E80" w:rsidRPr="00B96E80">
        <w:t xml:space="preserve"> Vol 74, (2019), pp. 99-109</w:t>
      </w:r>
      <w:r w:rsidR="00B96E80">
        <w:t>, p100.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16cid:durableId="13962037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F12F7"/>
    <w:rsid w:val="00001695"/>
    <w:rsid w:val="000075DA"/>
    <w:rsid w:val="00007EDD"/>
    <w:rsid w:val="00017FEB"/>
    <w:rsid w:val="00022E58"/>
    <w:rsid w:val="000279B0"/>
    <w:rsid w:val="000312FF"/>
    <w:rsid w:val="0003176C"/>
    <w:rsid w:val="00032CBC"/>
    <w:rsid w:val="0003462F"/>
    <w:rsid w:val="00035780"/>
    <w:rsid w:val="00047130"/>
    <w:rsid w:val="00054D5C"/>
    <w:rsid w:val="00063572"/>
    <w:rsid w:val="000718A2"/>
    <w:rsid w:val="00072942"/>
    <w:rsid w:val="00075FD9"/>
    <w:rsid w:val="00085A02"/>
    <w:rsid w:val="00093FBE"/>
    <w:rsid w:val="00096DBA"/>
    <w:rsid w:val="000A3D38"/>
    <w:rsid w:val="000A4355"/>
    <w:rsid w:val="000B2CC6"/>
    <w:rsid w:val="000B3B92"/>
    <w:rsid w:val="000B501B"/>
    <w:rsid w:val="000C325D"/>
    <w:rsid w:val="000D0D0B"/>
    <w:rsid w:val="000D3C20"/>
    <w:rsid w:val="000D7117"/>
    <w:rsid w:val="000E00C3"/>
    <w:rsid w:val="000E3457"/>
    <w:rsid w:val="000E5921"/>
    <w:rsid w:val="00100540"/>
    <w:rsid w:val="00101ED4"/>
    <w:rsid w:val="0011243F"/>
    <w:rsid w:val="00115717"/>
    <w:rsid w:val="00116B37"/>
    <w:rsid w:val="00116FFA"/>
    <w:rsid w:val="00122E37"/>
    <w:rsid w:val="00124D6E"/>
    <w:rsid w:val="00125A85"/>
    <w:rsid w:val="001262DE"/>
    <w:rsid w:val="0012636A"/>
    <w:rsid w:val="00131563"/>
    <w:rsid w:val="00132E2F"/>
    <w:rsid w:val="001335CC"/>
    <w:rsid w:val="001351C2"/>
    <w:rsid w:val="00137A02"/>
    <w:rsid w:val="00140C3F"/>
    <w:rsid w:val="00140E35"/>
    <w:rsid w:val="00151DEC"/>
    <w:rsid w:val="0015561D"/>
    <w:rsid w:val="001604DD"/>
    <w:rsid w:val="00170227"/>
    <w:rsid w:val="00171645"/>
    <w:rsid w:val="00175A4B"/>
    <w:rsid w:val="00184C8D"/>
    <w:rsid w:val="001850EA"/>
    <w:rsid w:val="0018693D"/>
    <w:rsid w:val="00187291"/>
    <w:rsid w:val="00195CB2"/>
    <w:rsid w:val="00197EBF"/>
    <w:rsid w:val="001A0824"/>
    <w:rsid w:val="001A1523"/>
    <w:rsid w:val="001A6B7C"/>
    <w:rsid w:val="001B37EF"/>
    <w:rsid w:val="001B63C0"/>
    <w:rsid w:val="001C1C4C"/>
    <w:rsid w:val="001C5030"/>
    <w:rsid w:val="001D3AEA"/>
    <w:rsid w:val="001D52D5"/>
    <w:rsid w:val="001D6B9E"/>
    <w:rsid w:val="001E0A43"/>
    <w:rsid w:val="001E653F"/>
    <w:rsid w:val="001E7EFB"/>
    <w:rsid w:val="001F0AB8"/>
    <w:rsid w:val="001F1C1F"/>
    <w:rsid w:val="001F2E47"/>
    <w:rsid w:val="001F3E5F"/>
    <w:rsid w:val="001F5BEA"/>
    <w:rsid w:val="001F6F3A"/>
    <w:rsid w:val="001F6F91"/>
    <w:rsid w:val="001F70DC"/>
    <w:rsid w:val="001F798A"/>
    <w:rsid w:val="002010A6"/>
    <w:rsid w:val="00210139"/>
    <w:rsid w:val="002106A9"/>
    <w:rsid w:val="002150DD"/>
    <w:rsid w:val="00223A55"/>
    <w:rsid w:val="002245EF"/>
    <w:rsid w:val="00232A60"/>
    <w:rsid w:val="00234B7F"/>
    <w:rsid w:val="002433AE"/>
    <w:rsid w:val="00247F31"/>
    <w:rsid w:val="002570D3"/>
    <w:rsid w:val="00262548"/>
    <w:rsid w:val="00273322"/>
    <w:rsid w:val="00280B91"/>
    <w:rsid w:val="00281B51"/>
    <w:rsid w:val="00281F03"/>
    <w:rsid w:val="002820B1"/>
    <w:rsid w:val="0028494C"/>
    <w:rsid w:val="00287F2A"/>
    <w:rsid w:val="00292352"/>
    <w:rsid w:val="00295A8B"/>
    <w:rsid w:val="002A3E9E"/>
    <w:rsid w:val="002B1194"/>
    <w:rsid w:val="002B5BC4"/>
    <w:rsid w:val="002B668D"/>
    <w:rsid w:val="002C2244"/>
    <w:rsid w:val="002C4538"/>
    <w:rsid w:val="002D15A1"/>
    <w:rsid w:val="002D79BE"/>
    <w:rsid w:val="002E1A40"/>
    <w:rsid w:val="002F0955"/>
    <w:rsid w:val="002F216E"/>
    <w:rsid w:val="002F3C86"/>
    <w:rsid w:val="002F711F"/>
    <w:rsid w:val="0030487A"/>
    <w:rsid w:val="00306EB8"/>
    <w:rsid w:val="00321C60"/>
    <w:rsid w:val="00324BC9"/>
    <w:rsid w:val="003268C2"/>
    <w:rsid w:val="00333DEB"/>
    <w:rsid w:val="0034246E"/>
    <w:rsid w:val="0034380F"/>
    <w:rsid w:val="00344D1F"/>
    <w:rsid w:val="00345345"/>
    <w:rsid w:val="003510B5"/>
    <w:rsid w:val="00354351"/>
    <w:rsid w:val="003547AA"/>
    <w:rsid w:val="003615CD"/>
    <w:rsid w:val="00372881"/>
    <w:rsid w:val="0037348B"/>
    <w:rsid w:val="00375105"/>
    <w:rsid w:val="0037728E"/>
    <w:rsid w:val="00377DFE"/>
    <w:rsid w:val="00381066"/>
    <w:rsid w:val="0038268F"/>
    <w:rsid w:val="00393D8F"/>
    <w:rsid w:val="00394061"/>
    <w:rsid w:val="003976BF"/>
    <w:rsid w:val="00397A86"/>
    <w:rsid w:val="00397C90"/>
    <w:rsid w:val="003A33C9"/>
    <w:rsid w:val="003A33DF"/>
    <w:rsid w:val="003A435E"/>
    <w:rsid w:val="003A4534"/>
    <w:rsid w:val="003A79B0"/>
    <w:rsid w:val="003B17F2"/>
    <w:rsid w:val="003B2A24"/>
    <w:rsid w:val="003B41E7"/>
    <w:rsid w:val="003B7AC2"/>
    <w:rsid w:val="003C394D"/>
    <w:rsid w:val="003D69D5"/>
    <w:rsid w:val="003E2D6A"/>
    <w:rsid w:val="003E4606"/>
    <w:rsid w:val="003E6997"/>
    <w:rsid w:val="003F5301"/>
    <w:rsid w:val="003F59A4"/>
    <w:rsid w:val="00400C62"/>
    <w:rsid w:val="00403B06"/>
    <w:rsid w:val="00404B60"/>
    <w:rsid w:val="00405CBF"/>
    <w:rsid w:val="0041224B"/>
    <w:rsid w:val="00420E77"/>
    <w:rsid w:val="00423F55"/>
    <w:rsid w:val="00426204"/>
    <w:rsid w:val="004264B2"/>
    <w:rsid w:val="004302C2"/>
    <w:rsid w:val="00430526"/>
    <w:rsid w:val="004379E3"/>
    <w:rsid w:val="00451AE7"/>
    <w:rsid w:val="0045492F"/>
    <w:rsid w:val="004550C4"/>
    <w:rsid w:val="004557E4"/>
    <w:rsid w:val="00455F47"/>
    <w:rsid w:val="00461346"/>
    <w:rsid w:val="0046169C"/>
    <w:rsid w:val="00464AE4"/>
    <w:rsid w:val="00472746"/>
    <w:rsid w:val="00481ED0"/>
    <w:rsid w:val="00482525"/>
    <w:rsid w:val="00490BD3"/>
    <w:rsid w:val="004943C0"/>
    <w:rsid w:val="004A3CEA"/>
    <w:rsid w:val="004A4466"/>
    <w:rsid w:val="004B24D0"/>
    <w:rsid w:val="004C3FE0"/>
    <w:rsid w:val="004C7850"/>
    <w:rsid w:val="004C798E"/>
    <w:rsid w:val="004D0355"/>
    <w:rsid w:val="004D1B50"/>
    <w:rsid w:val="004E1419"/>
    <w:rsid w:val="004E38F0"/>
    <w:rsid w:val="004E411B"/>
    <w:rsid w:val="004F1E74"/>
    <w:rsid w:val="004F26AD"/>
    <w:rsid w:val="004F2DF0"/>
    <w:rsid w:val="004F635D"/>
    <w:rsid w:val="004F6B9E"/>
    <w:rsid w:val="004F7890"/>
    <w:rsid w:val="00505F40"/>
    <w:rsid w:val="005130C7"/>
    <w:rsid w:val="005177FC"/>
    <w:rsid w:val="00537C1E"/>
    <w:rsid w:val="005504C2"/>
    <w:rsid w:val="00554706"/>
    <w:rsid w:val="005547CB"/>
    <w:rsid w:val="00555C3C"/>
    <w:rsid w:val="00557F8A"/>
    <w:rsid w:val="00560E80"/>
    <w:rsid w:val="00565CE9"/>
    <w:rsid w:val="00570403"/>
    <w:rsid w:val="005706B7"/>
    <w:rsid w:val="00572733"/>
    <w:rsid w:val="005760D0"/>
    <w:rsid w:val="00581170"/>
    <w:rsid w:val="0059054C"/>
    <w:rsid w:val="00591FA4"/>
    <w:rsid w:val="00592076"/>
    <w:rsid w:val="00592EF1"/>
    <w:rsid w:val="00595491"/>
    <w:rsid w:val="005A69EE"/>
    <w:rsid w:val="005B1F32"/>
    <w:rsid w:val="005B6DDB"/>
    <w:rsid w:val="005C764F"/>
    <w:rsid w:val="005D44A3"/>
    <w:rsid w:val="005D4B52"/>
    <w:rsid w:val="005D6F23"/>
    <w:rsid w:val="005D7622"/>
    <w:rsid w:val="005E0A3E"/>
    <w:rsid w:val="005E23E2"/>
    <w:rsid w:val="005E61DB"/>
    <w:rsid w:val="005E63FB"/>
    <w:rsid w:val="005F126D"/>
    <w:rsid w:val="005F281C"/>
    <w:rsid w:val="005F4CAD"/>
    <w:rsid w:val="005F7198"/>
    <w:rsid w:val="00603CE7"/>
    <w:rsid w:val="00622A4E"/>
    <w:rsid w:val="0062354E"/>
    <w:rsid w:val="00624CAA"/>
    <w:rsid w:val="00624E69"/>
    <w:rsid w:val="0063415C"/>
    <w:rsid w:val="006347C2"/>
    <w:rsid w:val="006402A9"/>
    <w:rsid w:val="00646555"/>
    <w:rsid w:val="00646FD7"/>
    <w:rsid w:val="00651BBA"/>
    <w:rsid w:val="00662EA4"/>
    <w:rsid w:val="00664CF7"/>
    <w:rsid w:val="00675F74"/>
    <w:rsid w:val="006825B9"/>
    <w:rsid w:val="00684F28"/>
    <w:rsid w:val="0069074E"/>
    <w:rsid w:val="00694EC4"/>
    <w:rsid w:val="00694FF0"/>
    <w:rsid w:val="00695939"/>
    <w:rsid w:val="006A1046"/>
    <w:rsid w:val="006A567C"/>
    <w:rsid w:val="006A5D03"/>
    <w:rsid w:val="006A6270"/>
    <w:rsid w:val="006C18F9"/>
    <w:rsid w:val="006C25B7"/>
    <w:rsid w:val="006D4271"/>
    <w:rsid w:val="006D4D5C"/>
    <w:rsid w:val="006E0521"/>
    <w:rsid w:val="006E0836"/>
    <w:rsid w:val="006E37F2"/>
    <w:rsid w:val="006E5B5D"/>
    <w:rsid w:val="006E799A"/>
    <w:rsid w:val="006E79C3"/>
    <w:rsid w:val="006F5BB9"/>
    <w:rsid w:val="006F5FC0"/>
    <w:rsid w:val="006F6636"/>
    <w:rsid w:val="00700DF9"/>
    <w:rsid w:val="0070267D"/>
    <w:rsid w:val="007077F9"/>
    <w:rsid w:val="007150D2"/>
    <w:rsid w:val="007170AC"/>
    <w:rsid w:val="007224BF"/>
    <w:rsid w:val="00725E08"/>
    <w:rsid w:val="00741424"/>
    <w:rsid w:val="0074180F"/>
    <w:rsid w:val="00742D35"/>
    <w:rsid w:val="00746CFF"/>
    <w:rsid w:val="00747083"/>
    <w:rsid w:val="0074757F"/>
    <w:rsid w:val="00755C68"/>
    <w:rsid w:val="00757B50"/>
    <w:rsid w:val="007627CA"/>
    <w:rsid w:val="00763758"/>
    <w:rsid w:val="007814EB"/>
    <w:rsid w:val="00781CCA"/>
    <w:rsid w:val="00782172"/>
    <w:rsid w:val="00783D6B"/>
    <w:rsid w:val="00790029"/>
    <w:rsid w:val="00794B38"/>
    <w:rsid w:val="007A12E1"/>
    <w:rsid w:val="007A3E0D"/>
    <w:rsid w:val="007B4670"/>
    <w:rsid w:val="007B5391"/>
    <w:rsid w:val="007B5510"/>
    <w:rsid w:val="007B7A6F"/>
    <w:rsid w:val="007B7FFC"/>
    <w:rsid w:val="007C582C"/>
    <w:rsid w:val="007E5DA8"/>
    <w:rsid w:val="007F0BCD"/>
    <w:rsid w:val="007F271F"/>
    <w:rsid w:val="008028FC"/>
    <w:rsid w:val="00805DD4"/>
    <w:rsid w:val="0080699A"/>
    <w:rsid w:val="00806B75"/>
    <w:rsid w:val="00815D6A"/>
    <w:rsid w:val="00820242"/>
    <w:rsid w:val="00821351"/>
    <w:rsid w:val="00823FF2"/>
    <w:rsid w:val="00826AB0"/>
    <w:rsid w:val="00832AEE"/>
    <w:rsid w:val="00832B2A"/>
    <w:rsid w:val="0083320E"/>
    <w:rsid w:val="00835725"/>
    <w:rsid w:val="00840235"/>
    <w:rsid w:val="00843054"/>
    <w:rsid w:val="008432F1"/>
    <w:rsid w:val="008443DB"/>
    <w:rsid w:val="00851629"/>
    <w:rsid w:val="0085218E"/>
    <w:rsid w:val="00854E9E"/>
    <w:rsid w:val="008551EE"/>
    <w:rsid w:val="00855F29"/>
    <w:rsid w:val="008565B6"/>
    <w:rsid w:val="00856660"/>
    <w:rsid w:val="00863249"/>
    <w:rsid w:val="0086386C"/>
    <w:rsid w:val="0086502E"/>
    <w:rsid w:val="00865AF9"/>
    <w:rsid w:val="008705F3"/>
    <w:rsid w:val="0087202E"/>
    <w:rsid w:val="0087619A"/>
    <w:rsid w:val="008811D9"/>
    <w:rsid w:val="00884C32"/>
    <w:rsid w:val="0088587B"/>
    <w:rsid w:val="0088709C"/>
    <w:rsid w:val="0089191D"/>
    <w:rsid w:val="0089239E"/>
    <w:rsid w:val="0089577F"/>
    <w:rsid w:val="008A5752"/>
    <w:rsid w:val="008A7DE0"/>
    <w:rsid w:val="008C1EFE"/>
    <w:rsid w:val="008C1F75"/>
    <w:rsid w:val="008C31E8"/>
    <w:rsid w:val="008D0B3E"/>
    <w:rsid w:val="008D6C91"/>
    <w:rsid w:val="008E0B0E"/>
    <w:rsid w:val="008E452B"/>
    <w:rsid w:val="008E505D"/>
    <w:rsid w:val="008E7EF6"/>
    <w:rsid w:val="008F1882"/>
    <w:rsid w:val="008F30E6"/>
    <w:rsid w:val="008F6922"/>
    <w:rsid w:val="0091028C"/>
    <w:rsid w:val="009140F5"/>
    <w:rsid w:val="009152B3"/>
    <w:rsid w:val="00916DEA"/>
    <w:rsid w:val="00924A32"/>
    <w:rsid w:val="00926820"/>
    <w:rsid w:val="00931DA8"/>
    <w:rsid w:val="00931FF7"/>
    <w:rsid w:val="009339AF"/>
    <w:rsid w:val="00935A12"/>
    <w:rsid w:val="0094098F"/>
    <w:rsid w:val="00942389"/>
    <w:rsid w:val="0094492E"/>
    <w:rsid w:val="00945A20"/>
    <w:rsid w:val="00946357"/>
    <w:rsid w:val="009549D9"/>
    <w:rsid w:val="009558DB"/>
    <w:rsid w:val="0095590E"/>
    <w:rsid w:val="00955F41"/>
    <w:rsid w:val="0096292F"/>
    <w:rsid w:val="00971BBB"/>
    <w:rsid w:val="00974999"/>
    <w:rsid w:val="009766B7"/>
    <w:rsid w:val="00993433"/>
    <w:rsid w:val="009941B1"/>
    <w:rsid w:val="009949C9"/>
    <w:rsid w:val="00996A21"/>
    <w:rsid w:val="009A189F"/>
    <w:rsid w:val="009A346E"/>
    <w:rsid w:val="009A66AC"/>
    <w:rsid w:val="009A6D9D"/>
    <w:rsid w:val="009B3FFB"/>
    <w:rsid w:val="009B4939"/>
    <w:rsid w:val="009B76FB"/>
    <w:rsid w:val="009C72DB"/>
    <w:rsid w:val="009D0E07"/>
    <w:rsid w:val="009D1CD7"/>
    <w:rsid w:val="009D3A30"/>
    <w:rsid w:val="009D3BFF"/>
    <w:rsid w:val="009D561B"/>
    <w:rsid w:val="009D7E26"/>
    <w:rsid w:val="009E26BB"/>
    <w:rsid w:val="009F3C0C"/>
    <w:rsid w:val="009F62E8"/>
    <w:rsid w:val="00A137E6"/>
    <w:rsid w:val="00A1764B"/>
    <w:rsid w:val="00A25138"/>
    <w:rsid w:val="00A263E6"/>
    <w:rsid w:val="00A26EE6"/>
    <w:rsid w:val="00A27AAF"/>
    <w:rsid w:val="00A3194D"/>
    <w:rsid w:val="00A32DA5"/>
    <w:rsid w:val="00A37171"/>
    <w:rsid w:val="00A4047A"/>
    <w:rsid w:val="00A41603"/>
    <w:rsid w:val="00A448E4"/>
    <w:rsid w:val="00A46B8E"/>
    <w:rsid w:val="00A51632"/>
    <w:rsid w:val="00A54FBA"/>
    <w:rsid w:val="00A67C31"/>
    <w:rsid w:val="00A7276F"/>
    <w:rsid w:val="00A74359"/>
    <w:rsid w:val="00A77D1B"/>
    <w:rsid w:val="00A85991"/>
    <w:rsid w:val="00A87672"/>
    <w:rsid w:val="00AA1393"/>
    <w:rsid w:val="00AA25F3"/>
    <w:rsid w:val="00AA767C"/>
    <w:rsid w:val="00AB21FE"/>
    <w:rsid w:val="00AB25FB"/>
    <w:rsid w:val="00AB27A2"/>
    <w:rsid w:val="00AB29B3"/>
    <w:rsid w:val="00AC08B0"/>
    <w:rsid w:val="00AC335C"/>
    <w:rsid w:val="00AC3AF9"/>
    <w:rsid w:val="00AC47C7"/>
    <w:rsid w:val="00AC558B"/>
    <w:rsid w:val="00AC7F66"/>
    <w:rsid w:val="00AD16AC"/>
    <w:rsid w:val="00AD17FD"/>
    <w:rsid w:val="00AD5AEC"/>
    <w:rsid w:val="00AD7FB5"/>
    <w:rsid w:val="00AE6785"/>
    <w:rsid w:val="00AE6B07"/>
    <w:rsid w:val="00AF08BA"/>
    <w:rsid w:val="00AF2ACA"/>
    <w:rsid w:val="00B048F5"/>
    <w:rsid w:val="00B05F37"/>
    <w:rsid w:val="00B06967"/>
    <w:rsid w:val="00B07426"/>
    <w:rsid w:val="00B14A07"/>
    <w:rsid w:val="00B153EF"/>
    <w:rsid w:val="00B23E2C"/>
    <w:rsid w:val="00B26A1A"/>
    <w:rsid w:val="00B317A2"/>
    <w:rsid w:val="00B32C7B"/>
    <w:rsid w:val="00B40B14"/>
    <w:rsid w:val="00B50F08"/>
    <w:rsid w:val="00B63ECA"/>
    <w:rsid w:val="00B67587"/>
    <w:rsid w:val="00B942E9"/>
    <w:rsid w:val="00B95965"/>
    <w:rsid w:val="00B95EB7"/>
    <w:rsid w:val="00B96036"/>
    <w:rsid w:val="00B96E80"/>
    <w:rsid w:val="00BA0573"/>
    <w:rsid w:val="00BA092F"/>
    <w:rsid w:val="00BA4383"/>
    <w:rsid w:val="00BA69B0"/>
    <w:rsid w:val="00BB0A12"/>
    <w:rsid w:val="00BB30F6"/>
    <w:rsid w:val="00BB755E"/>
    <w:rsid w:val="00BC190C"/>
    <w:rsid w:val="00BC7C29"/>
    <w:rsid w:val="00BD69F2"/>
    <w:rsid w:val="00BE01EA"/>
    <w:rsid w:val="00BE5FBC"/>
    <w:rsid w:val="00BE6C05"/>
    <w:rsid w:val="00BE7965"/>
    <w:rsid w:val="00BF0A05"/>
    <w:rsid w:val="00BF3BB5"/>
    <w:rsid w:val="00BF3FBD"/>
    <w:rsid w:val="00C0429A"/>
    <w:rsid w:val="00C07182"/>
    <w:rsid w:val="00C0754C"/>
    <w:rsid w:val="00C10B76"/>
    <w:rsid w:val="00C1221E"/>
    <w:rsid w:val="00C13392"/>
    <w:rsid w:val="00C13ADD"/>
    <w:rsid w:val="00C20F85"/>
    <w:rsid w:val="00C31249"/>
    <w:rsid w:val="00C331DF"/>
    <w:rsid w:val="00C336D0"/>
    <w:rsid w:val="00C35F11"/>
    <w:rsid w:val="00C4179E"/>
    <w:rsid w:val="00C5026B"/>
    <w:rsid w:val="00C52409"/>
    <w:rsid w:val="00C53EB6"/>
    <w:rsid w:val="00C60B4C"/>
    <w:rsid w:val="00C63D2E"/>
    <w:rsid w:val="00C65486"/>
    <w:rsid w:val="00C6647B"/>
    <w:rsid w:val="00C718E7"/>
    <w:rsid w:val="00C74675"/>
    <w:rsid w:val="00C847A5"/>
    <w:rsid w:val="00C848E7"/>
    <w:rsid w:val="00C85391"/>
    <w:rsid w:val="00C857F0"/>
    <w:rsid w:val="00C87CD4"/>
    <w:rsid w:val="00C956C3"/>
    <w:rsid w:val="00C95962"/>
    <w:rsid w:val="00C97097"/>
    <w:rsid w:val="00CA10C2"/>
    <w:rsid w:val="00CA1C0E"/>
    <w:rsid w:val="00CB005F"/>
    <w:rsid w:val="00CB37D0"/>
    <w:rsid w:val="00CB3E85"/>
    <w:rsid w:val="00CB48EF"/>
    <w:rsid w:val="00CB68C9"/>
    <w:rsid w:val="00CC1769"/>
    <w:rsid w:val="00CC25BE"/>
    <w:rsid w:val="00CC425F"/>
    <w:rsid w:val="00CC57F1"/>
    <w:rsid w:val="00CC5F09"/>
    <w:rsid w:val="00CD1223"/>
    <w:rsid w:val="00CD2D19"/>
    <w:rsid w:val="00CD3A0C"/>
    <w:rsid w:val="00CE0F2C"/>
    <w:rsid w:val="00CE2EEC"/>
    <w:rsid w:val="00CE4B34"/>
    <w:rsid w:val="00CE7263"/>
    <w:rsid w:val="00CF155F"/>
    <w:rsid w:val="00CF455B"/>
    <w:rsid w:val="00CF618F"/>
    <w:rsid w:val="00CF6DA8"/>
    <w:rsid w:val="00CF7BC6"/>
    <w:rsid w:val="00D035CE"/>
    <w:rsid w:val="00D07804"/>
    <w:rsid w:val="00D1361D"/>
    <w:rsid w:val="00D1424E"/>
    <w:rsid w:val="00D14F21"/>
    <w:rsid w:val="00D232E2"/>
    <w:rsid w:val="00D255A2"/>
    <w:rsid w:val="00D26830"/>
    <w:rsid w:val="00D35602"/>
    <w:rsid w:val="00D4152F"/>
    <w:rsid w:val="00D45C0C"/>
    <w:rsid w:val="00D5010E"/>
    <w:rsid w:val="00D51326"/>
    <w:rsid w:val="00D5721A"/>
    <w:rsid w:val="00D6087B"/>
    <w:rsid w:val="00D642FE"/>
    <w:rsid w:val="00D65BD2"/>
    <w:rsid w:val="00D678EA"/>
    <w:rsid w:val="00D67CE6"/>
    <w:rsid w:val="00D76295"/>
    <w:rsid w:val="00D803EA"/>
    <w:rsid w:val="00D82886"/>
    <w:rsid w:val="00D91BAE"/>
    <w:rsid w:val="00D95442"/>
    <w:rsid w:val="00D9573B"/>
    <w:rsid w:val="00D95A41"/>
    <w:rsid w:val="00D970FD"/>
    <w:rsid w:val="00DA41EE"/>
    <w:rsid w:val="00DB12A8"/>
    <w:rsid w:val="00DB33C4"/>
    <w:rsid w:val="00DB3878"/>
    <w:rsid w:val="00DB4276"/>
    <w:rsid w:val="00DB6057"/>
    <w:rsid w:val="00DC17D9"/>
    <w:rsid w:val="00DC378B"/>
    <w:rsid w:val="00DD21D4"/>
    <w:rsid w:val="00DD3F9C"/>
    <w:rsid w:val="00DD5401"/>
    <w:rsid w:val="00DE1B47"/>
    <w:rsid w:val="00DE413E"/>
    <w:rsid w:val="00DF35B6"/>
    <w:rsid w:val="00DF67E2"/>
    <w:rsid w:val="00E04BF0"/>
    <w:rsid w:val="00E129F0"/>
    <w:rsid w:val="00E12FCC"/>
    <w:rsid w:val="00E13203"/>
    <w:rsid w:val="00E15638"/>
    <w:rsid w:val="00E16CC7"/>
    <w:rsid w:val="00E211BA"/>
    <w:rsid w:val="00E2378D"/>
    <w:rsid w:val="00E24BC0"/>
    <w:rsid w:val="00E250FC"/>
    <w:rsid w:val="00E316F8"/>
    <w:rsid w:val="00E31C8A"/>
    <w:rsid w:val="00E35BC6"/>
    <w:rsid w:val="00E446F9"/>
    <w:rsid w:val="00E44E25"/>
    <w:rsid w:val="00E5055B"/>
    <w:rsid w:val="00E516D2"/>
    <w:rsid w:val="00E546A4"/>
    <w:rsid w:val="00E55331"/>
    <w:rsid w:val="00E5781F"/>
    <w:rsid w:val="00E62992"/>
    <w:rsid w:val="00E75667"/>
    <w:rsid w:val="00E80794"/>
    <w:rsid w:val="00E83BA3"/>
    <w:rsid w:val="00E8567E"/>
    <w:rsid w:val="00E85AD0"/>
    <w:rsid w:val="00E87C81"/>
    <w:rsid w:val="00E94DBC"/>
    <w:rsid w:val="00EA34A1"/>
    <w:rsid w:val="00EA6DF0"/>
    <w:rsid w:val="00EA7AF6"/>
    <w:rsid w:val="00EC4A4A"/>
    <w:rsid w:val="00EC4BA3"/>
    <w:rsid w:val="00EC7030"/>
    <w:rsid w:val="00ED33D5"/>
    <w:rsid w:val="00ED53AC"/>
    <w:rsid w:val="00EE1C15"/>
    <w:rsid w:val="00EE544F"/>
    <w:rsid w:val="00EE6CFB"/>
    <w:rsid w:val="00EF12F7"/>
    <w:rsid w:val="00EF4615"/>
    <w:rsid w:val="00EF62E0"/>
    <w:rsid w:val="00F071F5"/>
    <w:rsid w:val="00F10BDE"/>
    <w:rsid w:val="00F120FE"/>
    <w:rsid w:val="00F130DE"/>
    <w:rsid w:val="00F14D4E"/>
    <w:rsid w:val="00F1518D"/>
    <w:rsid w:val="00F22DC6"/>
    <w:rsid w:val="00F24B71"/>
    <w:rsid w:val="00F3374A"/>
    <w:rsid w:val="00F33D87"/>
    <w:rsid w:val="00F34D09"/>
    <w:rsid w:val="00F478EC"/>
    <w:rsid w:val="00F50047"/>
    <w:rsid w:val="00F53D93"/>
    <w:rsid w:val="00F54B75"/>
    <w:rsid w:val="00F57C10"/>
    <w:rsid w:val="00F63607"/>
    <w:rsid w:val="00F72287"/>
    <w:rsid w:val="00F730C2"/>
    <w:rsid w:val="00F73F26"/>
    <w:rsid w:val="00F74B02"/>
    <w:rsid w:val="00F7661B"/>
    <w:rsid w:val="00F82249"/>
    <w:rsid w:val="00F9351E"/>
    <w:rsid w:val="00F93BDA"/>
    <w:rsid w:val="00F959EF"/>
    <w:rsid w:val="00FA6584"/>
    <w:rsid w:val="00FB3908"/>
    <w:rsid w:val="00FB3E6D"/>
    <w:rsid w:val="00FB7BAA"/>
    <w:rsid w:val="00FC39A5"/>
    <w:rsid w:val="00FC516C"/>
    <w:rsid w:val="00FE2B20"/>
    <w:rsid w:val="00FE7E18"/>
    <w:rsid w:val="00FF2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235E3"/>
  <w15:docId w15:val="{E51D1D0E-B2D9-4A8C-A5F3-BB266443C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1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F1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F1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F1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2F7"/>
    <w:rPr>
      <w:rFonts w:eastAsiaTheme="majorEastAsia" w:cstheme="majorBidi"/>
      <w:color w:val="272727" w:themeColor="text1" w:themeTint="D8"/>
    </w:rPr>
  </w:style>
  <w:style w:type="paragraph" w:styleId="Title">
    <w:name w:val="Title"/>
    <w:basedOn w:val="Normal"/>
    <w:next w:val="Normal"/>
    <w:link w:val="TitleChar"/>
    <w:uiPriority w:val="10"/>
    <w:qFormat/>
    <w:rsid w:val="00EF1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2F7"/>
    <w:pPr>
      <w:spacing w:before="160"/>
      <w:jc w:val="center"/>
    </w:pPr>
    <w:rPr>
      <w:i/>
      <w:iCs/>
      <w:color w:val="404040" w:themeColor="text1" w:themeTint="BF"/>
    </w:rPr>
  </w:style>
  <w:style w:type="character" w:customStyle="1" w:styleId="QuoteChar">
    <w:name w:val="Quote Char"/>
    <w:basedOn w:val="DefaultParagraphFont"/>
    <w:link w:val="Quote"/>
    <w:uiPriority w:val="29"/>
    <w:rsid w:val="00EF12F7"/>
    <w:rPr>
      <w:i/>
      <w:iCs/>
      <w:color w:val="404040" w:themeColor="text1" w:themeTint="BF"/>
    </w:rPr>
  </w:style>
  <w:style w:type="paragraph" w:styleId="ListParagraph">
    <w:name w:val="List Paragraph"/>
    <w:basedOn w:val="Normal"/>
    <w:uiPriority w:val="99"/>
    <w:qFormat/>
    <w:rsid w:val="00EF12F7"/>
    <w:pPr>
      <w:ind w:left="720"/>
      <w:contextualSpacing/>
    </w:pPr>
  </w:style>
  <w:style w:type="character" w:styleId="IntenseEmphasis">
    <w:name w:val="Intense Emphasis"/>
    <w:basedOn w:val="DefaultParagraphFont"/>
    <w:uiPriority w:val="21"/>
    <w:qFormat/>
    <w:rsid w:val="00EF12F7"/>
    <w:rPr>
      <w:i/>
      <w:iCs/>
      <w:color w:val="0F4761" w:themeColor="accent1" w:themeShade="BF"/>
    </w:rPr>
  </w:style>
  <w:style w:type="paragraph" w:styleId="IntenseQuote">
    <w:name w:val="Intense Quote"/>
    <w:basedOn w:val="Normal"/>
    <w:next w:val="Normal"/>
    <w:link w:val="IntenseQuoteChar"/>
    <w:uiPriority w:val="30"/>
    <w:qFormat/>
    <w:rsid w:val="00EF1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2F7"/>
    <w:rPr>
      <w:i/>
      <w:iCs/>
      <w:color w:val="0F4761" w:themeColor="accent1" w:themeShade="BF"/>
    </w:rPr>
  </w:style>
  <w:style w:type="character" w:styleId="IntenseReference">
    <w:name w:val="Intense Reference"/>
    <w:basedOn w:val="DefaultParagraphFont"/>
    <w:uiPriority w:val="32"/>
    <w:qFormat/>
    <w:rsid w:val="00EF12F7"/>
    <w:rPr>
      <w:b/>
      <w:bCs/>
      <w:smallCaps/>
      <w:color w:val="0F4761" w:themeColor="accent1" w:themeShade="BF"/>
      <w:spacing w:val="5"/>
    </w:rPr>
  </w:style>
  <w:style w:type="paragraph" w:styleId="FootnoteText">
    <w:name w:val="footnote text"/>
    <w:basedOn w:val="Normal"/>
    <w:link w:val="FootnoteTextChar"/>
    <w:uiPriority w:val="99"/>
    <w:unhideWhenUsed/>
    <w:rsid w:val="00EC4BA3"/>
    <w:pPr>
      <w:spacing w:after="0" w:line="240" w:lineRule="auto"/>
    </w:pPr>
    <w:rPr>
      <w:sz w:val="20"/>
      <w:szCs w:val="20"/>
    </w:rPr>
  </w:style>
  <w:style w:type="character" w:customStyle="1" w:styleId="FootnoteTextChar">
    <w:name w:val="Footnote Text Char"/>
    <w:basedOn w:val="DefaultParagraphFont"/>
    <w:link w:val="FootnoteText"/>
    <w:uiPriority w:val="99"/>
    <w:rsid w:val="00EC4BA3"/>
    <w:rPr>
      <w:sz w:val="20"/>
      <w:szCs w:val="20"/>
    </w:rPr>
  </w:style>
  <w:style w:type="character" w:styleId="FootnoteReference">
    <w:name w:val="footnote reference"/>
    <w:basedOn w:val="DefaultParagraphFont"/>
    <w:uiPriority w:val="99"/>
    <w:semiHidden/>
    <w:unhideWhenUsed/>
    <w:rsid w:val="00EC4BA3"/>
    <w:rPr>
      <w:vertAlign w:val="superscript"/>
    </w:rPr>
  </w:style>
  <w:style w:type="character" w:styleId="Hyperlink">
    <w:name w:val="Hyperlink"/>
    <w:basedOn w:val="DefaultParagraphFont"/>
    <w:uiPriority w:val="99"/>
    <w:unhideWhenUsed/>
    <w:rsid w:val="00D255A2"/>
    <w:rPr>
      <w:color w:val="467886" w:themeColor="hyperlink"/>
      <w:u w:val="single"/>
    </w:rPr>
  </w:style>
  <w:style w:type="character" w:styleId="UnresolvedMention">
    <w:name w:val="Unresolved Mention"/>
    <w:basedOn w:val="DefaultParagraphFont"/>
    <w:uiPriority w:val="99"/>
    <w:semiHidden/>
    <w:unhideWhenUsed/>
    <w:rsid w:val="00D255A2"/>
    <w:rPr>
      <w:color w:val="605E5C"/>
      <w:shd w:val="clear" w:color="auto" w:fill="E1DFDD"/>
    </w:rPr>
  </w:style>
  <w:style w:type="paragraph" w:styleId="Header">
    <w:name w:val="header"/>
    <w:basedOn w:val="Normal"/>
    <w:link w:val="HeaderChar"/>
    <w:uiPriority w:val="99"/>
    <w:semiHidden/>
    <w:unhideWhenUsed/>
    <w:rsid w:val="00A46B8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46B8E"/>
  </w:style>
  <w:style w:type="paragraph" w:styleId="Footer">
    <w:name w:val="footer"/>
    <w:basedOn w:val="Normal"/>
    <w:link w:val="FooterChar"/>
    <w:uiPriority w:val="99"/>
    <w:semiHidden/>
    <w:unhideWhenUsed/>
    <w:rsid w:val="00A46B8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46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8340859">
      <w:bodyDiv w:val="1"/>
      <w:marLeft w:val="0"/>
      <w:marRight w:val="0"/>
      <w:marTop w:val="0"/>
      <w:marBottom w:val="0"/>
      <w:divBdr>
        <w:top w:val="none" w:sz="0" w:space="0" w:color="auto"/>
        <w:left w:val="none" w:sz="0" w:space="0" w:color="auto"/>
        <w:bottom w:val="none" w:sz="0" w:space="0" w:color="auto"/>
        <w:right w:val="none" w:sz="0" w:space="0" w:color="auto"/>
      </w:divBdr>
      <w:divsChild>
        <w:div w:id="2092847916">
          <w:marLeft w:val="0"/>
          <w:marRight w:val="0"/>
          <w:marTop w:val="0"/>
          <w:marBottom w:val="0"/>
          <w:divBdr>
            <w:top w:val="none" w:sz="0" w:space="0" w:color="auto"/>
            <w:left w:val="none" w:sz="0" w:space="0" w:color="auto"/>
            <w:bottom w:val="none" w:sz="0" w:space="0" w:color="auto"/>
            <w:right w:val="none" w:sz="0" w:space="0" w:color="auto"/>
          </w:divBdr>
        </w:div>
        <w:div w:id="1376079668">
          <w:marLeft w:val="0"/>
          <w:marRight w:val="0"/>
          <w:marTop w:val="0"/>
          <w:marBottom w:val="0"/>
          <w:divBdr>
            <w:top w:val="none" w:sz="0" w:space="0" w:color="auto"/>
            <w:left w:val="none" w:sz="0" w:space="0" w:color="auto"/>
            <w:bottom w:val="none" w:sz="0" w:space="0" w:color="auto"/>
            <w:right w:val="none" w:sz="0" w:space="0" w:color="auto"/>
          </w:divBdr>
        </w:div>
      </w:divsChild>
    </w:div>
    <w:div w:id="826022322">
      <w:bodyDiv w:val="1"/>
      <w:marLeft w:val="0"/>
      <w:marRight w:val="0"/>
      <w:marTop w:val="0"/>
      <w:marBottom w:val="0"/>
      <w:divBdr>
        <w:top w:val="none" w:sz="0" w:space="0" w:color="auto"/>
        <w:left w:val="none" w:sz="0" w:space="0" w:color="auto"/>
        <w:bottom w:val="none" w:sz="0" w:space="0" w:color="auto"/>
        <w:right w:val="none" w:sz="0" w:space="0" w:color="auto"/>
      </w:divBdr>
      <w:divsChild>
        <w:div w:id="78140404">
          <w:marLeft w:val="0"/>
          <w:marRight w:val="0"/>
          <w:marTop w:val="0"/>
          <w:marBottom w:val="0"/>
          <w:divBdr>
            <w:top w:val="none" w:sz="0" w:space="0" w:color="auto"/>
            <w:left w:val="none" w:sz="0" w:space="0" w:color="auto"/>
            <w:bottom w:val="none" w:sz="0" w:space="0" w:color="auto"/>
            <w:right w:val="none" w:sz="0" w:space="0" w:color="auto"/>
          </w:divBdr>
        </w:div>
        <w:div w:id="1451701750">
          <w:marLeft w:val="0"/>
          <w:marRight w:val="0"/>
          <w:marTop w:val="0"/>
          <w:marBottom w:val="0"/>
          <w:divBdr>
            <w:top w:val="none" w:sz="0" w:space="0" w:color="auto"/>
            <w:left w:val="none" w:sz="0" w:space="0" w:color="auto"/>
            <w:bottom w:val="none" w:sz="0" w:space="0" w:color="auto"/>
            <w:right w:val="none" w:sz="0" w:space="0" w:color="auto"/>
          </w:divBdr>
        </w:div>
      </w:divsChild>
    </w:div>
    <w:div w:id="1263416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penhistoryarchive.com/the-museum-of-the-worl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Jpycog7AAY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ick.ac.uk/whats-on/exhibitions/hello-brain"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Jpycog7AAY0" TargetMode="External"/><Relationship Id="rId7" Type="http://schemas.openxmlformats.org/officeDocument/2006/relationships/hyperlink" Target="https://medievalswansea.ac.uk/en/index.html" TargetMode="External"/><Relationship Id="rId2" Type="http://schemas.openxmlformats.org/officeDocument/2006/relationships/hyperlink" Target="https://www.openhistoryarchive.com/the-museum-of-the-world" TargetMode="External"/><Relationship Id="rId1" Type="http://schemas.openxmlformats.org/officeDocument/2006/relationships/hyperlink" Target="https://www.crick.ac.uk/whats-on/exhibitions/hello-brain" TargetMode="External"/><Relationship Id="rId6" Type="http://schemas.openxmlformats.org/officeDocument/2006/relationships/hyperlink" Target="https://www.youtube.com/watch?v=jaaRoKpnRqY&amp;t=2596s" TargetMode="External"/><Relationship Id="rId5" Type="http://schemas.openxmlformats.org/officeDocument/2006/relationships/hyperlink" Target="https://www.britishmuseum.org/blog/how-explore-british-museum-home" TargetMode="External"/><Relationship Id="rId4" Type="http://schemas.openxmlformats.org/officeDocument/2006/relationships/hyperlink" Target="https://www.youtube.com/watch?v=Jpycog7AAY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678510267b0301fc83ebaee2a9dcd2a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6af301825234d9d748f31f2cc7c9a5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13413F17-305F-417B-ADCA-250027CD5EFA}">
  <ds:schemaRefs>
    <ds:schemaRef ds:uri="http://schemas.microsoft.com/sharepoint/v3/contenttype/forms"/>
  </ds:schemaRefs>
</ds:datastoreItem>
</file>

<file path=customXml/itemProps2.xml><?xml version="1.0" encoding="utf-8"?>
<ds:datastoreItem xmlns:ds="http://schemas.openxmlformats.org/officeDocument/2006/customXml" ds:itemID="{7C19352E-2144-4461-A5BE-B6B268481A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BD7890-C485-4B12-8C68-EDA9EA3D014C}">
  <ds:schemaRefs>
    <ds:schemaRef ds:uri="http://schemas.openxmlformats.org/officeDocument/2006/bibliography"/>
  </ds:schemaRefs>
</ds:datastoreItem>
</file>

<file path=customXml/itemProps4.xml><?xml version="1.0" encoding="utf-8"?>
<ds:datastoreItem xmlns:ds="http://schemas.openxmlformats.org/officeDocument/2006/customXml" ds:itemID="{A0DB0648-9201-43B8-B69B-4CE51253C2DB}">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Carder</dc:creator>
  <cp:keywords/>
  <dc:description/>
  <cp:lastModifiedBy>Rebekah Carder</cp:lastModifiedBy>
  <cp:revision>5</cp:revision>
  <dcterms:created xsi:type="dcterms:W3CDTF">2024-07-17T07:54:00Z</dcterms:created>
  <dcterms:modified xsi:type="dcterms:W3CDTF">2024-07-17T07:56:00Z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