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A577DB" w:rsidRDefault="00833470" w:rsidP="00833470">
      <w:pPr>
        <w:spacing w:line="360" w:lineRule="auto"/>
        <w:rPr>
          <w:rFonts w:ascii="Arial" w:hAnsi="Arial" w:cs="Arial"/>
          <w:sz w:val="28"/>
          <w:szCs w:val="28"/>
        </w:rPr>
      </w:pPr>
      <w:r w:rsidRPr="00A577DB">
        <w:rPr>
          <w:rFonts w:ascii="Arial" w:hAnsi="Arial" w:cs="Arial"/>
          <w:noProof/>
          <w:sz w:val="28"/>
          <w:szCs w:val="28"/>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A577DB" w:rsidRDefault="00833470" w:rsidP="00833470">
      <w:pPr>
        <w:spacing w:line="360" w:lineRule="auto"/>
        <w:rPr>
          <w:rFonts w:ascii="Arial" w:hAnsi="Arial" w:cs="Arial"/>
          <w:sz w:val="28"/>
          <w:szCs w:val="28"/>
        </w:rPr>
      </w:pPr>
    </w:p>
    <w:p w14:paraId="624F191C" w14:textId="77777777" w:rsidR="00833470" w:rsidRPr="00A577DB" w:rsidRDefault="00833470" w:rsidP="00833470">
      <w:pPr>
        <w:spacing w:line="360" w:lineRule="auto"/>
        <w:rPr>
          <w:rFonts w:ascii="Arial" w:hAnsi="Arial" w:cs="Arial"/>
          <w:sz w:val="28"/>
          <w:szCs w:val="28"/>
        </w:rPr>
      </w:pPr>
    </w:p>
    <w:p w14:paraId="0F83201D" w14:textId="77777777" w:rsidR="00833470" w:rsidRPr="00A577DB" w:rsidRDefault="00833470" w:rsidP="00833470">
      <w:pPr>
        <w:spacing w:line="360" w:lineRule="auto"/>
        <w:rPr>
          <w:rFonts w:ascii="Arial" w:hAnsi="Arial" w:cs="Arial"/>
          <w:sz w:val="28"/>
          <w:szCs w:val="28"/>
        </w:rPr>
      </w:pPr>
    </w:p>
    <w:p w14:paraId="3473C351" w14:textId="77777777" w:rsidR="00833470" w:rsidRPr="00A577DB" w:rsidRDefault="00833470" w:rsidP="00833470">
      <w:pPr>
        <w:tabs>
          <w:tab w:val="left" w:pos="6540"/>
        </w:tabs>
        <w:spacing w:line="360" w:lineRule="auto"/>
        <w:rPr>
          <w:rFonts w:ascii="Arial" w:hAnsi="Arial" w:cs="Arial"/>
          <w:sz w:val="28"/>
          <w:szCs w:val="28"/>
        </w:rPr>
      </w:pPr>
    </w:p>
    <w:p w14:paraId="5818B88A" w14:textId="0305D448" w:rsidR="00833470" w:rsidRPr="00A577DB" w:rsidRDefault="00833470" w:rsidP="00833470">
      <w:pPr>
        <w:tabs>
          <w:tab w:val="left" w:pos="6540"/>
        </w:tabs>
        <w:spacing w:line="360" w:lineRule="auto"/>
        <w:rPr>
          <w:rFonts w:ascii="Arial" w:hAnsi="Arial" w:cs="Arial"/>
          <w:sz w:val="28"/>
          <w:szCs w:val="28"/>
        </w:rPr>
      </w:pPr>
      <w:bookmarkStart w:id="0" w:name="_Hlk119323191"/>
      <w:r w:rsidRPr="00A577DB">
        <w:rPr>
          <w:rFonts w:ascii="Arial" w:hAnsi="Arial" w:cs="Arial"/>
          <w:b/>
          <w:bCs/>
          <w:sz w:val="28"/>
          <w:szCs w:val="28"/>
        </w:rPr>
        <w:t>Student name</w:t>
      </w:r>
      <w:r w:rsidRPr="00A577DB">
        <w:rPr>
          <w:rFonts w:ascii="Arial" w:hAnsi="Arial" w:cs="Arial"/>
          <w:sz w:val="28"/>
          <w:szCs w:val="28"/>
        </w:rPr>
        <w:t xml:space="preserve">: </w:t>
      </w:r>
      <w:r w:rsidR="00A577DB" w:rsidRPr="00A577DB">
        <w:rPr>
          <w:rFonts w:ascii="Arial" w:hAnsi="Arial" w:cs="Arial"/>
          <w:sz w:val="28"/>
          <w:szCs w:val="28"/>
        </w:rPr>
        <w:t>ELISHA HAKIZUMWAMI</w:t>
      </w:r>
    </w:p>
    <w:p w14:paraId="476C763A" w14:textId="31DEAA6E" w:rsidR="00833470" w:rsidRPr="00A577DB" w:rsidRDefault="00833470" w:rsidP="00833470">
      <w:pPr>
        <w:tabs>
          <w:tab w:val="left" w:pos="6540"/>
        </w:tabs>
        <w:spacing w:line="360" w:lineRule="auto"/>
        <w:rPr>
          <w:rFonts w:ascii="Arial" w:hAnsi="Arial" w:cs="Arial"/>
          <w:sz w:val="28"/>
          <w:szCs w:val="28"/>
          <w:lang w:val="nl-NL"/>
        </w:rPr>
      </w:pPr>
      <w:r w:rsidRPr="00A577DB">
        <w:rPr>
          <w:rFonts w:ascii="Arial" w:hAnsi="Arial" w:cs="Arial"/>
          <w:b/>
          <w:bCs/>
          <w:sz w:val="28"/>
          <w:szCs w:val="28"/>
          <w:lang w:val="nl-NL"/>
        </w:rPr>
        <w:t>Student ID</w:t>
      </w:r>
      <w:r w:rsidRPr="00A577DB">
        <w:rPr>
          <w:rFonts w:ascii="Arial" w:hAnsi="Arial" w:cs="Arial"/>
          <w:sz w:val="28"/>
          <w:szCs w:val="28"/>
          <w:lang w:val="nl-NL"/>
        </w:rPr>
        <w:t>:</w:t>
      </w:r>
      <w:r w:rsidR="00FA37BC" w:rsidRPr="00FA37BC">
        <w:rPr>
          <w:rFonts w:ascii="Arial" w:hAnsi="Arial" w:cs="Arial"/>
          <w:sz w:val="28"/>
          <w:szCs w:val="28"/>
          <w:lang w:val="nl-NL"/>
        </w:rPr>
        <w:t xml:space="preserve"> 2438662</w:t>
      </w:r>
    </w:p>
    <w:p w14:paraId="27005EB9" w14:textId="77777777" w:rsidR="00833470" w:rsidRPr="00A577DB" w:rsidRDefault="00833470" w:rsidP="00833470">
      <w:pPr>
        <w:tabs>
          <w:tab w:val="left" w:pos="6540"/>
        </w:tabs>
        <w:spacing w:line="360" w:lineRule="auto"/>
        <w:rPr>
          <w:rFonts w:ascii="Arial" w:hAnsi="Arial" w:cs="Arial"/>
          <w:sz w:val="28"/>
          <w:szCs w:val="28"/>
          <w:lang w:val="nl-NL"/>
        </w:rPr>
      </w:pPr>
    </w:p>
    <w:p w14:paraId="543E95E7" w14:textId="4E0CF819" w:rsidR="00833470" w:rsidRPr="00A577DB" w:rsidRDefault="00833470" w:rsidP="00833470">
      <w:pPr>
        <w:tabs>
          <w:tab w:val="left" w:pos="6540"/>
        </w:tabs>
        <w:spacing w:line="360" w:lineRule="auto"/>
        <w:rPr>
          <w:rFonts w:ascii="Arial" w:hAnsi="Arial" w:cs="Arial"/>
          <w:sz w:val="28"/>
          <w:szCs w:val="28"/>
          <w:lang w:val="nl-NL"/>
        </w:rPr>
      </w:pPr>
      <w:r w:rsidRPr="00A577DB">
        <w:rPr>
          <w:rFonts w:ascii="Arial" w:hAnsi="Arial" w:cs="Arial"/>
          <w:b/>
          <w:bCs/>
          <w:sz w:val="28"/>
          <w:szCs w:val="28"/>
          <w:lang w:val="nl-NL"/>
        </w:rPr>
        <w:t>Module name</w:t>
      </w:r>
      <w:r w:rsidRPr="00A577DB">
        <w:rPr>
          <w:rFonts w:ascii="Arial" w:hAnsi="Arial" w:cs="Arial"/>
          <w:sz w:val="28"/>
          <w:szCs w:val="28"/>
          <w:lang w:val="nl-NL"/>
        </w:rPr>
        <w:t xml:space="preserve">: </w:t>
      </w:r>
      <w:r w:rsidR="00A577DB" w:rsidRPr="00A577DB">
        <w:rPr>
          <w:rFonts w:ascii="Arial" w:hAnsi="Arial" w:cs="Arial"/>
          <w:sz w:val="28"/>
          <w:szCs w:val="28"/>
          <w:lang w:val="nl-NL"/>
        </w:rPr>
        <w:t>Introduction to Public Health</w:t>
      </w:r>
    </w:p>
    <w:p w14:paraId="2327B7D2" w14:textId="74D267DF" w:rsidR="00A577DB" w:rsidRPr="00A577DB" w:rsidRDefault="00833470" w:rsidP="00833470">
      <w:pPr>
        <w:tabs>
          <w:tab w:val="left" w:pos="6540"/>
        </w:tabs>
        <w:spacing w:line="360" w:lineRule="auto"/>
        <w:rPr>
          <w:rFonts w:ascii="Arial" w:hAnsi="Arial" w:cs="Arial"/>
          <w:sz w:val="28"/>
          <w:szCs w:val="28"/>
        </w:rPr>
      </w:pPr>
      <w:r w:rsidRPr="00A577DB">
        <w:rPr>
          <w:rFonts w:ascii="Arial" w:hAnsi="Arial" w:cs="Arial"/>
          <w:b/>
          <w:bCs/>
          <w:sz w:val="28"/>
          <w:szCs w:val="28"/>
        </w:rPr>
        <w:t>Module code</w:t>
      </w:r>
      <w:r w:rsidRPr="00A577DB">
        <w:rPr>
          <w:rFonts w:ascii="Arial" w:hAnsi="Arial" w:cs="Arial"/>
          <w:sz w:val="28"/>
          <w:szCs w:val="28"/>
        </w:rPr>
        <w:t>:</w:t>
      </w:r>
      <w:r w:rsidR="00630E95">
        <w:rPr>
          <w:rFonts w:ascii="Arial" w:hAnsi="Arial" w:cs="Arial"/>
          <w:sz w:val="28"/>
          <w:szCs w:val="28"/>
        </w:rPr>
        <w:t xml:space="preserve"> </w:t>
      </w:r>
      <w:r w:rsidR="00A577DB" w:rsidRPr="00A577DB">
        <w:rPr>
          <w:rFonts w:ascii="Arial" w:hAnsi="Arial" w:cs="Arial"/>
          <w:sz w:val="28"/>
          <w:szCs w:val="28"/>
        </w:rPr>
        <w:t>LCHS4008</w:t>
      </w:r>
    </w:p>
    <w:p w14:paraId="0EA5B494" w14:textId="28539B95" w:rsidR="00833470" w:rsidRPr="00A577DB" w:rsidRDefault="00833470" w:rsidP="00833470">
      <w:pPr>
        <w:rPr>
          <w:rFonts w:ascii="Arial" w:hAnsi="Arial" w:cs="Arial"/>
          <w:sz w:val="28"/>
          <w:szCs w:val="28"/>
        </w:rPr>
      </w:pPr>
      <w:r w:rsidRPr="00A577DB">
        <w:rPr>
          <w:rFonts w:ascii="Arial" w:hAnsi="Arial" w:cs="Arial"/>
          <w:b/>
          <w:bCs/>
          <w:sz w:val="28"/>
          <w:szCs w:val="28"/>
        </w:rPr>
        <w:t xml:space="preserve">Lecturer </w:t>
      </w:r>
      <w:r w:rsidR="00210467" w:rsidRPr="00A577DB">
        <w:rPr>
          <w:rFonts w:ascii="Arial" w:hAnsi="Arial" w:cs="Arial"/>
          <w:b/>
          <w:bCs/>
          <w:sz w:val="28"/>
          <w:szCs w:val="28"/>
        </w:rPr>
        <w:t>name</w:t>
      </w:r>
      <w:r w:rsidR="00210467" w:rsidRPr="00A577DB">
        <w:rPr>
          <w:rFonts w:ascii="Arial" w:hAnsi="Arial" w:cs="Arial"/>
          <w:sz w:val="28"/>
          <w:szCs w:val="28"/>
        </w:rPr>
        <w:t>:</w:t>
      </w:r>
      <w:r w:rsidR="00D07A05">
        <w:rPr>
          <w:rFonts w:ascii="Arial" w:hAnsi="Arial" w:cs="Arial"/>
          <w:sz w:val="28"/>
          <w:szCs w:val="28"/>
        </w:rPr>
        <w:t xml:space="preserve"> </w:t>
      </w:r>
      <w:r w:rsidR="00172590">
        <w:rPr>
          <w:rFonts w:ascii="Arial" w:hAnsi="Arial" w:cs="Arial"/>
          <w:sz w:val="28"/>
          <w:szCs w:val="28"/>
        </w:rPr>
        <w:t xml:space="preserve">Dr Pascal </w:t>
      </w:r>
      <w:proofErr w:type="spellStart"/>
      <w:r w:rsidR="00172590">
        <w:rPr>
          <w:rFonts w:ascii="Arial" w:hAnsi="Arial" w:cs="Arial"/>
          <w:sz w:val="28"/>
          <w:szCs w:val="28"/>
        </w:rPr>
        <w:t>Navelle</w:t>
      </w:r>
      <w:proofErr w:type="spellEnd"/>
    </w:p>
    <w:bookmarkEnd w:id="0"/>
    <w:p w14:paraId="351AB314" w14:textId="77777777" w:rsidR="00925D5E" w:rsidRPr="00A577DB" w:rsidRDefault="00925D5E">
      <w:pPr>
        <w:rPr>
          <w:rFonts w:ascii="Arial" w:hAnsi="Arial" w:cs="Arial"/>
          <w:sz w:val="28"/>
          <w:szCs w:val="28"/>
        </w:rPr>
      </w:pPr>
    </w:p>
    <w:p w14:paraId="29F050AB" w14:textId="248EE6C3" w:rsidR="00A577DB" w:rsidRPr="00A577DB" w:rsidRDefault="00A577DB">
      <w:pPr>
        <w:rPr>
          <w:rFonts w:ascii="Arial" w:hAnsi="Arial" w:cs="Arial"/>
          <w:b/>
          <w:bCs/>
          <w:sz w:val="28"/>
          <w:szCs w:val="28"/>
        </w:rPr>
      </w:pPr>
      <w:r w:rsidRPr="00A577DB">
        <w:rPr>
          <w:rFonts w:ascii="Arial" w:hAnsi="Arial" w:cs="Arial"/>
          <w:b/>
          <w:bCs/>
          <w:sz w:val="28"/>
          <w:szCs w:val="28"/>
        </w:rPr>
        <w:t>A</w:t>
      </w:r>
      <w:r>
        <w:rPr>
          <w:rFonts w:ascii="Arial" w:hAnsi="Arial" w:cs="Arial"/>
          <w:b/>
          <w:bCs/>
          <w:sz w:val="28"/>
          <w:szCs w:val="28"/>
        </w:rPr>
        <w:t>ssessment</w:t>
      </w:r>
      <w:r w:rsidRPr="00A577DB">
        <w:rPr>
          <w:rFonts w:ascii="Arial" w:hAnsi="Arial" w:cs="Arial"/>
          <w:b/>
          <w:bCs/>
          <w:sz w:val="28"/>
          <w:szCs w:val="28"/>
        </w:rPr>
        <w:t xml:space="preserve"> 2:  Report on a Health Issue</w:t>
      </w:r>
    </w:p>
    <w:p w14:paraId="410C101D" w14:textId="2AAA7E28" w:rsidR="00A577DB" w:rsidRPr="00A577DB" w:rsidRDefault="00A577DB">
      <w:pPr>
        <w:rPr>
          <w:rFonts w:ascii="Arial" w:hAnsi="Arial" w:cs="Arial"/>
          <w:b/>
          <w:bCs/>
          <w:sz w:val="28"/>
          <w:szCs w:val="28"/>
        </w:rPr>
        <w:sectPr w:rsidR="00A577DB" w:rsidRPr="00A577DB">
          <w:headerReference w:type="default" r:id="rId9"/>
          <w:footerReference w:type="default" r:id="rId10"/>
          <w:pgSz w:w="11906" w:h="16838"/>
          <w:pgMar w:top="1440" w:right="1440" w:bottom="1440" w:left="1440" w:header="708" w:footer="708" w:gutter="0"/>
          <w:cols w:space="708"/>
          <w:docGrid w:linePitch="360"/>
        </w:sectPr>
      </w:pPr>
      <w:r w:rsidRPr="00A577DB">
        <w:rPr>
          <w:rFonts w:ascii="Arial" w:hAnsi="Arial" w:cs="Arial"/>
          <w:b/>
          <w:bCs/>
          <w:sz w:val="28"/>
          <w:szCs w:val="28"/>
        </w:rPr>
        <w:t>Submission date: 16 dec 2025</w:t>
      </w:r>
    </w:p>
    <w:p w14:paraId="538901D5" w14:textId="77777777" w:rsidR="00EB0612" w:rsidRDefault="00EB0612" w:rsidP="00EB0612">
      <w:pPr>
        <w:rPr>
          <w:rFonts w:ascii="Arial" w:hAnsi="Arial" w:cs="Arial"/>
          <w:b/>
          <w:bCs/>
        </w:rPr>
      </w:pPr>
      <w:r w:rsidRPr="00D07A05">
        <w:rPr>
          <w:rFonts w:ascii="Arial" w:hAnsi="Arial" w:cs="Arial"/>
          <w:b/>
          <w:bCs/>
        </w:rPr>
        <w:lastRenderedPageBreak/>
        <w:t>Introduction</w:t>
      </w:r>
    </w:p>
    <w:p w14:paraId="5BC53152" w14:textId="48D76298" w:rsidR="00923FDB" w:rsidRPr="00D07A05" w:rsidRDefault="00923FDB" w:rsidP="00EB0612">
      <w:pPr>
        <w:rPr>
          <w:rFonts w:ascii="Arial" w:hAnsi="Arial" w:cs="Arial"/>
          <w:b/>
          <w:bCs/>
        </w:rPr>
      </w:pPr>
      <w:r w:rsidRPr="00923FDB">
        <w:rPr>
          <w:rFonts w:ascii="Arial" w:hAnsi="Arial" w:cs="Arial"/>
          <w:b/>
          <w:bCs/>
        </w:rPr>
        <w:t>Type 2 diabetes mellitus</w:t>
      </w:r>
    </w:p>
    <w:p w14:paraId="4A18376C" w14:textId="7918C436" w:rsidR="00EB0612" w:rsidRPr="00EB0612" w:rsidRDefault="00D07A05" w:rsidP="00EB0612">
      <w:pPr>
        <w:rPr>
          <w:rFonts w:ascii="Arial" w:hAnsi="Arial" w:cs="Arial"/>
        </w:rPr>
      </w:pPr>
      <w:bookmarkStart w:id="1" w:name="_Hlk216769187"/>
      <w:r w:rsidRPr="00EB0612">
        <w:rPr>
          <w:rFonts w:ascii="Arial" w:hAnsi="Arial" w:cs="Arial"/>
        </w:rPr>
        <w:t>Type 2 diabetes mellitus</w:t>
      </w:r>
      <w:r w:rsidR="00EB0612" w:rsidRPr="00EB0612">
        <w:rPr>
          <w:rFonts w:ascii="Arial" w:hAnsi="Arial" w:cs="Arial"/>
        </w:rPr>
        <w:t xml:space="preserve"> </w:t>
      </w:r>
      <w:bookmarkEnd w:id="1"/>
      <w:r w:rsidR="00EB0612" w:rsidRPr="00EB0612">
        <w:rPr>
          <w:rFonts w:ascii="Arial" w:hAnsi="Arial" w:cs="Arial"/>
        </w:rPr>
        <w:t xml:space="preserve">is a chronic metabolic disorder characterized by insulin resistance and relative insulin deficiency which leads to </w:t>
      </w:r>
      <w:r w:rsidRPr="00EB0612">
        <w:rPr>
          <w:rFonts w:ascii="Arial" w:hAnsi="Arial" w:cs="Arial"/>
        </w:rPr>
        <w:t>hyperglycaemia</w:t>
      </w:r>
      <w:r w:rsidR="00EB0612" w:rsidRPr="00EB0612">
        <w:rPr>
          <w:rFonts w:ascii="Arial" w:hAnsi="Arial" w:cs="Arial"/>
        </w:rPr>
        <w:t xml:space="preserve"> (GBD 2021 Diabetes Collaborators, 2023). Type 2 diabetes (T2DM) is slow in </w:t>
      </w:r>
      <w:r w:rsidRPr="00EB0612">
        <w:rPr>
          <w:rFonts w:ascii="Arial" w:hAnsi="Arial" w:cs="Arial"/>
        </w:rPr>
        <w:t>progression,</w:t>
      </w:r>
      <w:r w:rsidR="00EB0612" w:rsidRPr="00EB0612">
        <w:rPr>
          <w:rFonts w:ascii="Arial" w:hAnsi="Arial" w:cs="Arial"/>
        </w:rPr>
        <w:t xml:space="preserve"> and it has some precipitating factors like older age, obesity, sedentary </w:t>
      </w:r>
      <w:r w:rsidRPr="00EB0612">
        <w:rPr>
          <w:rFonts w:ascii="Arial" w:hAnsi="Arial" w:cs="Arial"/>
        </w:rPr>
        <w:t>lifestyle</w:t>
      </w:r>
      <w:r w:rsidR="00EB0612" w:rsidRPr="00EB0612">
        <w:rPr>
          <w:rFonts w:ascii="Arial" w:hAnsi="Arial" w:cs="Arial"/>
        </w:rPr>
        <w:t>, poor diet habits, and other environmental and socioeconomic factors. T2DM, usually presents with polyuria, polydipsia, polyphagia, weight gain, fatigue, blurred vision, and low immunity status. Some of the cases of type 2 diabetes is asymptomatic for years and the diagnosis is made lately when complications occur. According to the global data in 2021, approximately 529 million people are having type 2 diabetes mellitus and the predicted chance rate for type 2 Diabetes by 2025 is approximately 1.31 billion (GBD, 2021 Diabetes collaborators, 2023). In United Kingdom, a recent national surveillance shows an increasing rate of T2DM, from the reported existing data of millions of people (The Lancet, 2023).</w:t>
      </w:r>
    </w:p>
    <w:p w14:paraId="1E130B6B" w14:textId="77777777" w:rsidR="00EB0612" w:rsidRPr="00D07A05" w:rsidRDefault="00EB0612" w:rsidP="00EB0612">
      <w:pPr>
        <w:rPr>
          <w:rFonts w:ascii="Arial" w:hAnsi="Arial" w:cs="Arial"/>
          <w:b/>
          <w:bCs/>
        </w:rPr>
      </w:pPr>
      <w:r w:rsidRPr="00D07A05">
        <w:rPr>
          <w:rFonts w:ascii="Arial" w:hAnsi="Arial" w:cs="Arial"/>
          <w:b/>
          <w:bCs/>
        </w:rPr>
        <w:t xml:space="preserve">Consequences of Type 2 Diabetes Mellitus </w:t>
      </w:r>
    </w:p>
    <w:p w14:paraId="5BA9D1E6" w14:textId="77777777" w:rsidR="00EB0612" w:rsidRPr="00D07A05" w:rsidRDefault="00EB0612" w:rsidP="00EB0612">
      <w:pPr>
        <w:rPr>
          <w:rFonts w:ascii="Arial" w:hAnsi="Arial" w:cs="Arial"/>
          <w:b/>
          <w:bCs/>
        </w:rPr>
      </w:pPr>
      <w:r w:rsidRPr="00D07A05">
        <w:rPr>
          <w:rFonts w:ascii="Arial" w:hAnsi="Arial" w:cs="Arial"/>
          <w:b/>
          <w:bCs/>
        </w:rPr>
        <w:t>Consequences at the individual level and community level</w:t>
      </w:r>
    </w:p>
    <w:p w14:paraId="1CE65014" w14:textId="24B5B675" w:rsidR="00EB0612" w:rsidRPr="00EB0612" w:rsidRDefault="00D07A05" w:rsidP="00EB0612">
      <w:pPr>
        <w:rPr>
          <w:rFonts w:ascii="Arial" w:hAnsi="Arial" w:cs="Arial"/>
        </w:rPr>
      </w:pPr>
      <w:r>
        <w:rPr>
          <w:rFonts w:ascii="Arial" w:hAnsi="Arial" w:cs="Arial"/>
        </w:rPr>
        <w:t xml:space="preserve"> </w:t>
      </w:r>
      <w:r w:rsidRPr="00D07A05">
        <w:rPr>
          <w:rFonts w:ascii="Arial" w:hAnsi="Arial" w:cs="Arial"/>
        </w:rPr>
        <w:t>Type 2 diabetes mellitus</w:t>
      </w:r>
      <w:r w:rsidR="00EB0612" w:rsidRPr="00EB0612">
        <w:rPr>
          <w:rFonts w:ascii="Arial" w:hAnsi="Arial" w:cs="Arial"/>
        </w:rPr>
        <w:t xml:space="preserve"> is indicated mainly by </w:t>
      </w:r>
      <w:r w:rsidRPr="00EB0612">
        <w:rPr>
          <w:rFonts w:ascii="Arial" w:hAnsi="Arial" w:cs="Arial"/>
        </w:rPr>
        <w:t>hyperglycaemia</w:t>
      </w:r>
      <w:r w:rsidR="00EB0612" w:rsidRPr="00EB0612">
        <w:rPr>
          <w:rFonts w:ascii="Arial" w:hAnsi="Arial" w:cs="Arial"/>
        </w:rPr>
        <w:t xml:space="preserve">, and it has both acute and chronic consequences. The micro vascular complications like retinopathy, nephropathy and peripheral neuropathy have long term affect and other complications like coronary artery diseases, stroke and peripheral artery diseases have more effect on the morbidity and mortality (Zhang et al., 2022). The disease has great impact on the quality of individual life by affecting their pain sensations, activities of daily life and mental status. </w:t>
      </w:r>
      <w:r w:rsidR="005D6498" w:rsidRPr="00EB0612">
        <w:rPr>
          <w:rFonts w:ascii="Arial" w:hAnsi="Arial" w:cs="Arial"/>
        </w:rPr>
        <w:t xml:space="preserve">The increased incidence of </w:t>
      </w:r>
      <w:r w:rsidR="005D6498" w:rsidRPr="00D07A05">
        <w:rPr>
          <w:rFonts w:ascii="Arial" w:hAnsi="Arial" w:cs="Arial"/>
        </w:rPr>
        <w:t>Type 2 diabetes mellitus</w:t>
      </w:r>
      <w:r w:rsidR="00EB0612" w:rsidRPr="00EB0612">
        <w:rPr>
          <w:rFonts w:ascii="Arial" w:hAnsi="Arial" w:cs="Arial"/>
        </w:rPr>
        <w:t xml:space="preserve"> leads to high rate of multi morbidity </w:t>
      </w:r>
      <w:proofErr w:type="gramStart"/>
      <w:r w:rsidR="00EB0612" w:rsidRPr="00EB0612">
        <w:rPr>
          <w:rFonts w:ascii="Arial" w:hAnsi="Arial" w:cs="Arial"/>
        </w:rPr>
        <w:t>and also</w:t>
      </w:r>
      <w:proofErr w:type="gramEnd"/>
      <w:r w:rsidR="00EB0612" w:rsidRPr="00EB0612">
        <w:rPr>
          <w:rFonts w:ascii="Arial" w:hAnsi="Arial" w:cs="Arial"/>
        </w:rPr>
        <w:t xml:space="preserve"> increases the rate of people seeking for long term medical support and referral services. The situation indirectly reflects the scarcity of health care services to meet with the increased demands and chance for worse outcome is more because of structural factors like health literacy difference, employment barriers, and safe </w:t>
      </w:r>
      <w:r w:rsidR="005D6498" w:rsidRPr="00EB0612">
        <w:rPr>
          <w:rFonts w:ascii="Arial" w:hAnsi="Arial" w:cs="Arial"/>
        </w:rPr>
        <w:t>lifestyle</w:t>
      </w:r>
      <w:r w:rsidR="00EB0612" w:rsidRPr="00EB0612">
        <w:rPr>
          <w:rFonts w:ascii="Arial" w:hAnsi="Arial" w:cs="Arial"/>
        </w:rPr>
        <w:t xml:space="preserve"> practices. The direct medical cost like medication, outpatient visits or admissions and indirect medical costs like loss of productivity, sick days etc. could lead to future complications like financial strain, social stigma and anxiety (Kim et al., 2022).</w:t>
      </w:r>
    </w:p>
    <w:p w14:paraId="4A9ADBD8" w14:textId="77777777" w:rsidR="00EB0612" w:rsidRPr="00D07A05" w:rsidRDefault="00EB0612" w:rsidP="00EB0612">
      <w:pPr>
        <w:rPr>
          <w:rFonts w:ascii="Arial" w:hAnsi="Arial" w:cs="Arial"/>
          <w:b/>
          <w:bCs/>
        </w:rPr>
      </w:pPr>
      <w:r w:rsidRPr="00D07A05">
        <w:rPr>
          <w:rFonts w:ascii="Arial" w:hAnsi="Arial" w:cs="Arial"/>
          <w:b/>
          <w:bCs/>
        </w:rPr>
        <w:t>Consequences for NHS</w:t>
      </w:r>
    </w:p>
    <w:p w14:paraId="31F0B95F" w14:textId="77777777" w:rsidR="00EB0612" w:rsidRPr="00EB0612" w:rsidRDefault="00EB0612" w:rsidP="00EB0612">
      <w:pPr>
        <w:rPr>
          <w:rFonts w:ascii="Arial" w:hAnsi="Arial" w:cs="Arial"/>
        </w:rPr>
      </w:pPr>
      <w:r w:rsidRPr="00EB0612">
        <w:rPr>
          <w:rFonts w:ascii="Arial" w:hAnsi="Arial" w:cs="Arial"/>
        </w:rPr>
        <w:t xml:space="preserve">The responsibilities caused by Type 2 DM in UK’S NHS is heavier, as it </w:t>
      </w:r>
      <w:proofErr w:type="gramStart"/>
      <w:r w:rsidRPr="00EB0612">
        <w:rPr>
          <w:rFonts w:ascii="Arial" w:hAnsi="Arial" w:cs="Arial"/>
        </w:rPr>
        <w:t>has to</w:t>
      </w:r>
      <w:proofErr w:type="gramEnd"/>
      <w:r w:rsidRPr="00EB0612">
        <w:rPr>
          <w:rFonts w:ascii="Arial" w:hAnsi="Arial" w:cs="Arial"/>
        </w:rPr>
        <w:t xml:space="preserve"> cover large number of patients </w:t>
      </w:r>
      <w:proofErr w:type="gramStart"/>
      <w:r w:rsidRPr="00EB0612">
        <w:rPr>
          <w:rFonts w:ascii="Arial" w:hAnsi="Arial" w:cs="Arial"/>
        </w:rPr>
        <w:t>and also</w:t>
      </w:r>
      <w:proofErr w:type="gramEnd"/>
      <w:r w:rsidRPr="00EB0612">
        <w:rPr>
          <w:rFonts w:ascii="Arial" w:hAnsi="Arial" w:cs="Arial"/>
        </w:rPr>
        <w:t xml:space="preserve"> need high specialty services. The treatment of complications like dialysis requires high cost, which also increases the NHS’ pressure. The increases pressure on staff like doctors, nurses may affect the quality of service rendered. The consequences are categorized as follows:</w:t>
      </w:r>
    </w:p>
    <w:p w14:paraId="7B044B6C" w14:textId="3613A2B1" w:rsidR="00EB0612" w:rsidRPr="00EB0612" w:rsidRDefault="00EB0612" w:rsidP="00EB0612">
      <w:pPr>
        <w:rPr>
          <w:rFonts w:ascii="Arial" w:hAnsi="Arial" w:cs="Arial"/>
        </w:rPr>
      </w:pPr>
      <w:r w:rsidRPr="00EB0612">
        <w:rPr>
          <w:rFonts w:ascii="Arial" w:hAnsi="Arial" w:cs="Arial"/>
        </w:rPr>
        <w:t xml:space="preserve">Increased work pressure: The increased number of type2 DM people, increases the </w:t>
      </w:r>
      <w:r w:rsidR="005D6498" w:rsidRPr="00EB0612">
        <w:rPr>
          <w:rFonts w:ascii="Arial" w:hAnsi="Arial" w:cs="Arial"/>
        </w:rPr>
        <w:t>workload</w:t>
      </w:r>
      <w:r w:rsidRPr="00EB0612">
        <w:rPr>
          <w:rFonts w:ascii="Arial" w:hAnsi="Arial" w:cs="Arial"/>
        </w:rPr>
        <w:t xml:space="preserve"> of primary care staff, secondary care staff and specialists. NHS tries to prevent the complications by routine national level audits which identify the large volume of diabetic care services and rectify the gaps in services (Zhang et al., 2022).</w:t>
      </w:r>
    </w:p>
    <w:p w14:paraId="6ECE6D3C" w14:textId="03B9B032" w:rsidR="00EB0612" w:rsidRPr="00EB0612" w:rsidRDefault="00EB0612" w:rsidP="00EB0612">
      <w:pPr>
        <w:rPr>
          <w:rFonts w:ascii="Arial" w:hAnsi="Arial" w:cs="Arial"/>
        </w:rPr>
      </w:pPr>
      <w:r w:rsidRPr="00EB0612">
        <w:rPr>
          <w:rFonts w:ascii="Arial" w:hAnsi="Arial" w:cs="Arial"/>
        </w:rPr>
        <w:t xml:space="preserve">Financial constraints: A significant portion of the NHS resources are allocated for managing the complications of Type 2 DM, </w:t>
      </w:r>
      <w:proofErr w:type="gramStart"/>
      <w:r w:rsidRPr="00EB0612">
        <w:rPr>
          <w:rFonts w:ascii="Arial" w:hAnsi="Arial" w:cs="Arial"/>
        </w:rPr>
        <w:t>and also</w:t>
      </w:r>
      <w:proofErr w:type="gramEnd"/>
      <w:r w:rsidRPr="00EB0612">
        <w:rPr>
          <w:rFonts w:ascii="Arial" w:hAnsi="Arial" w:cs="Arial"/>
        </w:rPr>
        <w:t xml:space="preserve"> for preventive measures of </w:t>
      </w:r>
      <w:r w:rsidR="005D6498" w:rsidRPr="005D6498">
        <w:rPr>
          <w:rFonts w:ascii="Arial" w:hAnsi="Arial" w:cs="Arial"/>
        </w:rPr>
        <w:t>diabetes mellitus</w:t>
      </w:r>
    </w:p>
    <w:p w14:paraId="00419282" w14:textId="51CD37E6" w:rsidR="00EB0612" w:rsidRPr="00EB0612" w:rsidRDefault="00EB0612" w:rsidP="00EB0612">
      <w:pPr>
        <w:rPr>
          <w:rFonts w:ascii="Arial" w:hAnsi="Arial" w:cs="Arial"/>
        </w:rPr>
      </w:pPr>
      <w:r w:rsidRPr="00EB0612">
        <w:rPr>
          <w:rFonts w:ascii="Arial" w:hAnsi="Arial" w:cs="Arial"/>
        </w:rPr>
        <w:t>Demand for trained work force: The increased prevalence of</w:t>
      </w:r>
      <w:r w:rsidR="005D6498" w:rsidRPr="005D6498">
        <w:t xml:space="preserve"> </w:t>
      </w:r>
      <w:r w:rsidR="005D6498" w:rsidRPr="005D6498">
        <w:rPr>
          <w:rFonts w:ascii="Arial" w:hAnsi="Arial" w:cs="Arial"/>
        </w:rPr>
        <w:t xml:space="preserve">Type 2 diabetes </w:t>
      </w:r>
      <w:r w:rsidR="005D6498" w:rsidRPr="005D6498">
        <w:rPr>
          <w:rFonts w:ascii="Arial" w:hAnsi="Arial" w:cs="Arial"/>
        </w:rPr>
        <w:t>mellitus</w:t>
      </w:r>
      <w:r w:rsidR="005D6498" w:rsidRPr="00EB0612">
        <w:rPr>
          <w:rFonts w:ascii="Arial" w:hAnsi="Arial" w:cs="Arial"/>
        </w:rPr>
        <w:t>,</w:t>
      </w:r>
      <w:r w:rsidRPr="00EB0612">
        <w:rPr>
          <w:rFonts w:ascii="Arial" w:hAnsi="Arial" w:cs="Arial"/>
        </w:rPr>
        <w:t xml:space="preserve"> demand for trained health care professionals like diabetes specialized nurses, dieticians, </w:t>
      </w:r>
      <w:r w:rsidRPr="00EB0612">
        <w:rPr>
          <w:rFonts w:ascii="Arial" w:hAnsi="Arial" w:cs="Arial"/>
        </w:rPr>
        <w:lastRenderedPageBreak/>
        <w:t>nephrologist, ophthalmologist etc. Also, the situation demands consistent, guideline-based care, and education programs for delivering updated quality services (Kim et al., 2022).</w:t>
      </w:r>
    </w:p>
    <w:p w14:paraId="6E9E3481" w14:textId="77777777" w:rsidR="00EB0612" w:rsidRPr="00EB0612" w:rsidRDefault="00EB0612" w:rsidP="00EB0612">
      <w:pPr>
        <w:rPr>
          <w:rFonts w:ascii="Arial" w:hAnsi="Arial" w:cs="Arial"/>
        </w:rPr>
      </w:pPr>
      <w:r w:rsidRPr="00EB0612">
        <w:rPr>
          <w:rFonts w:ascii="Arial" w:hAnsi="Arial" w:cs="Arial"/>
        </w:rPr>
        <w:t>Managing health inequality and access to services: The minority population, or rural area population, may get less access to services, hence NHS has the responsibility to allocate the resources and services equitably with culturally acceptable interventions (Butt et al., 2024).</w:t>
      </w:r>
    </w:p>
    <w:p w14:paraId="46512A4E" w14:textId="77777777" w:rsidR="00EB0612" w:rsidRPr="00D07A05" w:rsidRDefault="00EB0612" w:rsidP="00EB0612">
      <w:pPr>
        <w:rPr>
          <w:rFonts w:ascii="Arial" w:hAnsi="Arial" w:cs="Arial"/>
          <w:b/>
          <w:bCs/>
        </w:rPr>
      </w:pPr>
      <w:r w:rsidRPr="00D07A05">
        <w:rPr>
          <w:rFonts w:ascii="Arial" w:hAnsi="Arial" w:cs="Arial"/>
          <w:b/>
          <w:bCs/>
        </w:rPr>
        <w:t>Control measures for Type 2 Diabetes Mellitus</w:t>
      </w:r>
    </w:p>
    <w:p w14:paraId="32D0DAB6" w14:textId="77777777" w:rsidR="00EB0612" w:rsidRPr="00EB0612" w:rsidRDefault="00EB0612" w:rsidP="00EB0612">
      <w:pPr>
        <w:rPr>
          <w:rFonts w:ascii="Arial" w:hAnsi="Arial" w:cs="Arial"/>
        </w:rPr>
      </w:pPr>
      <w:r w:rsidRPr="00EB0612">
        <w:rPr>
          <w:rFonts w:ascii="Arial" w:hAnsi="Arial" w:cs="Arial"/>
        </w:rPr>
        <w:t>Control focus on prevention and risk reduction, early identification and management, specialty services for complications.</w:t>
      </w:r>
    </w:p>
    <w:p w14:paraId="116352EF" w14:textId="77777777" w:rsidR="00EB0612" w:rsidRPr="00EB0612" w:rsidRDefault="00EB0612" w:rsidP="00EB0612">
      <w:pPr>
        <w:rPr>
          <w:rFonts w:ascii="Arial" w:hAnsi="Arial" w:cs="Arial"/>
        </w:rPr>
      </w:pPr>
      <w:r w:rsidRPr="00EB0612">
        <w:rPr>
          <w:rFonts w:ascii="Arial" w:hAnsi="Arial" w:cs="Arial"/>
        </w:rPr>
        <w:t xml:space="preserve">Prevention and risk reduction: Prevention is based on identifying the risk factors like obesity, poor dietary habits, reduced physical activity etc. The management strategy includes installation of policies for sugar sweetened beverages, junk food advertisements, food package </w:t>
      </w:r>
      <w:proofErr w:type="spellStart"/>
      <w:r w:rsidRPr="00EB0612">
        <w:rPr>
          <w:rFonts w:ascii="Arial" w:hAnsi="Arial" w:cs="Arial"/>
        </w:rPr>
        <w:t>labeling</w:t>
      </w:r>
      <w:proofErr w:type="spellEnd"/>
      <w:r w:rsidRPr="00EB0612">
        <w:rPr>
          <w:rFonts w:ascii="Arial" w:hAnsi="Arial" w:cs="Arial"/>
        </w:rPr>
        <w:t xml:space="preserve"> etc. Community based weight loss programs, </w:t>
      </w:r>
      <w:proofErr w:type="gramStart"/>
      <w:r w:rsidRPr="00EB0612">
        <w:rPr>
          <w:rFonts w:ascii="Arial" w:hAnsi="Arial" w:cs="Arial"/>
        </w:rPr>
        <w:t>work place</w:t>
      </w:r>
      <w:proofErr w:type="gramEnd"/>
      <w:r w:rsidRPr="00EB0612">
        <w:rPr>
          <w:rFonts w:ascii="Arial" w:hAnsi="Arial" w:cs="Arial"/>
        </w:rPr>
        <w:t xml:space="preserve"> wellness programs, yoga’s or mediations, school level nutritional educations etc. (Darvishi et al., 2024). NHS offers a </w:t>
      </w:r>
      <w:proofErr w:type="spellStart"/>
      <w:r w:rsidRPr="00EB0612">
        <w:rPr>
          <w:rFonts w:ascii="Arial" w:hAnsi="Arial" w:cs="Arial"/>
        </w:rPr>
        <w:t>behavioral</w:t>
      </w:r>
      <w:proofErr w:type="spellEnd"/>
      <w:r w:rsidRPr="00EB0612">
        <w:rPr>
          <w:rFonts w:ascii="Arial" w:hAnsi="Arial" w:cs="Arial"/>
        </w:rPr>
        <w:t xml:space="preserve"> intervention for high-risk group, like </w:t>
      </w:r>
      <w:proofErr w:type="gramStart"/>
      <w:r w:rsidRPr="00EB0612">
        <w:rPr>
          <w:rFonts w:ascii="Arial" w:hAnsi="Arial" w:cs="Arial"/>
        </w:rPr>
        <w:t>life style</w:t>
      </w:r>
      <w:proofErr w:type="gramEnd"/>
      <w:r w:rsidRPr="00EB0612">
        <w:rPr>
          <w:rFonts w:ascii="Arial" w:hAnsi="Arial" w:cs="Arial"/>
        </w:rPr>
        <w:t xml:space="preserve"> modifications to reduce the severity of complications. All these interventions need a multi sector collaboration to ensure quality services by the health care system.</w:t>
      </w:r>
    </w:p>
    <w:p w14:paraId="2A7153FF" w14:textId="77777777" w:rsidR="00EB0612" w:rsidRPr="00EB0612" w:rsidRDefault="00EB0612" w:rsidP="00EB0612">
      <w:pPr>
        <w:rPr>
          <w:rFonts w:ascii="Arial" w:hAnsi="Arial" w:cs="Arial"/>
        </w:rPr>
      </w:pPr>
      <w:r w:rsidRPr="00EB0612">
        <w:rPr>
          <w:rFonts w:ascii="Arial" w:hAnsi="Arial" w:cs="Arial"/>
        </w:rPr>
        <w:t xml:space="preserve">Early identification and management: By proper screening for the high-risk group, the type 2 DM can be detected and managed. Management strategies include: </w:t>
      </w:r>
      <w:proofErr w:type="gramStart"/>
      <w:r w:rsidRPr="00EB0612">
        <w:rPr>
          <w:rFonts w:ascii="Arial" w:hAnsi="Arial" w:cs="Arial"/>
        </w:rPr>
        <w:t>Life style</w:t>
      </w:r>
      <w:proofErr w:type="gramEnd"/>
      <w:r w:rsidRPr="00EB0612">
        <w:rPr>
          <w:rFonts w:ascii="Arial" w:hAnsi="Arial" w:cs="Arial"/>
        </w:rPr>
        <w:t xml:space="preserve"> modifications like dietary changes, routine exercises, weight management. Medical management: By using drugs which help to lower blood glucose levels </w:t>
      </w:r>
      <w:proofErr w:type="gramStart"/>
      <w:r w:rsidRPr="00EB0612">
        <w:rPr>
          <w:rFonts w:ascii="Arial" w:hAnsi="Arial" w:cs="Arial"/>
        </w:rPr>
        <w:t>and also</w:t>
      </w:r>
      <w:proofErr w:type="gramEnd"/>
      <w:r w:rsidRPr="00EB0612">
        <w:rPr>
          <w:rFonts w:ascii="Arial" w:hAnsi="Arial" w:cs="Arial"/>
        </w:rPr>
        <w:t xml:space="preserve"> helps for weight reduction. Risk management: control of blood pressure, smoking cessation, and lipid level lowering programs (Darvishi et al., 2024). Health teaching: Structured teaching sessions and awareness classes regarding diabetes self-management and improvement of self-efficacy. Early risk or complications identification and management: adequate referral services or specialty services to avoid diabetes related complications.</w:t>
      </w:r>
    </w:p>
    <w:p w14:paraId="58B027D1" w14:textId="476037C6" w:rsidR="00EB0612" w:rsidRPr="00EB0612" w:rsidRDefault="00EB0612" w:rsidP="00EB0612">
      <w:pPr>
        <w:rPr>
          <w:rFonts w:ascii="Arial" w:hAnsi="Arial" w:cs="Arial"/>
        </w:rPr>
      </w:pPr>
      <w:r w:rsidRPr="00EB0612">
        <w:rPr>
          <w:rFonts w:ascii="Arial" w:hAnsi="Arial" w:cs="Arial"/>
        </w:rPr>
        <w:t xml:space="preserve">Complications focused services: By effective multidisciplinary </w:t>
      </w:r>
      <w:r w:rsidR="005D6498" w:rsidRPr="00EB0612">
        <w:rPr>
          <w:rFonts w:ascii="Arial" w:hAnsi="Arial" w:cs="Arial"/>
        </w:rPr>
        <w:t>teamwork</w:t>
      </w:r>
      <w:r w:rsidRPr="00EB0612">
        <w:rPr>
          <w:rFonts w:ascii="Arial" w:hAnsi="Arial" w:cs="Arial"/>
        </w:rPr>
        <w:t>, the complications related to type 2 DM, can be managed. The specialist services by dialectologist, nephrologist, cardiologist, podiatrists, and vascular surgeons include retinal screening, CKD Management by dialysis and transplant, cardiac care to prevent coronary diseases, and foot care services to avoid peripheral neuropathy (</w:t>
      </w:r>
      <w:proofErr w:type="spellStart"/>
      <w:r w:rsidRPr="00EB0612">
        <w:rPr>
          <w:rFonts w:ascii="Arial" w:hAnsi="Arial" w:cs="Arial"/>
        </w:rPr>
        <w:t>Getie</w:t>
      </w:r>
      <w:proofErr w:type="spellEnd"/>
      <w:r w:rsidRPr="00EB0612">
        <w:rPr>
          <w:rFonts w:ascii="Arial" w:hAnsi="Arial" w:cs="Arial"/>
        </w:rPr>
        <w:t xml:space="preserve"> et al., 2025).</w:t>
      </w:r>
    </w:p>
    <w:p w14:paraId="78F45005" w14:textId="77777777" w:rsidR="00EB0612" w:rsidRPr="00D07A05" w:rsidRDefault="00EB0612" w:rsidP="00EB0612">
      <w:pPr>
        <w:rPr>
          <w:rFonts w:ascii="Arial" w:hAnsi="Arial" w:cs="Arial"/>
          <w:b/>
          <w:bCs/>
        </w:rPr>
      </w:pPr>
      <w:r w:rsidRPr="00D07A05">
        <w:rPr>
          <w:rFonts w:ascii="Arial" w:hAnsi="Arial" w:cs="Arial"/>
          <w:b/>
          <w:bCs/>
        </w:rPr>
        <w:t>Factors influencing the health and well-being of people affected by the disease/condition and people around them.</w:t>
      </w:r>
    </w:p>
    <w:p w14:paraId="4FAEBA83" w14:textId="55EB191F" w:rsidR="00EB0612" w:rsidRPr="00EB0612" w:rsidRDefault="00EB0612" w:rsidP="00EB0612">
      <w:pPr>
        <w:rPr>
          <w:rFonts w:ascii="Arial" w:hAnsi="Arial" w:cs="Arial"/>
        </w:rPr>
      </w:pPr>
      <w:r w:rsidRPr="00EB0612">
        <w:rPr>
          <w:rFonts w:ascii="Arial" w:hAnsi="Arial" w:cs="Arial"/>
        </w:rPr>
        <w:t xml:space="preserve">Type 2 Diabetes Mellitus arise from a complex interaction of biological, social, </w:t>
      </w:r>
      <w:r w:rsidR="005D6498" w:rsidRPr="00EB0612">
        <w:rPr>
          <w:rFonts w:ascii="Arial" w:hAnsi="Arial" w:cs="Arial"/>
        </w:rPr>
        <w:t>behavioural</w:t>
      </w:r>
      <w:r w:rsidRPr="00EB0612">
        <w:rPr>
          <w:rFonts w:ascii="Arial" w:hAnsi="Arial" w:cs="Arial"/>
        </w:rPr>
        <w:t xml:space="preserve"> and environmental factors which also influence how the person and family experience the disease and manage them. </w:t>
      </w:r>
    </w:p>
    <w:p w14:paraId="7D36269A" w14:textId="443259ED" w:rsidR="00EB0612" w:rsidRPr="00EB0612" w:rsidRDefault="00EB0612" w:rsidP="00EB0612">
      <w:pPr>
        <w:rPr>
          <w:rFonts w:ascii="Arial" w:hAnsi="Arial" w:cs="Arial"/>
        </w:rPr>
      </w:pPr>
      <w:r w:rsidRPr="00D07A05">
        <w:rPr>
          <w:rFonts w:ascii="Arial" w:hAnsi="Arial" w:cs="Arial"/>
          <w:b/>
          <w:bCs/>
        </w:rPr>
        <w:t>Biological factors:</w:t>
      </w:r>
      <w:r w:rsidRPr="00EB0612">
        <w:rPr>
          <w:rFonts w:ascii="Arial" w:hAnsi="Arial" w:cs="Arial"/>
        </w:rPr>
        <w:t xml:space="preserve"> Include age and genetics, comorbid conditions, and ethnicity. The chance for diabetes type 2, increases as age advances. There is a strong connection between family history and type a DM. Comorbidities like obesity, hypertension, and </w:t>
      </w:r>
      <w:r w:rsidR="005D6498" w:rsidRPr="00EB0612">
        <w:rPr>
          <w:rFonts w:ascii="Arial" w:hAnsi="Arial" w:cs="Arial"/>
        </w:rPr>
        <w:t>dyslipidaemia</w:t>
      </w:r>
      <w:r w:rsidRPr="00EB0612">
        <w:rPr>
          <w:rFonts w:ascii="Arial" w:hAnsi="Arial" w:cs="Arial"/>
        </w:rPr>
        <w:t xml:space="preserve"> further increase the risk and may lead to greater complexities. Certain ethnic groups like South Asian or Caribbean populations show increased susceptibility and often develop type 2 Diabetes Mellitus (</w:t>
      </w:r>
      <w:proofErr w:type="spellStart"/>
      <w:r w:rsidRPr="00EB0612">
        <w:rPr>
          <w:rFonts w:ascii="Arial" w:hAnsi="Arial" w:cs="Arial"/>
        </w:rPr>
        <w:t>Getie</w:t>
      </w:r>
      <w:proofErr w:type="spellEnd"/>
      <w:r w:rsidRPr="00EB0612">
        <w:rPr>
          <w:rFonts w:ascii="Arial" w:hAnsi="Arial" w:cs="Arial"/>
        </w:rPr>
        <w:t xml:space="preserve"> et al., 2025).</w:t>
      </w:r>
    </w:p>
    <w:p w14:paraId="2173DB2E" w14:textId="77777777" w:rsidR="00EB0612" w:rsidRPr="00EB0612" w:rsidRDefault="00EB0612" w:rsidP="00EB0612">
      <w:pPr>
        <w:rPr>
          <w:rFonts w:ascii="Arial" w:hAnsi="Arial" w:cs="Arial"/>
        </w:rPr>
      </w:pPr>
      <w:r w:rsidRPr="00D07A05">
        <w:rPr>
          <w:rFonts w:ascii="Arial" w:hAnsi="Arial" w:cs="Arial"/>
          <w:b/>
          <w:bCs/>
        </w:rPr>
        <w:t>Socioeconomic and environmental factors:</w:t>
      </w:r>
      <w:r w:rsidRPr="00EB0612">
        <w:rPr>
          <w:rFonts w:ascii="Arial" w:hAnsi="Arial" w:cs="Arial"/>
        </w:rPr>
        <w:t xml:space="preserve"> People with socioeconomic status have a higher chance for developing type 2 DM. They may have limited access to healthy food habits </w:t>
      </w:r>
      <w:proofErr w:type="gramStart"/>
      <w:r w:rsidRPr="00EB0612">
        <w:rPr>
          <w:rFonts w:ascii="Arial" w:hAnsi="Arial" w:cs="Arial"/>
        </w:rPr>
        <w:t>and also</w:t>
      </w:r>
      <w:proofErr w:type="gramEnd"/>
      <w:r w:rsidRPr="00EB0612">
        <w:rPr>
          <w:rFonts w:ascii="Arial" w:hAnsi="Arial" w:cs="Arial"/>
        </w:rPr>
        <w:t xml:space="preserve"> the cost of food may not be affordable for them. Access to quality health care services is often limited which include difficulty in getting regular checkup and follow up, and </w:t>
      </w:r>
      <w:r w:rsidRPr="00EB0612">
        <w:rPr>
          <w:rFonts w:ascii="Arial" w:hAnsi="Arial" w:cs="Arial"/>
        </w:rPr>
        <w:lastRenderedPageBreak/>
        <w:t xml:space="preserve">diabetic screening (Usman et al., 2023). The language of the health information may not be in understandable language for them. The long hours work schedule per day, limit their time to access health services and reduce the time for self-care activities. Modern food environment adds to the caloric content of foods </w:t>
      </w:r>
      <w:proofErr w:type="gramStart"/>
      <w:r w:rsidRPr="00EB0612">
        <w:rPr>
          <w:rFonts w:ascii="Arial" w:hAnsi="Arial" w:cs="Arial"/>
        </w:rPr>
        <w:t>and also</w:t>
      </w:r>
      <w:proofErr w:type="gramEnd"/>
      <w:r w:rsidRPr="00EB0612">
        <w:rPr>
          <w:rFonts w:ascii="Arial" w:hAnsi="Arial" w:cs="Arial"/>
        </w:rPr>
        <w:t xml:space="preserve"> cheaper. The aggressive advertising strategies attract the people, especially low-income people, children and adults, feels more appealing for these foods. As they consume high calorie, less protein diet for a longer period, develop obesity, insulin resistance and high risk for type 2 DM (</w:t>
      </w:r>
      <w:proofErr w:type="spellStart"/>
      <w:r w:rsidRPr="00EB0612">
        <w:rPr>
          <w:rFonts w:ascii="Arial" w:hAnsi="Arial" w:cs="Arial"/>
        </w:rPr>
        <w:t>Getie</w:t>
      </w:r>
      <w:proofErr w:type="spellEnd"/>
      <w:r w:rsidRPr="00EB0612">
        <w:rPr>
          <w:rFonts w:ascii="Arial" w:hAnsi="Arial" w:cs="Arial"/>
        </w:rPr>
        <w:t xml:space="preserve"> et al., 2025).</w:t>
      </w:r>
    </w:p>
    <w:p w14:paraId="74AC49A7" w14:textId="77777777" w:rsidR="00EB0612" w:rsidRPr="00EB0612" w:rsidRDefault="00EB0612" w:rsidP="00EB0612">
      <w:pPr>
        <w:rPr>
          <w:rFonts w:ascii="Arial" w:hAnsi="Arial" w:cs="Arial"/>
        </w:rPr>
      </w:pPr>
      <w:r w:rsidRPr="00D07A05">
        <w:rPr>
          <w:rFonts w:ascii="Arial" w:hAnsi="Arial" w:cs="Arial"/>
          <w:b/>
          <w:bCs/>
        </w:rPr>
        <w:t>Psychological and family factors</w:t>
      </w:r>
      <w:r w:rsidRPr="00EB0612">
        <w:rPr>
          <w:rFonts w:ascii="Arial" w:hAnsi="Arial" w:cs="Arial"/>
        </w:rPr>
        <w:t xml:space="preserve">: These factors play an important role in managing type 2 DM. The mental health of diabetic people </w:t>
      </w:r>
      <w:proofErr w:type="gramStart"/>
      <w:r w:rsidRPr="00EB0612">
        <w:rPr>
          <w:rFonts w:ascii="Arial" w:hAnsi="Arial" w:cs="Arial"/>
        </w:rPr>
        <w:t>are</w:t>
      </w:r>
      <w:proofErr w:type="gramEnd"/>
      <w:r w:rsidRPr="00EB0612">
        <w:rPr>
          <w:rFonts w:ascii="Arial" w:hAnsi="Arial" w:cs="Arial"/>
        </w:rPr>
        <w:t xml:space="preserve"> altered by depression, anxiety and distress. Some time it makes difficult for the person to follow dietary and medical regimen. Persistent stress will increase sugar level and the poor emotional wellbeing led to poor dietary control. The family and friends have great impact on the management of diabetes of a person (</w:t>
      </w:r>
      <w:proofErr w:type="spellStart"/>
      <w:r w:rsidRPr="00EB0612">
        <w:rPr>
          <w:rFonts w:ascii="Arial" w:hAnsi="Arial" w:cs="Arial"/>
        </w:rPr>
        <w:t>Neuen</w:t>
      </w:r>
      <w:proofErr w:type="spellEnd"/>
      <w:r w:rsidRPr="00EB0612">
        <w:rPr>
          <w:rFonts w:ascii="Arial" w:hAnsi="Arial" w:cs="Arial"/>
        </w:rPr>
        <w:t xml:space="preserve"> et al., 2024). Families help with meal planning, attending clinics with the person etc. will motivate the person to adhere or follow with the treatment plans. High level conflicts within the family and friends or peer groups increases the stress levels and may worsen the diabetic condition. Health literacy, awareness about diabetes and its management is essential for control of diabetes and low health literacy will lead to mistakes like missing of doses, avoidance of sugar level monitoring etc. Clear communication between the health care professionals and person is very important in the management of diabetes (Chen et al., 2023).</w:t>
      </w:r>
    </w:p>
    <w:p w14:paraId="1092729F" w14:textId="77777777" w:rsidR="00EB0612" w:rsidRPr="00EB0612" w:rsidRDefault="00EB0612" w:rsidP="00EB0612">
      <w:pPr>
        <w:rPr>
          <w:rFonts w:ascii="Arial" w:hAnsi="Arial" w:cs="Arial"/>
        </w:rPr>
      </w:pPr>
      <w:r w:rsidRPr="00EB0612">
        <w:rPr>
          <w:rFonts w:ascii="Arial" w:hAnsi="Arial" w:cs="Arial"/>
        </w:rPr>
        <w:t>Accessibility to health care services, affordability of therapies, government actions like policies also affect the management of diabetes. Digital technologies are very important in the management of diabetes. Smart phone apps, telemedicine consultations, glucose monitoring systems via apps are highly effective in managing diabetes (</w:t>
      </w:r>
      <w:proofErr w:type="spellStart"/>
      <w:r w:rsidRPr="00EB0612">
        <w:rPr>
          <w:rFonts w:ascii="Arial" w:hAnsi="Arial" w:cs="Arial"/>
        </w:rPr>
        <w:t>Neuen</w:t>
      </w:r>
      <w:proofErr w:type="spellEnd"/>
      <w:r w:rsidRPr="00EB0612">
        <w:rPr>
          <w:rFonts w:ascii="Arial" w:hAnsi="Arial" w:cs="Arial"/>
        </w:rPr>
        <w:t xml:space="preserve"> et al., 2024). There is limitation to the digital services like older people and people with low income or people with low digital skills are less likely to get the benefit of this system. But digital innovations may probably overcome the existing health inequities to deliver a quality services to a minimal population (Chen et al., 2023).</w:t>
      </w:r>
    </w:p>
    <w:p w14:paraId="5D44076A" w14:textId="77777777" w:rsidR="00EB0612" w:rsidRPr="00D07A05" w:rsidRDefault="00EB0612" w:rsidP="00EB0612">
      <w:pPr>
        <w:rPr>
          <w:rFonts w:ascii="Arial" w:hAnsi="Arial" w:cs="Arial"/>
          <w:b/>
          <w:bCs/>
        </w:rPr>
      </w:pPr>
      <w:r w:rsidRPr="00D07A05">
        <w:rPr>
          <w:rFonts w:ascii="Arial" w:hAnsi="Arial" w:cs="Arial"/>
          <w:b/>
          <w:bCs/>
        </w:rPr>
        <w:t>Conclusion</w:t>
      </w:r>
    </w:p>
    <w:p w14:paraId="15DD5C8E" w14:textId="77777777" w:rsidR="00EB0612" w:rsidRPr="00EB0612" w:rsidRDefault="00EB0612" w:rsidP="00EB0612">
      <w:pPr>
        <w:rPr>
          <w:rFonts w:ascii="Arial" w:hAnsi="Arial" w:cs="Arial"/>
        </w:rPr>
      </w:pPr>
      <w:r w:rsidRPr="00EB0612">
        <w:rPr>
          <w:rFonts w:ascii="Arial" w:hAnsi="Arial" w:cs="Arial"/>
        </w:rPr>
        <w:t xml:space="preserve">Type 2 Diabetes is highly preventable and manageable disease, if identified and controlled at the earlier stage itself. The Global Burden of Diseases 2021 identifies the magnitude of the problem as hundreds of millions of people living with diabetes and in UK, diabetes </w:t>
      </w:r>
      <w:proofErr w:type="gramStart"/>
      <w:r w:rsidRPr="00EB0612">
        <w:rPr>
          <w:rFonts w:ascii="Arial" w:hAnsi="Arial" w:cs="Arial"/>
        </w:rPr>
        <w:t>affect</w:t>
      </w:r>
      <w:proofErr w:type="gramEnd"/>
      <w:r w:rsidRPr="00EB0612">
        <w:rPr>
          <w:rFonts w:ascii="Arial" w:hAnsi="Arial" w:cs="Arial"/>
        </w:rPr>
        <w:t xml:space="preserve"> millions of people and contribute to high mortality and morbidity and its complications extend from clinical to social, economic, familial and NHS level (Hex et al., 2024). The effective management of type 2 Diabetes needs a combination of management at the individual level and population level. Early detection, guideline based primary care, patient education, and accessibility to health services, prevent the complications and future risks. The reduction strategies for future risk, require an action from multiple sectors like health, education, planning, regulation and other targeted efforts to reduce the health inequities.</w:t>
      </w:r>
    </w:p>
    <w:p w14:paraId="68346E67" w14:textId="77777777" w:rsidR="00EB0612" w:rsidRPr="00EB0612" w:rsidRDefault="00EB0612" w:rsidP="00EB0612">
      <w:pPr>
        <w:rPr>
          <w:rFonts w:ascii="Arial" w:hAnsi="Arial" w:cs="Arial"/>
        </w:rPr>
      </w:pPr>
    </w:p>
    <w:p w14:paraId="3E7C55D0" w14:textId="77777777" w:rsidR="00EB0612" w:rsidRPr="00EB0612" w:rsidRDefault="00EB0612" w:rsidP="00EB0612">
      <w:pPr>
        <w:rPr>
          <w:rFonts w:ascii="Arial" w:hAnsi="Arial" w:cs="Arial"/>
        </w:rPr>
      </w:pPr>
    </w:p>
    <w:p w14:paraId="42F4D1B9" w14:textId="77777777" w:rsidR="00EB0612" w:rsidRDefault="00EB0612" w:rsidP="00EB0612">
      <w:pPr>
        <w:rPr>
          <w:rFonts w:ascii="Arial" w:hAnsi="Arial" w:cs="Arial"/>
        </w:rPr>
      </w:pPr>
    </w:p>
    <w:p w14:paraId="21D58A8D" w14:textId="77777777" w:rsidR="00EB0612" w:rsidRDefault="00EB0612" w:rsidP="00EB0612">
      <w:pPr>
        <w:rPr>
          <w:rFonts w:ascii="Arial" w:hAnsi="Arial" w:cs="Arial"/>
        </w:rPr>
      </w:pPr>
    </w:p>
    <w:p w14:paraId="2B1E6F90" w14:textId="77777777" w:rsidR="00EB0612" w:rsidRDefault="00EB0612" w:rsidP="00EB0612">
      <w:pPr>
        <w:rPr>
          <w:rFonts w:ascii="Arial" w:hAnsi="Arial" w:cs="Arial"/>
        </w:rPr>
      </w:pPr>
    </w:p>
    <w:p w14:paraId="3185431B" w14:textId="77777777" w:rsidR="00EB0612" w:rsidRDefault="00EB0612" w:rsidP="00EB0612">
      <w:pPr>
        <w:rPr>
          <w:rFonts w:ascii="Arial" w:hAnsi="Arial" w:cs="Arial"/>
        </w:rPr>
      </w:pPr>
    </w:p>
    <w:p w14:paraId="33A47AE0" w14:textId="77777777" w:rsidR="00EB0612" w:rsidRPr="00D07A05" w:rsidRDefault="00EB0612" w:rsidP="00EB0612">
      <w:pPr>
        <w:rPr>
          <w:rFonts w:ascii="Arial" w:hAnsi="Arial" w:cs="Arial"/>
          <w:b/>
          <w:bCs/>
        </w:rPr>
      </w:pPr>
    </w:p>
    <w:p w14:paraId="451E72C9" w14:textId="77777777" w:rsidR="00EB0612" w:rsidRPr="00D07A05" w:rsidRDefault="00EB0612" w:rsidP="00EB0612">
      <w:pPr>
        <w:rPr>
          <w:rFonts w:ascii="Arial" w:hAnsi="Arial" w:cs="Arial"/>
          <w:b/>
          <w:bCs/>
        </w:rPr>
      </w:pPr>
      <w:r w:rsidRPr="00D07A05">
        <w:rPr>
          <w:rFonts w:ascii="Arial" w:hAnsi="Arial" w:cs="Arial"/>
          <w:b/>
          <w:bCs/>
        </w:rPr>
        <w:t>References</w:t>
      </w:r>
    </w:p>
    <w:p w14:paraId="3C2654EC" w14:textId="2B9EE53E" w:rsidR="00EB0612" w:rsidRPr="00EB0612" w:rsidRDefault="00EB0612" w:rsidP="00EB0612">
      <w:pPr>
        <w:rPr>
          <w:rFonts w:ascii="Arial" w:hAnsi="Arial" w:cs="Arial"/>
        </w:rPr>
      </w:pPr>
      <w:r w:rsidRPr="00EB0612">
        <w:rPr>
          <w:rFonts w:ascii="Arial" w:hAnsi="Arial" w:cs="Arial"/>
        </w:rPr>
        <w:t xml:space="preserve">Ong, K. L., Stafford, L. K., McLaughlin, S. A., Boyko, E. J., </w:t>
      </w:r>
      <w:proofErr w:type="spellStart"/>
      <w:r w:rsidRPr="00EB0612">
        <w:rPr>
          <w:rFonts w:ascii="Arial" w:hAnsi="Arial" w:cs="Arial"/>
        </w:rPr>
        <w:t>Vollset</w:t>
      </w:r>
      <w:proofErr w:type="spellEnd"/>
      <w:r w:rsidRPr="00EB0612">
        <w:rPr>
          <w:rFonts w:ascii="Arial" w:hAnsi="Arial" w:cs="Arial"/>
        </w:rPr>
        <w:t xml:space="preserve">, S. E., Smith, A. </w:t>
      </w:r>
      <w:proofErr w:type="gramStart"/>
      <w:r w:rsidRPr="00EB0612">
        <w:rPr>
          <w:rFonts w:ascii="Arial" w:hAnsi="Arial" w:cs="Arial"/>
        </w:rPr>
        <w:t>E.,&amp;</w:t>
      </w:r>
      <w:proofErr w:type="gramEnd"/>
      <w:r w:rsidRPr="00EB0612">
        <w:rPr>
          <w:rFonts w:ascii="Arial" w:hAnsi="Arial" w:cs="Arial"/>
        </w:rPr>
        <w:t xml:space="preserve"> Brauer, M. (2023). Global, regional, and national burden of diabetes from 1990 to 2021, with projections of prevalence to 2050: a systematic analysis for the Global Burden of Disease Study 2021. The Lancet, 402(10397), 203-234. https://doi.org/10.1016/S0140-6736(23)01301-6</w:t>
      </w:r>
    </w:p>
    <w:p w14:paraId="2594BBA6" w14:textId="77777777" w:rsidR="00EB0612" w:rsidRPr="00EB0612" w:rsidRDefault="00EB0612" w:rsidP="00EB0612">
      <w:pPr>
        <w:rPr>
          <w:rFonts w:ascii="Arial" w:hAnsi="Arial" w:cs="Arial"/>
        </w:rPr>
      </w:pPr>
      <w:r w:rsidRPr="00EB0612">
        <w:rPr>
          <w:rFonts w:ascii="Arial" w:hAnsi="Arial" w:cs="Arial"/>
        </w:rPr>
        <w:t>Zhang, A., Wang, J., Wan, X., Zhang, Z., Zhao, S., Guo, Z., &amp; Wang, C. (2022). A meta-analysis of the effectiveness of telemedicine in glycaemic management among patients with type 2 diabetes in primary care. International Journal of Environmental Research and Public Health, 19(7), 4173. https://doi.org/10.3390/ijerph19074173</w:t>
      </w:r>
    </w:p>
    <w:p w14:paraId="55EFA7F2" w14:textId="77777777" w:rsidR="00EB0612" w:rsidRPr="00EB0612" w:rsidRDefault="00EB0612" w:rsidP="00EB0612">
      <w:pPr>
        <w:rPr>
          <w:rFonts w:ascii="Arial" w:hAnsi="Arial" w:cs="Arial"/>
        </w:rPr>
      </w:pPr>
      <w:r w:rsidRPr="00EB0612">
        <w:rPr>
          <w:rFonts w:ascii="Arial" w:hAnsi="Arial" w:cs="Arial"/>
        </w:rPr>
        <w:t>Kim, J.-e., Park, T.-s., &amp; Kim, K. J. (2022). The clinical effects of type 2 diabetes patient-oriented digital healthcare technology: A systematic review and meta-analysis. Healthcare, 10(3), 522. https://doi.org/10.3390/healthcare10030522</w:t>
      </w:r>
    </w:p>
    <w:p w14:paraId="660AC42E" w14:textId="77777777" w:rsidR="00EB0612" w:rsidRPr="00EB0612" w:rsidRDefault="00EB0612" w:rsidP="00EB0612">
      <w:pPr>
        <w:rPr>
          <w:rFonts w:ascii="Arial" w:hAnsi="Arial" w:cs="Arial"/>
        </w:rPr>
      </w:pPr>
      <w:r w:rsidRPr="00EB0612">
        <w:rPr>
          <w:rFonts w:ascii="Arial" w:hAnsi="Arial" w:cs="Arial"/>
        </w:rPr>
        <w:t xml:space="preserve">Darvishi, A., Nikkhah, A., </w:t>
      </w:r>
      <w:proofErr w:type="spellStart"/>
      <w:r w:rsidRPr="00EB0612">
        <w:rPr>
          <w:rFonts w:ascii="Arial" w:hAnsi="Arial" w:cs="Arial"/>
        </w:rPr>
        <w:t>Mahmudimanesh</w:t>
      </w:r>
      <w:proofErr w:type="spellEnd"/>
      <w:r w:rsidRPr="00EB0612">
        <w:rPr>
          <w:rFonts w:ascii="Arial" w:hAnsi="Arial" w:cs="Arial"/>
        </w:rPr>
        <w:t>, M., et al. (2024). Socioeconomic inequalities in type 2 diabetes mellitus: A study based on a population-based survey in Iran. BMC Public Health, 24, 926. https://doi.org/10.1186/s12889-024-18452-7</w:t>
      </w:r>
    </w:p>
    <w:p w14:paraId="46150DAD" w14:textId="77777777" w:rsidR="00EB0612" w:rsidRPr="00EB0612" w:rsidRDefault="00EB0612" w:rsidP="00EB0612">
      <w:pPr>
        <w:rPr>
          <w:rFonts w:ascii="Arial" w:hAnsi="Arial" w:cs="Arial"/>
        </w:rPr>
      </w:pPr>
      <w:proofErr w:type="spellStart"/>
      <w:r w:rsidRPr="00EB0612">
        <w:rPr>
          <w:rFonts w:ascii="Arial" w:hAnsi="Arial" w:cs="Arial"/>
        </w:rPr>
        <w:t>Getie</w:t>
      </w:r>
      <w:proofErr w:type="spellEnd"/>
      <w:r w:rsidRPr="00EB0612">
        <w:rPr>
          <w:rFonts w:ascii="Arial" w:hAnsi="Arial" w:cs="Arial"/>
        </w:rPr>
        <w:t xml:space="preserve">, A., </w:t>
      </w:r>
      <w:proofErr w:type="spellStart"/>
      <w:r w:rsidRPr="00EB0612">
        <w:rPr>
          <w:rFonts w:ascii="Arial" w:hAnsi="Arial" w:cs="Arial"/>
        </w:rPr>
        <w:t>Amlak</w:t>
      </w:r>
      <w:proofErr w:type="spellEnd"/>
      <w:r w:rsidRPr="00EB0612">
        <w:rPr>
          <w:rFonts w:ascii="Arial" w:hAnsi="Arial" w:cs="Arial"/>
        </w:rPr>
        <w:t>, B. T., Ayenew, T., et al. (2025). Assessing the impact of telehealth on blood glucose management among patients with diabetes: A systematic review and meta-analysis of randomized controlled trials. BMC Health Services Research, 25, 285. https://doi.org/10.1186/s12913-025-12401-9</w:t>
      </w:r>
    </w:p>
    <w:p w14:paraId="30BA6E14" w14:textId="77777777" w:rsidR="00EB0612" w:rsidRPr="00EB0612" w:rsidRDefault="00EB0612" w:rsidP="00EB0612">
      <w:pPr>
        <w:rPr>
          <w:rFonts w:ascii="Arial" w:hAnsi="Arial" w:cs="Arial"/>
        </w:rPr>
      </w:pPr>
      <w:r w:rsidRPr="00EB0612">
        <w:rPr>
          <w:rFonts w:ascii="Arial" w:hAnsi="Arial" w:cs="Arial"/>
        </w:rPr>
        <w:t>Usman, M. S., et al. (2023). Effect of SGLT2 inhibitors on cardiovascular outcomes: A contemporary review. Journal of the American College of Cardiology, 81(20), 1981–1998. https://doi.org/10.1016/j.jacc.2023.04.034</w:t>
      </w:r>
    </w:p>
    <w:p w14:paraId="7B1DD2FF" w14:textId="77777777" w:rsidR="00EB0612" w:rsidRPr="00EB0612" w:rsidRDefault="00EB0612" w:rsidP="00EB0612">
      <w:pPr>
        <w:rPr>
          <w:rFonts w:ascii="Arial" w:hAnsi="Arial" w:cs="Arial"/>
        </w:rPr>
      </w:pPr>
      <w:proofErr w:type="spellStart"/>
      <w:r w:rsidRPr="00EB0612">
        <w:rPr>
          <w:rFonts w:ascii="Arial" w:hAnsi="Arial" w:cs="Arial"/>
        </w:rPr>
        <w:t>Neuen</w:t>
      </w:r>
      <w:proofErr w:type="spellEnd"/>
      <w:r w:rsidRPr="00EB0612">
        <w:rPr>
          <w:rFonts w:ascii="Arial" w:hAnsi="Arial" w:cs="Arial"/>
        </w:rPr>
        <w:t>, B. L., et al. (2024). Cardiovascular, kidney, and safety outcomes with GLP-1 receptor agonists: meta-analysis and implications. Circulation, 150(5), e123–e135. https://doi.org/10.1161/CIRCULATIONAHA.124.071689</w:t>
      </w:r>
    </w:p>
    <w:p w14:paraId="423489C1" w14:textId="77777777" w:rsidR="00EB0612" w:rsidRPr="00EB0612" w:rsidRDefault="00EB0612" w:rsidP="00EB0612">
      <w:pPr>
        <w:rPr>
          <w:rFonts w:ascii="Arial" w:hAnsi="Arial" w:cs="Arial"/>
        </w:rPr>
      </w:pPr>
      <w:r w:rsidRPr="00EB0612">
        <w:rPr>
          <w:rFonts w:ascii="Arial" w:hAnsi="Arial" w:cs="Arial"/>
        </w:rPr>
        <w:t>Chen, X., et al. (2023). Cardiovascular outcomes and safety of SGLT2 inhibitors in people with type 2 diabetes and chronic kidney disease: A systematic review and meta-analysis. Frontiers in Endocrinology, 14, Article 1236404. https://doi.org/10.3389/fendo.2023.1236404</w:t>
      </w:r>
    </w:p>
    <w:p w14:paraId="74959A89" w14:textId="77777777" w:rsidR="00EB0612" w:rsidRPr="00EB0612" w:rsidRDefault="00EB0612" w:rsidP="00EB0612">
      <w:pPr>
        <w:rPr>
          <w:rFonts w:ascii="Arial" w:hAnsi="Arial" w:cs="Arial"/>
        </w:rPr>
      </w:pPr>
      <w:r w:rsidRPr="00EB0612">
        <w:rPr>
          <w:rFonts w:ascii="Arial" w:hAnsi="Arial" w:cs="Arial"/>
        </w:rPr>
        <w:t>Hex, N., MacDonald, R., Pocock, J., et al. (2024). Estimation of the direct health and indirect societal costs of diabetes in the UK using a cost-of-illness model. Diabetic Medicine, 41(9), e15326. https://doi.org/10.1111/dme.15326</w:t>
      </w:r>
    </w:p>
    <w:p w14:paraId="2A56696A" w14:textId="77777777" w:rsidR="00EB0612" w:rsidRPr="00EB0612" w:rsidRDefault="00EB0612" w:rsidP="00EB0612">
      <w:pPr>
        <w:rPr>
          <w:rFonts w:ascii="Arial" w:hAnsi="Arial" w:cs="Arial"/>
        </w:rPr>
      </w:pPr>
      <w:r w:rsidRPr="00EB0612">
        <w:rPr>
          <w:rFonts w:ascii="Arial" w:hAnsi="Arial" w:cs="Arial"/>
        </w:rPr>
        <w:t>Butt, M. D., Ong, S. C., Rafiq, A., et al. (2024). A systematic review of the economic burden of diabetes mellitus: Contrasting perspectives from high- and low-middle-income countries. Journal of Pharmaceutical Policy and Practice, 17(1), 2322107. https://doi.org/10.1080/20523211.2024.2322107</w:t>
      </w:r>
    </w:p>
    <w:p w14:paraId="5016D3DC" w14:textId="77777777" w:rsidR="00EB0612" w:rsidRPr="00EB0612" w:rsidRDefault="00EB0612" w:rsidP="00EB0612">
      <w:pPr>
        <w:rPr>
          <w:rFonts w:ascii="Arial" w:hAnsi="Arial" w:cs="Arial"/>
        </w:rPr>
      </w:pPr>
    </w:p>
    <w:p w14:paraId="349765E8" w14:textId="34E713EF" w:rsidR="00EF3E35" w:rsidRPr="00570BB9" w:rsidRDefault="00EF3E35" w:rsidP="00570BB9">
      <w:pPr>
        <w:rPr>
          <w:rFonts w:ascii="Arial" w:hAnsi="Arial" w:cs="Arial"/>
        </w:rPr>
      </w:pPr>
    </w:p>
    <w:sectPr w:rsidR="00EF3E35" w:rsidRPr="00570BB9"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0B548" w14:textId="77777777" w:rsidR="0024141A" w:rsidRDefault="0024141A" w:rsidP="00BE6BE0">
      <w:pPr>
        <w:spacing w:after="0" w:line="240" w:lineRule="auto"/>
      </w:pPr>
      <w:r>
        <w:separator/>
      </w:r>
    </w:p>
  </w:endnote>
  <w:endnote w:type="continuationSeparator" w:id="0">
    <w:p w14:paraId="5A0849AF" w14:textId="77777777" w:rsidR="0024141A" w:rsidRDefault="0024141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965DF" w14:textId="77777777" w:rsidR="0024141A" w:rsidRDefault="0024141A" w:rsidP="00BE6BE0">
      <w:pPr>
        <w:spacing w:after="0" w:line="240" w:lineRule="auto"/>
      </w:pPr>
      <w:r>
        <w:separator/>
      </w:r>
    </w:p>
  </w:footnote>
  <w:footnote w:type="continuationSeparator" w:id="0">
    <w:p w14:paraId="606E1754" w14:textId="77777777" w:rsidR="0024141A" w:rsidRDefault="0024141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172590"/>
    <w:rsid w:val="00210467"/>
    <w:rsid w:val="0024141A"/>
    <w:rsid w:val="002767BF"/>
    <w:rsid w:val="002F3933"/>
    <w:rsid w:val="003A000F"/>
    <w:rsid w:val="00570BB9"/>
    <w:rsid w:val="005D6498"/>
    <w:rsid w:val="00630E95"/>
    <w:rsid w:val="006A6816"/>
    <w:rsid w:val="00725044"/>
    <w:rsid w:val="00804A7F"/>
    <w:rsid w:val="00833470"/>
    <w:rsid w:val="00894AAC"/>
    <w:rsid w:val="00923FDB"/>
    <w:rsid w:val="00925D5E"/>
    <w:rsid w:val="009D45F2"/>
    <w:rsid w:val="009E257B"/>
    <w:rsid w:val="00A577DB"/>
    <w:rsid w:val="00A6165E"/>
    <w:rsid w:val="00A82690"/>
    <w:rsid w:val="00AE0996"/>
    <w:rsid w:val="00B642EF"/>
    <w:rsid w:val="00BA64AC"/>
    <w:rsid w:val="00BE6BE0"/>
    <w:rsid w:val="00C07627"/>
    <w:rsid w:val="00C6282A"/>
    <w:rsid w:val="00C83A82"/>
    <w:rsid w:val="00D07A05"/>
    <w:rsid w:val="00EB0612"/>
    <w:rsid w:val="00ED0D33"/>
    <w:rsid w:val="00EF3E35"/>
    <w:rsid w:val="00F31712"/>
    <w:rsid w:val="00F36D02"/>
    <w:rsid w:val="00F64FBC"/>
    <w:rsid w:val="00FA3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hakizu630@gmail.com</cp:lastModifiedBy>
  <cp:revision>4</cp:revision>
  <dcterms:created xsi:type="dcterms:W3CDTF">2025-12-16T09:26:00Z</dcterms:created>
  <dcterms:modified xsi:type="dcterms:W3CDTF">2025-12-16T09:53:00Z</dcterms:modified>
</cp:coreProperties>
</file>