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DAB" w:rsidRDefault="00AA4FD4">
      <w:r>
        <w:t>Name:</w:t>
      </w:r>
      <w:r>
        <w:tab/>
      </w:r>
      <w:r>
        <w:tab/>
      </w:r>
      <w:r>
        <w:tab/>
        <w:t>Tim Kirk</w:t>
      </w:r>
    </w:p>
    <w:p w:rsidR="009C2DAB" w:rsidRDefault="00AA4FD4">
      <w:r>
        <w:t>Student Number:</w:t>
      </w:r>
      <w:r>
        <w:tab/>
        <w:t>1710839</w:t>
      </w:r>
    </w:p>
    <w:p w:rsidR="009C2DAB" w:rsidRDefault="00AA4FD4">
      <w:r>
        <w:t>Module:</w:t>
      </w:r>
      <w:r>
        <w:tab/>
      </w:r>
      <w:r>
        <w:tab/>
        <w:t>HPAR4006</w:t>
      </w:r>
    </w:p>
    <w:p w:rsidR="009C2DAB" w:rsidRDefault="009C2DAB"/>
    <w:p w:rsidR="009C2DAB" w:rsidRDefault="009C2DAB"/>
    <w:p w:rsidR="009C2DAB" w:rsidRDefault="009C2DAB"/>
    <w:p w:rsidR="009C2DAB" w:rsidRDefault="00AA4FD4">
      <w:r>
        <w:tab/>
      </w:r>
      <w:r>
        <w:tab/>
      </w:r>
      <w:r>
        <w:tab/>
      </w:r>
      <w:r>
        <w:tab/>
      </w:r>
      <w:r>
        <w:rPr>
          <w:rFonts w:ascii="Times New Roman" w:hAnsi="Times New Roman"/>
          <w:sz w:val="36"/>
          <w:szCs w:val="36"/>
        </w:rPr>
        <w:t>Portfolio, Part 3:</w:t>
      </w:r>
    </w:p>
    <w:p w:rsidR="009C2DAB" w:rsidRDefault="00AA4FD4">
      <w:pPr>
        <w:rPr>
          <w:rFonts w:ascii="Times New Roman" w:hAnsi="Times New Roman"/>
          <w:sz w:val="36"/>
          <w:szCs w:val="36"/>
        </w:rPr>
      </w:pPr>
      <w:r>
        <w:rPr>
          <w:rFonts w:ascii="Times New Roman" w:hAnsi="Times New Roman"/>
          <w:sz w:val="36"/>
          <w:szCs w:val="36"/>
        </w:rPr>
        <w:tab/>
      </w:r>
      <w:r>
        <w:rPr>
          <w:rFonts w:ascii="Times New Roman" w:hAnsi="Times New Roman"/>
          <w:sz w:val="36"/>
          <w:szCs w:val="36"/>
        </w:rPr>
        <w:tab/>
        <w:t>Childe’s Characteristics of Complex Societies</w:t>
      </w:r>
    </w:p>
    <w:p w:rsidR="009C2DAB" w:rsidRDefault="009C2DAB">
      <w:pPr>
        <w:rPr>
          <w:rFonts w:ascii="Times New Roman" w:hAnsi="Times New Roman"/>
          <w:sz w:val="36"/>
          <w:szCs w:val="36"/>
        </w:rPr>
      </w:pPr>
    </w:p>
    <w:p w:rsidR="009C2DAB" w:rsidRDefault="00AA4FD4">
      <w:pPr>
        <w:rPr>
          <w:rFonts w:ascii="Times New Roman" w:hAnsi="Times New Roman"/>
          <w:sz w:val="28"/>
          <w:szCs w:val="28"/>
        </w:rPr>
      </w:pPr>
      <w:r>
        <w:rPr>
          <w:rFonts w:ascii="Times New Roman" w:hAnsi="Times New Roman"/>
          <w:sz w:val="28"/>
          <w:szCs w:val="28"/>
        </w:rPr>
        <w:t xml:space="preserve">V. Gordon Childe published </w:t>
      </w:r>
      <w:r w:rsidR="00847873">
        <w:rPr>
          <w:rFonts w:ascii="Times New Roman" w:hAnsi="Times New Roman"/>
          <w:sz w:val="28"/>
          <w:szCs w:val="28"/>
        </w:rPr>
        <w:t>his</w:t>
      </w:r>
      <w:r>
        <w:rPr>
          <w:rFonts w:ascii="Times New Roman" w:hAnsi="Times New Roman"/>
          <w:sz w:val="28"/>
          <w:szCs w:val="28"/>
        </w:rPr>
        <w:t xml:space="preserve"> ten point model which he believed define a complex society under the title of “The Urban Revolution” in Town Planning Review, vol. 21 in 1950 (Childe,1950). These concepts were based on his excavations and study of urbanisation in early societies dating back to the 1920’s (Smith, 2009). Smith describes Childe as the most important archaeologist of the twentieth century and despite some modern revisionism, his theories still have great </w:t>
      </w:r>
      <w:r w:rsidR="003C2917">
        <w:rPr>
          <w:rFonts w:ascii="Times New Roman" w:hAnsi="Times New Roman"/>
          <w:sz w:val="28"/>
          <w:szCs w:val="28"/>
        </w:rPr>
        <w:t>relev</w:t>
      </w:r>
      <w:r>
        <w:rPr>
          <w:rFonts w:ascii="Times New Roman" w:hAnsi="Times New Roman"/>
          <w:sz w:val="28"/>
          <w:szCs w:val="28"/>
        </w:rPr>
        <w:t>ance today. If we apply just one of these criteria, “regular ‘foreign’ trade over quite long distance</w:t>
      </w:r>
      <w:r w:rsidR="005525F4">
        <w:rPr>
          <w:rFonts w:ascii="Times New Roman" w:hAnsi="Times New Roman"/>
          <w:sz w:val="28"/>
          <w:szCs w:val="28"/>
        </w:rPr>
        <w:t>s</w:t>
      </w:r>
      <w:r>
        <w:rPr>
          <w:rFonts w:ascii="Times New Roman" w:hAnsi="Times New Roman"/>
          <w:sz w:val="28"/>
          <w:szCs w:val="28"/>
        </w:rPr>
        <w:t xml:space="preserve">” (Childe, 1950:16) to the Phoenician city-states of the bronze </w:t>
      </w:r>
      <w:r w:rsidR="0025603C">
        <w:rPr>
          <w:rFonts w:ascii="Times New Roman" w:hAnsi="Times New Roman"/>
          <w:sz w:val="28"/>
          <w:szCs w:val="28"/>
        </w:rPr>
        <w:t xml:space="preserve">and iron </w:t>
      </w:r>
      <w:r>
        <w:rPr>
          <w:rFonts w:ascii="Times New Roman" w:hAnsi="Times New Roman"/>
          <w:sz w:val="28"/>
          <w:szCs w:val="28"/>
        </w:rPr>
        <w:t>age</w:t>
      </w:r>
      <w:r w:rsidR="0025603C">
        <w:rPr>
          <w:rFonts w:ascii="Times New Roman" w:hAnsi="Times New Roman"/>
          <w:sz w:val="28"/>
          <w:szCs w:val="28"/>
        </w:rPr>
        <w:t>s</w:t>
      </w:r>
      <w:r>
        <w:rPr>
          <w:rFonts w:ascii="Times New Roman" w:hAnsi="Times New Roman"/>
          <w:sz w:val="28"/>
          <w:szCs w:val="28"/>
        </w:rPr>
        <w:t xml:space="preserve"> what do we find?</w:t>
      </w:r>
    </w:p>
    <w:p w:rsidR="009C2DAB" w:rsidRDefault="00AA4FD4">
      <w:pPr>
        <w:rPr>
          <w:rFonts w:ascii="Times New Roman" w:hAnsi="Times New Roman"/>
          <w:sz w:val="28"/>
          <w:szCs w:val="28"/>
        </w:rPr>
      </w:pPr>
      <w:r>
        <w:rPr>
          <w:rFonts w:ascii="Times New Roman" w:hAnsi="Times New Roman"/>
          <w:sz w:val="28"/>
          <w:szCs w:val="28"/>
        </w:rPr>
        <w:t>These city-states initially developed as clients of the Egyptians to supply timber, copper, tin (and later, purple-dyed linen) for use in buildings, shipbuilding, weights and measures, clothing and decoration (</w:t>
      </w:r>
      <w:proofErr w:type="spellStart"/>
      <w:r>
        <w:rPr>
          <w:rFonts w:ascii="Times New Roman" w:hAnsi="Times New Roman"/>
          <w:sz w:val="28"/>
          <w:szCs w:val="28"/>
        </w:rPr>
        <w:t>Markoe</w:t>
      </w:r>
      <w:proofErr w:type="spellEnd"/>
      <w:r>
        <w:rPr>
          <w:rFonts w:ascii="Times New Roman" w:hAnsi="Times New Roman"/>
          <w:sz w:val="28"/>
          <w:szCs w:val="28"/>
        </w:rPr>
        <w:t xml:space="preserve">, 2000; </w:t>
      </w:r>
      <w:proofErr w:type="spellStart"/>
      <w:r>
        <w:rPr>
          <w:rFonts w:ascii="Times New Roman" w:hAnsi="Times New Roman"/>
          <w:sz w:val="28"/>
          <w:szCs w:val="28"/>
        </w:rPr>
        <w:t>Steffy</w:t>
      </w:r>
      <w:proofErr w:type="spellEnd"/>
      <w:r>
        <w:rPr>
          <w:rFonts w:ascii="Times New Roman" w:hAnsi="Times New Roman"/>
          <w:sz w:val="28"/>
          <w:szCs w:val="28"/>
        </w:rPr>
        <w:t>, 1988). How they actually began is not know</w:t>
      </w:r>
      <w:r w:rsidR="003C2917">
        <w:rPr>
          <w:rFonts w:ascii="Times New Roman" w:hAnsi="Times New Roman"/>
          <w:sz w:val="28"/>
          <w:szCs w:val="28"/>
        </w:rPr>
        <w:t xml:space="preserve">n; </w:t>
      </w:r>
      <w:r>
        <w:rPr>
          <w:rFonts w:ascii="Times New Roman" w:hAnsi="Times New Roman"/>
          <w:sz w:val="28"/>
          <w:szCs w:val="28"/>
        </w:rPr>
        <w:t xml:space="preserve">possibly it was as outposts of the Egyptian civilisation, but timber was being supplied for shipbuilding from what is modern-day Lebanon and </w:t>
      </w:r>
      <w:r w:rsidR="0025603C">
        <w:rPr>
          <w:rFonts w:ascii="Times New Roman" w:hAnsi="Times New Roman"/>
          <w:sz w:val="28"/>
          <w:szCs w:val="28"/>
        </w:rPr>
        <w:t xml:space="preserve">coastal, </w:t>
      </w:r>
      <w:r>
        <w:rPr>
          <w:rFonts w:ascii="Times New Roman" w:hAnsi="Times New Roman"/>
          <w:sz w:val="28"/>
          <w:szCs w:val="28"/>
        </w:rPr>
        <w:t>north-western Syria as early as ca. 2600BC (</w:t>
      </w:r>
      <w:proofErr w:type="spellStart"/>
      <w:r>
        <w:rPr>
          <w:rFonts w:ascii="Times New Roman" w:hAnsi="Times New Roman"/>
          <w:sz w:val="28"/>
          <w:szCs w:val="28"/>
        </w:rPr>
        <w:t>Steffy</w:t>
      </w:r>
      <w:proofErr w:type="spellEnd"/>
      <w:r>
        <w:rPr>
          <w:rFonts w:ascii="Times New Roman" w:hAnsi="Times New Roman"/>
          <w:sz w:val="28"/>
          <w:szCs w:val="28"/>
        </w:rPr>
        <w:t>, 1998:23).</w:t>
      </w:r>
    </w:p>
    <w:p w:rsidR="009C2DAB" w:rsidRDefault="00AA4FD4">
      <w:pPr>
        <w:rPr>
          <w:rFonts w:ascii="Times New Roman" w:hAnsi="Times New Roman"/>
          <w:sz w:val="28"/>
          <w:szCs w:val="28"/>
        </w:rPr>
      </w:pPr>
      <w:r>
        <w:rPr>
          <w:rFonts w:ascii="Times New Roman" w:hAnsi="Times New Roman"/>
          <w:sz w:val="28"/>
          <w:szCs w:val="28"/>
        </w:rPr>
        <w:t>By ca. 1550 BC, Phoenician cities such as Tyre and Sidon began to emerge as “urban entities” and by the eleventh century “as a distinct entity characterised by its own language and cultural traditions” (</w:t>
      </w:r>
      <w:proofErr w:type="spellStart"/>
      <w:r>
        <w:rPr>
          <w:rFonts w:ascii="Times New Roman" w:hAnsi="Times New Roman"/>
          <w:sz w:val="28"/>
          <w:szCs w:val="28"/>
        </w:rPr>
        <w:t>Markoe</w:t>
      </w:r>
      <w:proofErr w:type="spellEnd"/>
      <w:r>
        <w:rPr>
          <w:rFonts w:ascii="Times New Roman" w:hAnsi="Times New Roman"/>
          <w:sz w:val="28"/>
          <w:szCs w:val="28"/>
        </w:rPr>
        <w:t>, 2000:11). A system of trade developed utilising standardised and fixed equivalencies of exchange until coinage was introduced around 400BC (</w:t>
      </w:r>
      <w:proofErr w:type="spellStart"/>
      <w:r>
        <w:rPr>
          <w:rFonts w:ascii="Times New Roman" w:hAnsi="Times New Roman"/>
          <w:sz w:val="28"/>
          <w:szCs w:val="28"/>
        </w:rPr>
        <w:t>Markoe</w:t>
      </w:r>
      <w:proofErr w:type="spellEnd"/>
      <w:r>
        <w:rPr>
          <w:rFonts w:ascii="Times New Roman" w:hAnsi="Times New Roman"/>
          <w:sz w:val="28"/>
          <w:szCs w:val="28"/>
        </w:rPr>
        <w:t>, 2000:93;107).</w:t>
      </w:r>
    </w:p>
    <w:p w:rsidR="009C2DAB" w:rsidRDefault="00AA4FD4">
      <w:pPr>
        <w:rPr>
          <w:rFonts w:ascii="Times New Roman" w:hAnsi="Times New Roman"/>
          <w:sz w:val="28"/>
          <w:szCs w:val="28"/>
        </w:rPr>
      </w:pPr>
      <w:r>
        <w:rPr>
          <w:rFonts w:ascii="Times New Roman" w:hAnsi="Times New Roman"/>
          <w:sz w:val="28"/>
          <w:szCs w:val="28"/>
        </w:rPr>
        <w:t>The measure of this developmental change can be seen in ‘</w:t>
      </w:r>
      <w:r w:rsidR="00847873">
        <w:rPr>
          <w:rFonts w:ascii="Times New Roman" w:hAnsi="Times New Roman"/>
          <w:sz w:val="28"/>
          <w:szCs w:val="28"/>
        </w:rPr>
        <w:t>T</w:t>
      </w:r>
      <w:r>
        <w:rPr>
          <w:rFonts w:ascii="Times New Roman" w:hAnsi="Times New Roman"/>
          <w:sz w:val="28"/>
          <w:szCs w:val="28"/>
        </w:rPr>
        <w:t xml:space="preserve">he Report of </w:t>
      </w:r>
      <w:proofErr w:type="spellStart"/>
      <w:r>
        <w:rPr>
          <w:rFonts w:ascii="Times New Roman" w:hAnsi="Times New Roman"/>
          <w:sz w:val="28"/>
          <w:szCs w:val="28"/>
        </w:rPr>
        <w:t>Wenamun</w:t>
      </w:r>
      <w:proofErr w:type="spellEnd"/>
      <w:r>
        <w:rPr>
          <w:rFonts w:ascii="Times New Roman" w:hAnsi="Times New Roman"/>
          <w:sz w:val="28"/>
          <w:szCs w:val="28"/>
        </w:rPr>
        <w:t xml:space="preserve">’, a papyrus dating to ca.1200BC and found in 1891 in Upper Egypt (Breasted, 1905). |It describes the trials of </w:t>
      </w:r>
      <w:proofErr w:type="spellStart"/>
      <w:r>
        <w:rPr>
          <w:rFonts w:ascii="Times New Roman" w:hAnsi="Times New Roman"/>
          <w:sz w:val="28"/>
          <w:szCs w:val="28"/>
        </w:rPr>
        <w:t>Wenamun</w:t>
      </w:r>
      <w:proofErr w:type="spellEnd"/>
      <w:r>
        <w:rPr>
          <w:rFonts w:ascii="Times New Roman" w:hAnsi="Times New Roman"/>
          <w:sz w:val="28"/>
          <w:szCs w:val="28"/>
        </w:rPr>
        <w:t xml:space="preserve">, an official of </w:t>
      </w:r>
      <w:proofErr w:type="spellStart"/>
      <w:r>
        <w:rPr>
          <w:rFonts w:ascii="Times New Roman" w:hAnsi="Times New Roman"/>
          <w:sz w:val="28"/>
          <w:szCs w:val="28"/>
        </w:rPr>
        <w:t>Hrihor</w:t>
      </w:r>
      <w:proofErr w:type="spellEnd"/>
      <w:r>
        <w:rPr>
          <w:rFonts w:ascii="Times New Roman" w:hAnsi="Times New Roman"/>
          <w:sz w:val="28"/>
          <w:szCs w:val="28"/>
        </w:rPr>
        <w:t>, high-priest of Amon who “although not king, is in control at Thebes” (Breasted, 1905:100)</w:t>
      </w:r>
      <w:r w:rsidR="003C2917">
        <w:rPr>
          <w:rFonts w:ascii="Times New Roman" w:hAnsi="Times New Roman"/>
          <w:sz w:val="28"/>
          <w:szCs w:val="28"/>
        </w:rPr>
        <w:t xml:space="preserve"> u</w:t>
      </w:r>
      <w:r>
        <w:rPr>
          <w:rFonts w:ascii="Times New Roman" w:hAnsi="Times New Roman"/>
          <w:sz w:val="28"/>
          <w:szCs w:val="28"/>
        </w:rPr>
        <w:t xml:space="preserve">nder the rule of </w:t>
      </w:r>
      <w:proofErr w:type="spellStart"/>
      <w:r>
        <w:rPr>
          <w:rFonts w:ascii="Times New Roman" w:hAnsi="Times New Roman"/>
          <w:sz w:val="28"/>
          <w:szCs w:val="28"/>
        </w:rPr>
        <w:t>RamsesXII</w:t>
      </w:r>
      <w:proofErr w:type="spellEnd"/>
      <w:r>
        <w:rPr>
          <w:rFonts w:ascii="Times New Roman" w:hAnsi="Times New Roman"/>
          <w:sz w:val="28"/>
          <w:szCs w:val="28"/>
        </w:rPr>
        <w:t xml:space="preserve">. </w:t>
      </w:r>
      <w:proofErr w:type="spellStart"/>
      <w:r>
        <w:rPr>
          <w:rFonts w:ascii="Times New Roman" w:hAnsi="Times New Roman"/>
          <w:sz w:val="28"/>
          <w:szCs w:val="28"/>
        </w:rPr>
        <w:t>Wenamun</w:t>
      </w:r>
      <w:proofErr w:type="spellEnd"/>
      <w:r>
        <w:rPr>
          <w:rFonts w:ascii="Times New Roman" w:hAnsi="Times New Roman"/>
          <w:sz w:val="28"/>
          <w:szCs w:val="28"/>
        </w:rPr>
        <w:t xml:space="preserve"> is sent to Byblos to purchase </w:t>
      </w:r>
      <w:r>
        <w:rPr>
          <w:rFonts w:ascii="Times New Roman" w:hAnsi="Times New Roman"/>
          <w:sz w:val="28"/>
          <w:szCs w:val="28"/>
        </w:rPr>
        <w:lastRenderedPageBreak/>
        <w:t>timber and was treated “with scant respect” (Breasted, 1905:101). Breasted notes that “in the Lebanon region, once conquered and controlled by the Pharaohs, they are no longer feared” (Breasted,1905:102).</w:t>
      </w:r>
    </w:p>
    <w:p w:rsidR="009C2DAB" w:rsidRDefault="00AA4FD4">
      <w:pPr>
        <w:rPr>
          <w:rFonts w:ascii="Times New Roman" w:hAnsi="Times New Roman"/>
          <w:sz w:val="28"/>
          <w:szCs w:val="28"/>
        </w:rPr>
      </w:pPr>
      <w:r>
        <w:rPr>
          <w:rFonts w:ascii="Times New Roman" w:hAnsi="Times New Roman"/>
          <w:sz w:val="28"/>
          <w:szCs w:val="28"/>
        </w:rPr>
        <w:t xml:space="preserve">Archaeological excavation of wreck sites at Cape </w:t>
      </w:r>
      <w:proofErr w:type="spellStart"/>
      <w:r>
        <w:rPr>
          <w:rFonts w:ascii="Times New Roman" w:hAnsi="Times New Roman"/>
          <w:sz w:val="28"/>
          <w:szCs w:val="28"/>
        </w:rPr>
        <w:t>Gelydonya</w:t>
      </w:r>
      <w:proofErr w:type="spellEnd"/>
      <w:r>
        <w:rPr>
          <w:rFonts w:ascii="Times New Roman" w:hAnsi="Times New Roman"/>
          <w:sz w:val="28"/>
          <w:szCs w:val="28"/>
        </w:rPr>
        <w:t xml:space="preserve"> and </w:t>
      </w:r>
      <w:proofErr w:type="spellStart"/>
      <w:r>
        <w:rPr>
          <w:rFonts w:ascii="Times New Roman" w:hAnsi="Times New Roman"/>
          <w:sz w:val="28"/>
          <w:szCs w:val="28"/>
        </w:rPr>
        <w:t>Uluburun</w:t>
      </w:r>
      <w:proofErr w:type="spellEnd"/>
      <w:r>
        <w:rPr>
          <w:rFonts w:ascii="Times New Roman" w:hAnsi="Times New Roman"/>
          <w:sz w:val="28"/>
          <w:szCs w:val="28"/>
        </w:rPr>
        <w:t xml:space="preserve"> (</w:t>
      </w:r>
      <w:r w:rsidR="00847873">
        <w:rPr>
          <w:rFonts w:ascii="Times New Roman" w:hAnsi="Times New Roman"/>
          <w:sz w:val="28"/>
          <w:szCs w:val="28"/>
        </w:rPr>
        <w:t xml:space="preserve">along the </w:t>
      </w:r>
      <w:r>
        <w:rPr>
          <w:rFonts w:ascii="Times New Roman" w:hAnsi="Times New Roman"/>
          <w:sz w:val="28"/>
          <w:szCs w:val="28"/>
        </w:rPr>
        <w:t>southern coast of modern-day Turkey) by George Bass in 1960 and 1984-94 respectively, have shown that Phoenician ships were ranging west of Cyprus by ca. 1300BC and carrying a wide range of goods including copper and tin</w:t>
      </w:r>
      <w:r w:rsidR="0025603C">
        <w:rPr>
          <w:rFonts w:ascii="Times New Roman" w:hAnsi="Times New Roman"/>
          <w:sz w:val="28"/>
          <w:szCs w:val="28"/>
        </w:rPr>
        <w:t xml:space="preserve"> and standard-sized amphora</w:t>
      </w:r>
      <w:r>
        <w:rPr>
          <w:rFonts w:ascii="Times New Roman" w:hAnsi="Times New Roman"/>
          <w:sz w:val="28"/>
          <w:szCs w:val="28"/>
        </w:rPr>
        <w:t xml:space="preserve"> (McGrail, 2014:66,67). Large amounts of this copper appear to have come from Cyprus, where Phoenician influence is being increasingly understood by the excavation of pottery finds around </w:t>
      </w:r>
      <w:proofErr w:type="spellStart"/>
      <w:r>
        <w:rPr>
          <w:rFonts w:ascii="Times New Roman" w:hAnsi="Times New Roman"/>
          <w:sz w:val="28"/>
          <w:szCs w:val="28"/>
        </w:rPr>
        <w:t>Kition</w:t>
      </w:r>
      <w:proofErr w:type="spellEnd"/>
      <w:r>
        <w:rPr>
          <w:rFonts w:ascii="Times New Roman" w:hAnsi="Times New Roman"/>
          <w:sz w:val="28"/>
          <w:szCs w:val="28"/>
        </w:rPr>
        <w:t xml:space="preserve"> (</w:t>
      </w:r>
      <w:proofErr w:type="spellStart"/>
      <w:r w:rsidR="00B76B21">
        <w:rPr>
          <w:rFonts w:ascii="Times New Roman" w:hAnsi="Times New Roman"/>
          <w:sz w:val="28"/>
          <w:szCs w:val="28"/>
        </w:rPr>
        <w:t>Steffy</w:t>
      </w:r>
      <w:proofErr w:type="spellEnd"/>
      <w:r w:rsidR="00B76B21">
        <w:rPr>
          <w:rFonts w:ascii="Times New Roman" w:hAnsi="Times New Roman"/>
          <w:sz w:val="28"/>
          <w:szCs w:val="28"/>
        </w:rPr>
        <w:t xml:space="preserve">, 1998:36; </w:t>
      </w:r>
      <w:r w:rsidR="00DD0CD7">
        <w:rPr>
          <w:rFonts w:ascii="Times New Roman" w:hAnsi="Times New Roman"/>
          <w:sz w:val="28"/>
          <w:szCs w:val="28"/>
        </w:rPr>
        <w:t>Steele, 2014:57</w:t>
      </w:r>
      <w:r w:rsidR="005525F4">
        <w:rPr>
          <w:rFonts w:ascii="Times New Roman" w:hAnsi="Times New Roman"/>
          <w:sz w:val="28"/>
          <w:szCs w:val="28"/>
        </w:rPr>
        <w:t>8</w:t>
      </w:r>
      <w:r>
        <w:rPr>
          <w:rFonts w:ascii="Times New Roman" w:hAnsi="Times New Roman"/>
          <w:sz w:val="28"/>
          <w:szCs w:val="28"/>
        </w:rPr>
        <w:t>).</w:t>
      </w:r>
    </w:p>
    <w:p w:rsidR="009C2DAB" w:rsidRDefault="00AA4FD4">
      <w:pPr>
        <w:rPr>
          <w:rFonts w:ascii="Times New Roman" w:hAnsi="Times New Roman"/>
          <w:sz w:val="28"/>
          <w:szCs w:val="28"/>
        </w:rPr>
      </w:pPr>
      <w:r>
        <w:rPr>
          <w:rFonts w:ascii="Times New Roman" w:hAnsi="Times New Roman"/>
          <w:sz w:val="28"/>
          <w:szCs w:val="28"/>
        </w:rPr>
        <w:t xml:space="preserve">Despite periods of dominance by Assyria, Babylon and a resurgent Egypt, Phoenician cities continued to expand their trade throughout the islands of the Mediterranean which led to the founding of the city of </w:t>
      </w:r>
      <w:r w:rsidR="00CF5C7D">
        <w:rPr>
          <w:rFonts w:ascii="Times New Roman" w:hAnsi="Times New Roman"/>
          <w:sz w:val="28"/>
          <w:szCs w:val="28"/>
        </w:rPr>
        <w:t xml:space="preserve">Utica, possibly (according to Pliny the Elder) as early as ca. 1100BC, although doubt has been cast upon this early date due to Pliny writing nearly 1200 years later and </w:t>
      </w:r>
      <w:r w:rsidR="00847873">
        <w:rPr>
          <w:rFonts w:ascii="Times New Roman" w:hAnsi="Times New Roman"/>
          <w:sz w:val="28"/>
          <w:szCs w:val="28"/>
        </w:rPr>
        <w:t xml:space="preserve">to </w:t>
      </w:r>
      <w:r w:rsidR="003C2917">
        <w:rPr>
          <w:rFonts w:ascii="Times New Roman" w:hAnsi="Times New Roman"/>
          <w:sz w:val="28"/>
          <w:szCs w:val="28"/>
        </w:rPr>
        <w:t xml:space="preserve">a </w:t>
      </w:r>
      <w:r w:rsidR="00CF5C7D">
        <w:rPr>
          <w:rFonts w:ascii="Times New Roman" w:hAnsi="Times New Roman"/>
          <w:sz w:val="28"/>
          <w:szCs w:val="28"/>
        </w:rPr>
        <w:t>lack of support in the archaeological record (</w:t>
      </w:r>
      <w:proofErr w:type="spellStart"/>
      <w:r w:rsidR="00CF5C7D">
        <w:rPr>
          <w:rFonts w:ascii="Times New Roman" w:hAnsi="Times New Roman"/>
          <w:sz w:val="28"/>
          <w:szCs w:val="28"/>
        </w:rPr>
        <w:t>Markoe</w:t>
      </w:r>
      <w:proofErr w:type="spellEnd"/>
      <w:r w:rsidR="00CF5C7D">
        <w:rPr>
          <w:rFonts w:ascii="Times New Roman" w:hAnsi="Times New Roman"/>
          <w:sz w:val="28"/>
          <w:szCs w:val="28"/>
        </w:rPr>
        <w:t>, 200:181)</w:t>
      </w:r>
      <w:r w:rsidR="003C2917">
        <w:rPr>
          <w:rFonts w:ascii="Times New Roman" w:hAnsi="Times New Roman"/>
          <w:sz w:val="28"/>
          <w:szCs w:val="28"/>
        </w:rPr>
        <w:t>,</w:t>
      </w:r>
      <w:r w:rsidR="00CF5C7D">
        <w:rPr>
          <w:rFonts w:ascii="Times New Roman" w:hAnsi="Times New Roman"/>
          <w:sz w:val="28"/>
          <w:szCs w:val="28"/>
        </w:rPr>
        <w:t xml:space="preserve"> and </w:t>
      </w:r>
      <w:r w:rsidR="003C2917">
        <w:rPr>
          <w:rFonts w:ascii="Times New Roman" w:hAnsi="Times New Roman"/>
          <w:sz w:val="28"/>
          <w:szCs w:val="28"/>
        </w:rPr>
        <w:t xml:space="preserve">of </w:t>
      </w:r>
      <w:r>
        <w:rPr>
          <w:rFonts w:ascii="Times New Roman" w:hAnsi="Times New Roman"/>
          <w:sz w:val="28"/>
          <w:szCs w:val="28"/>
        </w:rPr>
        <w:t>Carthage</w:t>
      </w:r>
      <w:r w:rsidR="00847873">
        <w:rPr>
          <w:rFonts w:ascii="Times New Roman" w:hAnsi="Times New Roman"/>
          <w:sz w:val="28"/>
          <w:szCs w:val="28"/>
        </w:rPr>
        <w:t xml:space="preserve"> (traditionally around 813 BC)</w:t>
      </w:r>
      <w:r>
        <w:rPr>
          <w:rFonts w:ascii="Times New Roman" w:hAnsi="Times New Roman"/>
          <w:sz w:val="28"/>
          <w:szCs w:val="28"/>
        </w:rPr>
        <w:t xml:space="preserve">, </w:t>
      </w:r>
      <w:r w:rsidR="00847873">
        <w:rPr>
          <w:rFonts w:ascii="Times New Roman" w:hAnsi="Times New Roman"/>
          <w:sz w:val="28"/>
          <w:szCs w:val="28"/>
        </w:rPr>
        <w:t xml:space="preserve">both </w:t>
      </w:r>
      <w:r>
        <w:rPr>
          <w:rFonts w:ascii="Times New Roman" w:hAnsi="Times New Roman"/>
          <w:sz w:val="28"/>
          <w:szCs w:val="28"/>
        </w:rPr>
        <w:t>som</w:t>
      </w:r>
      <w:r w:rsidR="00847873">
        <w:rPr>
          <w:rFonts w:ascii="Times New Roman" w:hAnsi="Times New Roman"/>
          <w:sz w:val="28"/>
          <w:szCs w:val="28"/>
        </w:rPr>
        <w:t xml:space="preserve">e </w:t>
      </w:r>
      <w:r>
        <w:rPr>
          <w:rFonts w:ascii="Times New Roman" w:hAnsi="Times New Roman"/>
          <w:sz w:val="28"/>
          <w:szCs w:val="28"/>
        </w:rPr>
        <w:t xml:space="preserve">1000 miles West of the </w:t>
      </w:r>
      <w:r w:rsidR="003C7FDD">
        <w:rPr>
          <w:rFonts w:ascii="Times New Roman" w:hAnsi="Times New Roman"/>
          <w:sz w:val="28"/>
          <w:szCs w:val="28"/>
        </w:rPr>
        <w:t>parent</w:t>
      </w:r>
      <w:r>
        <w:rPr>
          <w:rFonts w:ascii="Times New Roman" w:hAnsi="Times New Roman"/>
          <w:sz w:val="28"/>
          <w:szCs w:val="28"/>
        </w:rPr>
        <w:t xml:space="preserve"> cities, traditionally around 813BC (</w:t>
      </w:r>
      <w:proofErr w:type="spellStart"/>
      <w:r>
        <w:rPr>
          <w:rFonts w:ascii="Times New Roman" w:hAnsi="Times New Roman"/>
          <w:sz w:val="28"/>
          <w:szCs w:val="28"/>
        </w:rPr>
        <w:t>Markoe</w:t>
      </w:r>
      <w:proofErr w:type="spellEnd"/>
      <w:r>
        <w:rPr>
          <w:rFonts w:ascii="Times New Roman" w:hAnsi="Times New Roman"/>
          <w:sz w:val="28"/>
          <w:szCs w:val="28"/>
        </w:rPr>
        <w:t xml:space="preserve">, 2000:181). Like other cities, </w:t>
      </w:r>
      <w:r w:rsidR="00CF5C7D">
        <w:rPr>
          <w:rFonts w:ascii="Times New Roman" w:hAnsi="Times New Roman"/>
          <w:sz w:val="28"/>
          <w:szCs w:val="28"/>
        </w:rPr>
        <w:t xml:space="preserve">Utica and </w:t>
      </w:r>
      <w:r>
        <w:rPr>
          <w:rFonts w:ascii="Times New Roman" w:hAnsi="Times New Roman"/>
          <w:sz w:val="28"/>
          <w:szCs w:val="28"/>
        </w:rPr>
        <w:t>Carthage had the typical Phoenician assets of a sheltered harbour and open access to rich inland sources of goods and raw materials which the Phoenicians exploited and traded all around the Mediterranean</w:t>
      </w:r>
      <w:r w:rsidR="00847873">
        <w:rPr>
          <w:rFonts w:ascii="Times New Roman" w:hAnsi="Times New Roman"/>
          <w:sz w:val="28"/>
          <w:szCs w:val="28"/>
        </w:rPr>
        <w:t xml:space="preserve"> and show a clear commitment to utilising certain geographic features in their urban planning</w:t>
      </w:r>
      <w:r>
        <w:rPr>
          <w:rFonts w:ascii="Times New Roman" w:hAnsi="Times New Roman"/>
          <w:sz w:val="28"/>
          <w:szCs w:val="28"/>
        </w:rPr>
        <w:t>. Tyre even established an outpost west of the Straits of Gibraltar at modern Cadiz in Spain (</w:t>
      </w:r>
      <w:proofErr w:type="spellStart"/>
      <w:r>
        <w:rPr>
          <w:rFonts w:ascii="Times New Roman" w:hAnsi="Times New Roman"/>
          <w:sz w:val="28"/>
          <w:szCs w:val="28"/>
        </w:rPr>
        <w:t>Markoe</w:t>
      </w:r>
      <w:proofErr w:type="spellEnd"/>
      <w:r>
        <w:rPr>
          <w:rFonts w:ascii="Times New Roman" w:hAnsi="Times New Roman"/>
          <w:sz w:val="28"/>
          <w:szCs w:val="28"/>
        </w:rPr>
        <w:t>, 2000:182) to secure further supplies of ores and precious metals.</w:t>
      </w:r>
    </w:p>
    <w:p w:rsidR="009C2DAB" w:rsidRDefault="00AA4FD4">
      <w:pPr>
        <w:rPr>
          <w:rFonts w:ascii="Times New Roman" w:hAnsi="Times New Roman"/>
          <w:sz w:val="28"/>
          <w:szCs w:val="28"/>
        </w:rPr>
      </w:pPr>
      <w:r>
        <w:rPr>
          <w:rFonts w:ascii="Times New Roman" w:hAnsi="Times New Roman"/>
          <w:sz w:val="28"/>
          <w:szCs w:val="28"/>
        </w:rPr>
        <w:t>For well over a thousand years</w:t>
      </w:r>
      <w:r w:rsidR="003C7FDD">
        <w:rPr>
          <w:rFonts w:ascii="Times New Roman" w:hAnsi="Times New Roman"/>
          <w:sz w:val="28"/>
          <w:szCs w:val="28"/>
        </w:rPr>
        <w:t>,</w:t>
      </w:r>
      <w:r>
        <w:rPr>
          <w:rFonts w:ascii="Times New Roman" w:hAnsi="Times New Roman"/>
          <w:sz w:val="28"/>
          <w:szCs w:val="28"/>
        </w:rPr>
        <w:t xml:space="preserve"> Phoenician cities - whilst at times in competition and conflict with each other</w:t>
      </w:r>
      <w:bookmarkStart w:id="0" w:name="_GoBack"/>
      <w:bookmarkEnd w:id="0"/>
      <w:r>
        <w:rPr>
          <w:rFonts w:ascii="Times New Roman" w:hAnsi="Times New Roman"/>
          <w:sz w:val="28"/>
          <w:szCs w:val="28"/>
        </w:rPr>
        <w:t xml:space="preserve"> and at others submitted to other empires and forced to pay tribute to them - continued to develop new products and new markets to the point where they were recognised as masters of the seas and as such often transported allies to war when they had insufficient sea-going resources of their own (</w:t>
      </w:r>
      <w:proofErr w:type="spellStart"/>
      <w:r>
        <w:rPr>
          <w:rFonts w:ascii="Times New Roman" w:hAnsi="Times New Roman"/>
          <w:sz w:val="28"/>
          <w:szCs w:val="28"/>
        </w:rPr>
        <w:t>Markoe</w:t>
      </w:r>
      <w:proofErr w:type="spellEnd"/>
      <w:r>
        <w:rPr>
          <w:rFonts w:ascii="Times New Roman" w:hAnsi="Times New Roman"/>
          <w:sz w:val="28"/>
          <w:szCs w:val="28"/>
        </w:rPr>
        <w:t>, 2000:50;53;58). It was only with the emergence of Greek city-states and then the might of Rome that this long-lasting and far-reaching civilisation became subsumed into greater civilisations.</w:t>
      </w:r>
      <w:r w:rsidR="003C2917">
        <w:rPr>
          <w:rFonts w:ascii="Times New Roman" w:hAnsi="Times New Roman"/>
          <w:sz w:val="28"/>
          <w:szCs w:val="28"/>
        </w:rPr>
        <w:t xml:space="preserve"> In applying Childe’s criteria, we can clearly see that </w:t>
      </w:r>
      <w:r w:rsidR="005525F4">
        <w:rPr>
          <w:rFonts w:ascii="Times New Roman" w:hAnsi="Times New Roman"/>
          <w:sz w:val="28"/>
          <w:szCs w:val="28"/>
        </w:rPr>
        <w:t xml:space="preserve">the </w:t>
      </w:r>
      <w:r w:rsidR="003C2917">
        <w:rPr>
          <w:rFonts w:ascii="Times New Roman" w:hAnsi="Times New Roman"/>
          <w:sz w:val="28"/>
          <w:szCs w:val="28"/>
        </w:rPr>
        <w:t>Phoenician civilisation was just that; a complex, growing and constantly developing Civilisation.</w:t>
      </w:r>
    </w:p>
    <w:p w:rsidR="009C2DAB" w:rsidRDefault="009C2DAB">
      <w:pPr>
        <w:rPr>
          <w:rFonts w:ascii="Times New Roman" w:hAnsi="Times New Roman"/>
          <w:sz w:val="28"/>
          <w:szCs w:val="28"/>
        </w:rPr>
      </w:pPr>
    </w:p>
    <w:p w:rsidR="009C2DAB" w:rsidRDefault="009C2DAB">
      <w:pPr>
        <w:rPr>
          <w:rFonts w:ascii="Times New Roman" w:hAnsi="Times New Roman"/>
          <w:sz w:val="28"/>
          <w:szCs w:val="28"/>
        </w:rPr>
      </w:pPr>
    </w:p>
    <w:p w:rsidR="009C2DAB" w:rsidRDefault="00AA4FD4">
      <w:r>
        <w:rPr>
          <w:rFonts w:ascii="Times New Roman" w:hAnsi="Times New Roman"/>
          <w:b/>
          <w:sz w:val="28"/>
          <w:szCs w:val="28"/>
        </w:rPr>
        <w:lastRenderedPageBreak/>
        <w:t xml:space="preserve">Bibliography </w:t>
      </w:r>
    </w:p>
    <w:p w:rsidR="009C2DAB" w:rsidRDefault="009C2DAB">
      <w:pPr>
        <w:rPr>
          <w:rFonts w:ascii="Times New Roman" w:hAnsi="Times New Roman"/>
          <w:sz w:val="28"/>
          <w:szCs w:val="28"/>
        </w:rPr>
      </w:pPr>
    </w:p>
    <w:p w:rsidR="009C2DAB" w:rsidRDefault="00AA4FD4">
      <w:r>
        <w:rPr>
          <w:rFonts w:ascii="Times New Roman" w:hAnsi="Times New Roman"/>
          <w:b/>
          <w:sz w:val="28"/>
          <w:szCs w:val="28"/>
        </w:rPr>
        <w:t>Breasted, J.H.</w:t>
      </w:r>
      <w:r>
        <w:rPr>
          <w:rFonts w:ascii="Times New Roman" w:hAnsi="Times New Roman"/>
          <w:sz w:val="28"/>
          <w:szCs w:val="28"/>
        </w:rPr>
        <w:t xml:space="preserve"> </w:t>
      </w:r>
      <w:r w:rsidR="0025603C">
        <w:rPr>
          <w:rFonts w:ascii="Times New Roman" w:hAnsi="Times New Roman"/>
          <w:sz w:val="28"/>
          <w:szCs w:val="28"/>
        </w:rPr>
        <w:t>(</w:t>
      </w:r>
      <w:r>
        <w:rPr>
          <w:rFonts w:ascii="Times New Roman" w:hAnsi="Times New Roman"/>
          <w:sz w:val="28"/>
          <w:szCs w:val="28"/>
        </w:rPr>
        <w:t>1905</w:t>
      </w:r>
      <w:r w:rsidR="0025603C">
        <w:rPr>
          <w:rFonts w:ascii="Times New Roman" w:hAnsi="Times New Roman"/>
          <w:sz w:val="28"/>
          <w:szCs w:val="28"/>
        </w:rPr>
        <w:t>)</w:t>
      </w:r>
      <w:r>
        <w:rPr>
          <w:rFonts w:ascii="Times New Roman" w:hAnsi="Times New Roman"/>
          <w:sz w:val="28"/>
          <w:szCs w:val="28"/>
        </w:rPr>
        <w:t xml:space="preserve">. </w:t>
      </w:r>
      <w:r>
        <w:rPr>
          <w:rFonts w:ascii="Times New Roman" w:hAnsi="Times New Roman"/>
          <w:i/>
          <w:sz w:val="28"/>
          <w:szCs w:val="28"/>
        </w:rPr>
        <w:t xml:space="preserve">The Report of </w:t>
      </w:r>
      <w:proofErr w:type="spellStart"/>
      <w:r>
        <w:rPr>
          <w:rFonts w:ascii="Times New Roman" w:hAnsi="Times New Roman"/>
          <w:i/>
          <w:sz w:val="28"/>
          <w:szCs w:val="28"/>
        </w:rPr>
        <w:t>Wenamun</w:t>
      </w:r>
      <w:proofErr w:type="spellEnd"/>
      <w:r>
        <w:rPr>
          <w:rFonts w:ascii="Times New Roman" w:hAnsi="Times New Roman"/>
          <w:sz w:val="28"/>
          <w:szCs w:val="28"/>
        </w:rPr>
        <w:t>. In The American Journal of Semitic Languages and Literatures, vol. 22, no.2 (Jan.1905) Chicago: University of Chicago Press. Accessed via. JSTOR (</w:t>
      </w:r>
      <w:hyperlink r:id="rId6" w:history="1">
        <w:r>
          <w:rPr>
            <w:rStyle w:val="Hyperlink"/>
            <w:rFonts w:ascii="Times New Roman" w:hAnsi="Times New Roman"/>
            <w:sz w:val="28"/>
            <w:szCs w:val="28"/>
          </w:rPr>
          <w:t>https://www.jstor.org/stable/527967</w:t>
        </w:r>
      </w:hyperlink>
      <w:r>
        <w:rPr>
          <w:rFonts w:ascii="Times New Roman" w:hAnsi="Times New Roman"/>
          <w:sz w:val="28"/>
          <w:szCs w:val="28"/>
        </w:rPr>
        <w:t>), last accessed 22.01.2019.</w:t>
      </w:r>
    </w:p>
    <w:p w:rsidR="009C2DAB" w:rsidRDefault="00AA4FD4">
      <w:r>
        <w:rPr>
          <w:rFonts w:ascii="Times New Roman" w:hAnsi="Times New Roman"/>
          <w:b/>
          <w:sz w:val="28"/>
          <w:szCs w:val="28"/>
        </w:rPr>
        <w:t>Childe, V.G.</w:t>
      </w:r>
      <w:r>
        <w:rPr>
          <w:rFonts w:ascii="Times New Roman" w:hAnsi="Times New Roman"/>
          <w:sz w:val="28"/>
          <w:szCs w:val="28"/>
        </w:rPr>
        <w:t xml:space="preserve"> </w:t>
      </w:r>
      <w:r w:rsidR="0025603C">
        <w:rPr>
          <w:rFonts w:ascii="Times New Roman" w:hAnsi="Times New Roman"/>
          <w:sz w:val="28"/>
          <w:szCs w:val="28"/>
        </w:rPr>
        <w:t>(</w:t>
      </w:r>
      <w:r>
        <w:rPr>
          <w:rFonts w:ascii="Times New Roman" w:hAnsi="Times New Roman"/>
          <w:sz w:val="28"/>
          <w:szCs w:val="28"/>
        </w:rPr>
        <w:t>1950</w:t>
      </w:r>
      <w:r w:rsidR="0025603C">
        <w:rPr>
          <w:rFonts w:ascii="Times New Roman" w:hAnsi="Times New Roman"/>
          <w:sz w:val="28"/>
          <w:szCs w:val="28"/>
        </w:rPr>
        <w:t>)</w:t>
      </w:r>
      <w:r>
        <w:rPr>
          <w:rFonts w:ascii="Times New Roman" w:hAnsi="Times New Roman"/>
          <w:sz w:val="28"/>
          <w:szCs w:val="28"/>
        </w:rPr>
        <w:t xml:space="preserve">. </w:t>
      </w:r>
      <w:r>
        <w:rPr>
          <w:rFonts w:ascii="Times New Roman" w:hAnsi="Times New Roman"/>
          <w:i/>
          <w:sz w:val="28"/>
          <w:szCs w:val="28"/>
        </w:rPr>
        <w:t xml:space="preserve">The Urban Revolution. </w:t>
      </w:r>
      <w:r>
        <w:rPr>
          <w:rFonts w:ascii="Times New Roman" w:hAnsi="Times New Roman"/>
          <w:sz w:val="28"/>
          <w:szCs w:val="28"/>
        </w:rPr>
        <w:t xml:space="preserve">In </w:t>
      </w:r>
      <w:r w:rsidRPr="00DD0CD7">
        <w:rPr>
          <w:rFonts w:ascii="Times New Roman" w:hAnsi="Times New Roman"/>
          <w:i/>
          <w:sz w:val="28"/>
          <w:szCs w:val="28"/>
        </w:rPr>
        <w:t>Town Planning Review, vol.21, issue 1</w:t>
      </w:r>
      <w:r>
        <w:rPr>
          <w:rFonts w:ascii="Times New Roman" w:hAnsi="Times New Roman"/>
          <w:sz w:val="28"/>
          <w:szCs w:val="28"/>
        </w:rPr>
        <w:t>. Liverpool: Liverpool University Press.</w:t>
      </w:r>
    </w:p>
    <w:p w:rsidR="009C2DAB" w:rsidRDefault="00AA4FD4">
      <w:proofErr w:type="spellStart"/>
      <w:r>
        <w:rPr>
          <w:rFonts w:ascii="Times New Roman" w:hAnsi="Times New Roman"/>
          <w:b/>
          <w:sz w:val="28"/>
          <w:szCs w:val="28"/>
        </w:rPr>
        <w:t>Markoe</w:t>
      </w:r>
      <w:proofErr w:type="spellEnd"/>
      <w:r>
        <w:rPr>
          <w:rFonts w:ascii="Times New Roman" w:hAnsi="Times New Roman"/>
          <w:b/>
          <w:sz w:val="28"/>
          <w:szCs w:val="28"/>
        </w:rPr>
        <w:t>, G.</w:t>
      </w:r>
      <w:r>
        <w:rPr>
          <w:rFonts w:ascii="Times New Roman" w:hAnsi="Times New Roman"/>
          <w:sz w:val="28"/>
          <w:szCs w:val="28"/>
        </w:rPr>
        <w:t xml:space="preserve"> </w:t>
      </w:r>
      <w:r w:rsidR="0025603C">
        <w:rPr>
          <w:rFonts w:ascii="Times New Roman" w:hAnsi="Times New Roman"/>
          <w:sz w:val="28"/>
          <w:szCs w:val="28"/>
        </w:rPr>
        <w:t>(</w:t>
      </w:r>
      <w:r>
        <w:rPr>
          <w:rFonts w:ascii="Times New Roman" w:hAnsi="Times New Roman"/>
          <w:sz w:val="28"/>
          <w:szCs w:val="28"/>
        </w:rPr>
        <w:t>2000</w:t>
      </w:r>
      <w:r w:rsidR="0025603C">
        <w:rPr>
          <w:rFonts w:ascii="Times New Roman" w:hAnsi="Times New Roman"/>
          <w:sz w:val="28"/>
          <w:szCs w:val="28"/>
        </w:rPr>
        <w:t>)</w:t>
      </w:r>
      <w:r>
        <w:rPr>
          <w:rFonts w:ascii="Times New Roman" w:hAnsi="Times New Roman"/>
          <w:sz w:val="28"/>
          <w:szCs w:val="28"/>
        </w:rPr>
        <w:t xml:space="preserve">. </w:t>
      </w:r>
      <w:r>
        <w:rPr>
          <w:rFonts w:ascii="Times New Roman" w:hAnsi="Times New Roman"/>
          <w:i/>
          <w:sz w:val="28"/>
          <w:szCs w:val="28"/>
        </w:rPr>
        <w:t>Phoenicians</w:t>
      </w:r>
      <w:r>
        <w:rPr>
          <w:rFonts w:ascii="Times New Roman" w:hAnsi="Times New Roman"/>
          <w:sz w:val="28"/>
          <w:szCs w:val="28"/>
        </w:rPr>
        <w:t>. London: British Museum Press.</w:t>
      </w:r>
    </w:p>
    <w:p w:rsidR="009C2DAB" w:rsidRDefault="00AA4FD4">
      <w:r>
        <w:rPr>
          <w:rFonts w:ascii="Times New Roman" w:hAnsi="Times New Roman"/>
          <w:b/>
          <w:sz w:val="28"/>
          <w:szCs w:val="28"/>
        </w:rPr>
        <w:t>McGrail, S.</w:t>
      </w:r>
      <w:r>
        <w:rPr>
          <w:rFonts w:ascii="Times New Roman" w:hAnsi="Times New Roman"/>
          <w:sz w:val="28"/>
          <w:szCs w:val="28"/>
        </w:rPr>
        <w:t xml:space="preserve"> </w:t>
      </w:r>
      <w:r w:rsidR="0025603C">
        <w:rPr>
          <w:rFonts w:ascii="Times New Roman" w:hAnsi="Times New Roman"/>
          <w:sz w:val="28"/>
          <w:szCs w:val="28"/>
        </w:rPr>
        <w:t>(</w:t>
      </w:r>
      <w:r>
        <w:rPr>
          <w:rFonts w:ascii="Times New Roman" w:hAnsi="Times New Roman"/>
          <w:sz w:val="28"/>
          <w:szCs w:val="28"/>
        </w:rPr>
        <w:t>2014</w:t>
      </w:r>
      <w:r w:rsidR="0025603C">
        <w:rPr>
          <w:rFonts w:ascii="Times New Roman" w:hAnsi="Times New Roman"/>
          <w:sz w:val="28"/>
          <w:szCs w:val="28"/>
        </w:rPr>
        <w:t>)</w:t>
      </w:r>
      <w:r>
        <w:rPr>
          <w:rFonts w:ascii="Times New Roman" w:hAnsi="Times New Roman"/>
          <w:sz w:val="28"/>
          <w:szCs w:val="28"/>
        </w:rPr>
        <w:t>. Early Ships and Seafaring: European Water Transport. Barnsley: Pen and Sword Books, Ltd.</w:t>
      </w:r>
    </w:p>
    <w:p w:rsidR="009C2DAB" w:rsidRDefault="00AA4FD4">
      <w:pPr>
        <w:rPr>
          <w:rFonts w:ascii="Times New Roman" w:hAnsi="Times New Roman"/>
          <w:sz w:val="28"/>
          <w:szCs w:val="28"/>
        </w:rPr>
      </w:pPr>
      <w:r>
        <w:rPr>
          <w:rFonts w:ascii="Times New Roman" w:hAnsi="Times New Roman"/>
          <w:b/>
          <w:sz w:val="28"/>
          <w:szCs w:val="28"/>
        </w:rPr>
        <w:t>Smith, M.E.</w:t>
      </w:r>
      <w:r>
        <w:rPr>
          <w:rFonts w:ascii="Times New Roman" w:hAnsi="Times New Roman"/>
          <w:sz w:val="28"/>
          <w:szCs w:val="28"/>
        </w:rPr>
        <w:t xml:space="preserve"> </w:t>
      </w:r>
      <w:r w:rsidR="0025603C">
        <w:rPr>
          <w:rFonts w:ascii="Times New Roman" w:hAnsi="Times New Roman"/>
          <w:sz w:val="28"/>
          <w:szCs w:val="28"/>
        </w:rPr>
        <w:t>(</w:t>
      </w:r>
      <w:r>
        <w:rPr>
          <w:rFonts w:ascii="Times New Roman" w:hAnsi="Times New Roman"/>
          <w:sz w:val="28"/>
          <w:szCs w:val="28"/>
        </w:rPr>
        <w:t>2009</w:t>
      </w:r>
      <w:r w:rsidR="0025603C">
        <w:rPr>
          <w:rFonts w:ascii="Times New Roman" w:hAnsi="Times New Roman"/>
          <w:sz w:val="28"/>
          <w:szCs w:val="28"/>
        </w:rPr>
        <w:t>)</w:t>
      </w:r>
      <w:r>
        <w:rPr>
          <w:rFonts w:ascii="Times New Roman" w:hAnsi="Times New Roman"/>
          <w:sz w:val="28"/>
          <w:szCs w:val="28"/>
        </w:rPr>
        <w:t xml:space="preserve">. </w:t>
      </w:r>
      <w:r>
        <w:rPr>
          <w:rFonts w:ascii="Times New Roman" w:hAnsi="Times New Roman"/>
          <w:i/>
          <w:sz w:val="28"/>
          <w:szCs w:val="28"/>
        </w:rPr>
        <w:t>V. Gordon Childe and the Urban Revolution: a historical perspective on a revolution in urban studies</w:t>
      </w:r>
      <w:r>
        <w:rPr>
          <w:rFonts w:ascii="Times New Roman" w:hAnsi="Times New Roman"/>
          <w:sz w:val="28"/>
          <w:szCs w:val="28"/>
        </w:rPr>
        <w:t xml:space="preserve">. In </w:t>
      </w:r>
      <w:r w:rsidRPr="00DD0CD7">
        <w:rPr>
          <w:rFonts w:ascii="Times New Roman" w:hAnsi="Times New Roman"/>
          <w:i/>
          <w:sz w:val="28"/>
          <w:szCs w:val="28"/>
        </w:rPr>
        <w:t>Town Planning Review, vol.80 issue 1</w:t>
      </w:r>
      <w:r>
        <w:rPr>
          <w:rFonts w:ascii="Times New Roman" w:hAnsi="Times New Roman"/>
          <w:sz w:val="28"/>
          <w:szCs w:val="28"/>
        </w:rPr>
        <w:t>. Liverpool: Liverpool University press.</w:t>
      </w:r>
    </w:p>
    <w:p w:rsidR="00DD0CD7" w:rsidRPr="00803092" w:rsidRDefault="00DD0CD7">
      <w:pPr>
        <w:rPr>
          <w:rFonts w:ascii="Times New Roman" w:hAnsi="Times New Roman"/>
          <w:sz w:val="28"/>
          <w:szCs w:val="28"/>
        </w:rPr>
      </w:pPr>
      <w:r w:rsidRPr="00DD0CD7">
        <w:rPr>
          <w:rFonts w:ascii="Times New Roman" w:hAnsi="Times New Roman"/>
          <w:b/>
          <w:sz w:val="28"/>
          <w:szCs w:val="28"/>
        </w:rPr>
        <w:t>Steele, L.</w:t>
      </w:r>
      <w:r>
        <w:rPr>
          <w:rFonts w:ascii="Times New Roman" w:hAnsi="Times New Roman"/>
          <w:sz w:val="28"/>
          <w:szCs w:val="28"/>
        </w:rPr>
        <w:t xml:space="preserve"> (2014). </w:t>
      </w:r>
      <w:r w:rsidRPr="00DD0CD7">
        <w:rPr>
          <w:rFonts w:ascii="Times New Roman" w:hAnsi="Times New Roman"/>
          <w:i/>
          <w:sz w:val="28"/>
          <w:szCs w:val="28"/>
        </w:rPr>
        <w:t>Cyprus During the Late Bronze Age</w:t>
      </w:r>
      <w:r>
        <w:rPr>
          <w:rFonts w:ascii="Times New Roman" w:hAnsi="Times New Roman"/>
          <w:i/>
          <w:sz w:val="28"/>
          <w:szCs w:val="28"/>
        </w:rPr>
        <w:t>.</w:t>
      </w:r>
      <w:r>
        <w:rPr>
          <w:rFonts w:ascii="Times New Roman" w:hAnsi="Times New Roman"/>
          <w:sz w:val="28"/>
          <w:szCs w:val="28"/>
        </w:rPr>
        <w:t xml:space="preserve"> In Steiner, M. and Killebrew, A. </w:t>
      </w:r>
      <w:r w:rsidRPr="00DD0CD7">
        <w:rPr>
          <w:rFonts w:ascii="Times New Roman" w:hAnsi="Times New Roman"/>
          <w:i/>
          <w:sz w:val="28"/>
          <w:szCs w:val="28"/>
        </w:rPr>
        <w:t xml:space="preserve">The Oxford </w:t>
      </w:r>
      <w:r w:rsidR="005525F4">
        <w:rPr>
          <w:rFonts w:ascii="Times New Roman" w:hAnsi="Times New Roman"/>
          <w:i/>
          <w:sz w:val="28"/>
          <w:szCs w:val="28"/>
        </w:rPr>
        <w:t>Handbook of</w:t>
      </w:r>
      <w:r w:rsidRPr="00DD0CD7">
        <w:rPr>
          <w:rFonts w:ascii="Times New Roman" w:hAnsi="Times New Roman"/>
          <w:i/>
          <w:sz w:val="28"/>
          <w:szCs w:val="28"/>
        </w:rPr>
        <w:t xml:space="preserve"> the A</w:t>
      </w:r>
      <w:r w:rsidR="005525F4">
        <w:rPr>
          <w:rFonts w:ascii="Times New Roman" w:hAnsi="Times New Roman"/>
          <w:i/>
          <w:sz w:val="28"/>
          <w:szCs w:val="28"/>
        </w:rPr>
        <w:t>rchaeology of the</w:t>
      </w:r>
      <w:r w:rsidRPr="00DD0CD7">
        <w:rPr>
          <w:rFonts w:ascii="Times New Roman" w:hAnsi="Times New Roman"/>
          <w:i/>
          <w:sz w:val="28"/>
          <w:szCs w:val="28"/>
        </w:rPr>
        <w:t xml:space="preserve"> Levant</w:t>
      </w:r>
      <w:r>
        <w:rPr>
          <w:rFonts w:ascii="Times New Roman" w:hAnsi="Times New Roman"/>
          <w:sz w:val="28"/>
          <w:szCs w:val="28"/>
        </w:rPr>
        <w:t>. Oxford: Oxford University Press.</w:t>
      </w:r>
    </w:p>
    <w:p w:rsidR="009C2DAB" w:rsidRDefault="00AA4FD4">
      <w:proofErr w:type="spellStart"/>
      <w:r>
        <w:rPr>
          <w:rFonts w:ascii="Times New Roman" w:hAnsi="Times New Roman"/>
          <w:b/>
          <w:sz w:val="28"/>
          <w:szCs w:val="28"/>
        </w:rPr>
        <w:t>Steffy</w:t>
      </w:r>
      <w:proofErr w:type="spellEnd"/>
      <w:r>
        <w:rPr>
          <w:rFonts w:ascii="Times New Roman" w:hAnsi="Times New Roman"/>
          <w:b/>
          <w:sz w:val="28"/>
          <w:szCs w:val="28"/>
        </w:rPr>
        <w:t>, J.R.</w:t>
      </w:r>
      <w:r>
        <w:rPr>
          <w:rFonts w:ascii="Times New Roman" w:hAnsi="Times New Roman"/>
          <w:sz w:val="28"/>
          <w:szCs w:val="28"/>
        </w:rPr>
        <w:t xml:space="preserve"> </w:t>
      </w:r>
      <w:r w:rsidR="0025603C">
        <w:rPr>
          <w:rFonts w:ascii="Times New Roman" w:hAnsi="Times New Roman"/>
          <w:sz w:val="28"/>
          <w:szCs w:val="28"/>
        </w:rPr>
        <w:t>(</w:t>
      </w:r>
      <w:r>
        <w:rPr>
          <w:rFonts w:ascii="Times New Roman" w:hAnsi="Times New Roman"/>
          <w:sz w:val="28"/>
          <w:szCs w:val="28"/>
        </w:rPr>
        <w:t>1998</w:t>
      </w:r>
      <w:r w:rsidR="0025603C">
        <w:rPr>
          <w:rFonts w:ascii="Times New Roman" w:hAnsi="Times New Roman"/>
          <w:sz w:val="28"/>
          <w:szCs w:val="28"/>
        </w:rPr>
        <w:t>)</w:t>
      </w:r>
      <w:r>
        <w:rPr>
          <w:rFonts w:ascii="Times New Roman" w:hAnsi="Times New Roman"/>
          <w:sz w:val="28"/>
          <w:szCs w:val="28"/>
        </w:rPr>
        <w:t xml:space="preserve">. </w:t>
      </w:r>
      <w:r>
        <w:rPr>
          <w:rFonts w:ascii="Times New Roman" w:hAnsi="Times New Roman"/>
          <w:i/>
          <w:sz w:val="28"/>
          <w:szCs w:val="28"/>
        </w:rPr>
        <w:t>Wooden Shipbuilding and the Interpretation of Shipwrecks</w:t>
      </w:r>
      <w:r>
        <w:rPr>
          <w:rFonts w:ascii="Times New Roman" w:hAnsi="Times New Roman"/>
          <w:sz w:val="28"/>
          <w:szCs w:val="28"/>
        </w:rPr>
        <w:t>. London: Chatham Publishing.</w:t>
      </w:r>
    </w:p>
    <w:p w:rsidR="009C2DAB" w:rsidRDefault="009C2DAB">
      <w:pPr>
        <w:rPr>
          <w:rFonts w:ascii="Times New Roman" w:hAnsi="Times New Roman"/>
          <w:sz w:val="28"/>
          <w:szCs w:val="28"/>
        </w:rPr>
      </w:pPr>
    </w:p>
    <w:sectPr w:rsidR="009C2DAB">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6EB5" w:rsidRDefault="00746EB5">
      <w:pPr>
        <w:spacing w:after="0" w:line="240" w:lineRule="auto"/>
      </w:pPr>
      <w:r>
        <w:separator/>
      </w:r>
    </w:p>
  </w:endnote>
  <w:endnote w:type="continuationSeparator" w:id="0">
    <w:p w:rsidR="00746EB5" w:rsidRDefault="00746E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6EB5" w:rsidRDefault="00746EB5">
      <w:pPr>
        <w:spacing w:after="0" w:line="240" w:lineRule="auto"/>
      </w:pPr>
      <w:r>
        <w:rPr>
          <w:color w:val="000000"/>
        </w:rPr>
        <w:separator/>
      </w:r>
    </w:p>
  </w:footnote>
  <w:footnote w:type="continuationSeparator" w:id="0">
    <w:p w:rsidR="00746EB5" w:rsidRDefault="00746E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DAB"/>
    <w:rsid w:val="001D5A33"/>
    <w:rsid w:val="0025603C"/>
    <w:rsid w:val="0032288A"/>
    <w:rsid w:val="003C2917"/>
    <w:rsid w:val="003C7FDD"/>
    <w:rsid w:val="005525F4"/>
    <w:rsid w:val="005E63AF"/>
    <w:rsid w:val="00746EB5"/>
    <w:rsid w:val="00803092"/>
    <w:rsid w:val="00847873"/>
    <w:rsid w:val="009C2DAB"/>
    <w:rsid w:val="00A35A75"/>
    <w:rsid w:val="00AA4FD4"/>
    <w:rsid w:val="00B76B21"/>
    <w:rsid w:val="00CF5C7D"/>
    <w:rsid w:val="00D24451"/>
    <w:rsid w:val="00DD0C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2923B"/>
  <w15:docId w15:val="{BDA44846-2EE3-47FC-BB75-4CEEBEDE4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stor.org/stable/527967"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860</Words>
  <Characters>4903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Kirk (1710839)</dc:creator>
  <dc:description/>
  <cp:lastModifiedBy>Timothy Kirk (1710839)</cp:lastModifiedBy>
  <cp:revision>2</cp:revision>
  <dcterms:created xsi:type="dcterms:W3CDTF">2019-01-25T11:29:00Z</dcterms:created>
  <dcterms:modified xsi:type="dcterms:W3CDTF">2019-01-25T11:29:00Z</dcterms:modified>
</cp:coreProperties>
</file>