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F06378" wp14:paraId="5D5531C7" wp14:textId="2A91F6DE">
      <w:pPr>
        <w:spacing w:before="0" w:beforeAutospacing="off" w:after="160" w:afterAutospacing="off" w:line="360" w:lineRule="auto"/>
        <w:ind w:left="0" w:right="0"/>
        <w:contextualSpacing w:val="1"/>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F06378" w:rsidR="2CE4664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P</w:t>
      </w:r>
      <w:r w:rsidRPr="69F06378" w:rsidR="54F47EA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sychology in Health and Social Care</w:t>
      </w:r>
    </w:p>
    <w:p xmlns:wp14="http://schemas.microsoft.com/office/word/2010/wordml" w:rsidP="69F06378" wp14:paraId="0F139055" wp14:textId="379CDE26">
      <w:pPr>
        <w:spacing w:before="0" w:beforeAutospacing="off" w:after="160" w:afterAutospacing="off" w:line="360" w:lineRule="auto"/>
        <w:ind w:left="0" w:right="0"/>
        <w:contextualSpacing w:val="1"/>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F06378" w:rsidR="666F099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Bibliography and Report</w:t>
      </w:r>
    </w:p>
    <w:p xmlns:wp14="http://schemas.microsoft.com/office/word/2010/wordml" w:rsidP="69F06378" wp14:paraId="43AF3D19" wp14:textId="26106ADF">
      <w:pPr>
        <w:spacing w:line="360" w:lineRule="auto"/>
        <w:contextualSpacing w:val="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F06378" w:rsidR="666F09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Module Code: LCHS4010</w:t>
      </w:r>
    </w:p>
    <w:p xmlns:wp14="http://schemas.microsoft.com/office/word/2010/wordml" w:rsidP="69F06378" wp14:paraId="1A85C159" wp14:textId="2B8CF4B2">
      <w:pPr>
        <w:spacing w:line="360" w:lineRule="auto"/>
        <w:contextualSpacing w:val="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F06378" w:rsidR="5B8F6E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w:t>
      </w:r>
      <w:r w:rsidRPr="69F06378" w:rsidR="2CE466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omponent</w:t>
      </w:r>
      <w:r w:rsidRPr="69F06378" w:rsidR="2CE466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w:t>
      </w:r>
      <w:r>
        <w:tab/>
      </w:r>
    </w:p>
    <w:p xmlns:wp14="http://schemas.microsoft.com/office/word/2010/wordml" w:rsidP="69F06378" wp14:paraId="2C078E63" wp14:textId="26B87CF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F06378" w:rsidR="2CE466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14/03/2026</w:t>
      </w:r>
    </w:p>
    <w:p w:rsidR="2417F327" w:rsidP="69F06378" w:rsidRDefault="2417F327" w14:paraId="504F02A9" w14:textId="604710F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2B3D5B3C" w:rsidP="69F06378" w:rsidRDefault="2B3D5B3C" w14:paraId="35F26868" w14:textId="1F9A9F88">
      <w:pPr>
        <w:spacing w:line="360" w:lineRule="auto"/>
        <w:contextualSpacing w:val="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F06378" w:rsidR="2B3D5B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Gurtek</w:t>
      </w:r>
      <w:r w:rsidRPr="69F06378" w:rsidR="2B3D5B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Kaur - 2432269</w:t>
      </w:r>
    </w:p>
    <w:p w:rsidR="2B3D5B3C" w:rsidP="69F06378" w:rsidRDefault="2B3D5B3C" w14:paraId="7DDE24A3" w14:textId="1D718011">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F06378" w:rsidR="2B3D5B3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Helen Parsons</w:t>
      </w:r>
    </w:p>
    <w:p w:rsidR="2417F327" w:rsidP="69F06378" w:rsidRDefault="2417F327" w14:paraId="5313EB5C" w14:textId="75D8D80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738D5DD0" w14:textId="46EA8AA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5B64A702" w14:textId="6175EFCE">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5868C388" w14:textId="0ACEE0A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6E150C81" w14:textId="3221312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316C5773" w14:textId="47C879F2">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71B5B95C" w14:textId="69F5202C">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22E988A7" w14:textId="0DD4B4F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629E22BC" w14:textId="553A32D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387B2544" w14:textId="5951CBD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797A431D" w14:textId="2AF3A039">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7A40AB14" w14:textId="379833B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69F06378" w:rsidRDefault="2417F327" w14:paraId="22AF0CF9" w14:textId="64E6D1A1">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69F06378" w:rsidP="69F06378" w:rsidRDefault="69F06378" w14:paraId="5A07D8C7" w14:textId="7FA8485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69F06378" w:rsidP="69F06378" w:rsidRDefault="69F06378" w14:paraId="7F1A01E1" w14:textId="121D428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69F06378" w:rsidRDefault="69F06378" w14:paraId="11DFF75C" w14:textId="16051EA7"/>
    <w:p w:rsidR="2417F327" w:rsidP="69F06378" w:rsidRDefault="2417F327" w14:paraId="4599CB5B" w14:textId="6DC2452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326A0A70" w:rsidP="69F06378" w:rsidRDefault="326A0A70" w14:paraId="1D2EE569" w14:textId="545D7029">
      <w:pPr>
        <w:pStyle w:val="Heading1"/>
        <w:bidi w:val="0"/>
        <w:spacing w:before="48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Part A: Annotated Bibliography</w:t>
      </w:r>
    </w:p>
    <w:p w:rsidR="326A0A70" w:rsidP="69F06378" w:rsidRDefault="326A0A70" w14:paraId="444BB87F" w14:textId="6DBBF8A7">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Source 1</w:t>
      </w:r>
    </w:p>
    <w:p w:rsidR="326A0A70" w:rsidP="69F06378" w:rsidRDefault="326A0A70" w14:paraId="6BC8D14D" w14:textId="50C6B6B1">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Zittoun</w:t>
      </w:r>
      <w:r w:rsidRPr="69F06378" w:rsidR="326A0A70">
        <w:rPr>
          <w:rFonts w:ascii="Arial" w:hAnsi="Arial" w:eastAsia="Arial" w:cs="Arial"/>
          <w:noProof w:val="0"/>
          <w:sz w:val="22"/>
          <w:szCs w:val="22"/>
          <w:lang w:val="en-US"/>
        </w:rPr>
        <w:t xml:space="preserve">, T. and </w:t>
      </w:r>
      <w:r w:rsidRPr="69F06378" w:rsidR="326A0A70">
        <w:rPr>
          <w:rFonts w:ascii="Arial" w:hAnsi="Arial" w:eastAsia="Arial" w:cs="Arial"/>
          <w:noProof w:val="0"/>
          <w:sz w:val="22"/>
          <w:szCs w:val="22"/>
          <w:lang w:val="en-US"/>
        </w:rPr>
        <w:t>Baucal</w:t>
      </w:r>
      <w:r w:rsidRPr="69F06378" w:rsidR="326A0A70">
        <w:rPr>
          <w:rFonts w:ascii="Arial" w:hAnsi="Arial" w:eastAsia="Arial" w:cs="Arial"/>
          <w:noProof w:val="0"/>
          <w:sz w:val="22"/>
          <w:szCs w:val="22"/>
          <w:lang w:val="en-US"/>
        </w:rPr>
        <w:t xml:space="preserve">, A. (2021) ‘The relevance of a sociocultural perspective for understanding learning and development in older age’, Learning, Culture and Social Interaction, 28, p. 100453. Available at: </w:t>
      </w:r>
      <w:hyperlink r:id="Ra53a08f037864fba">
        <w:r w:rsidRPr="69F06378" w:rsidR="326A0A70">
          <w:rPr>
            <w:rStyle w:val="Hyperlink"/>
            <w:rFonts w:ascii="Arial" w:hAnsi="Arial" w:eastAsia="Arial" w:cs="Arial"/>
            <w:noProof w:val="0"/>
            <w:sz w:val="22"/>
            <w:szCs w:val="22"/>
            <w:lang w:val="en-US"/>
          </w:rPr>
          <w:t>https://doi.org/10.1016/j.lcsi.2020.100453</w:t>
        </w:r>
      </w:hyperlink>
      <w:r w:rsidRPr="69F06378" w:rsidR="326A0A70">
        <w:rPr>
          <w:rFonts w:ascii="Arial" w:hAnsi="Arial" w:eastAsia="Arial" w:cs="Arial"/>
          <w:noProof w:val="0"/>
          <w:sz w:val="22"/>
          <w:szCs w:val="22"/>
          <w:lang w:val="en-US"/>
        </w:rPr>
        <w:t>.</w:t>
      </w:r>
    </w:p>
    <w:p w:rsidR="326A0A70" w:rsidP="69F06378" w:rsidRDefault="326A0A70" w14:paraId="1C0B7E41" w14:textId="27F4B570">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Zittoun</w:t>
      </w:r>
      <w:r w:rsidRPr="69F06378" w:rsidR="326A0A70">
        <w:rPr>
          <w:rFonts w:ascii="Arial" w:hAnsi="Arial" w:eastAsia="Arial" w:cs="Arial"/>
          <w:noProof w:val="0"/>
          <w:sz w:val="22"/>
          <w:szCs w:val="22"/>
          <w:lang w:val="en-US"/>
        </w:rPr>
        <w:t xml:space="preserve"> and </w:t>
      </w:r>
      <w:r w:rsidRPr="69F06378" w:rsidR="326A0A70">
        <w:rPr>
          <w:rFonts w:ascii="Arial" w:hAnsi="Arial" w:eastAsia="Arial" w:cs="Arial"/>
          <w:noProof w:val="0"/>
          <w:sz w:val="22"/>
          <w:szCs w:val="22"/>
          <w:lang w:val="en-US"/>
        </w:rPr>
        <w:t>Baucal</w:t>
      </w:r>
      <w:r w:rsidRPr="69F06378" w:rsidR="326A0A70">
        <w:rPr>
          <w:rFonts w:ascii="Arial" w:hAnsi="Arial" w:eastAsia="Arial" w:cs="Arial"/>
          <w:noProof w:val="0"/>
          <w:sz w:val="22"/>
          <w:szCs w:val="22"/>
          <w:lang w:val="en-US"/>
        </w:rPr>
        <w:t xml:space="preserve"> argue that older age should not be viewed only through decline or dependency. Drawing on Vygotsky’s sociocultural tradition, they present ageing as a period of continued learning and </w:t>
      </w:r>
      <w:r w:rsidRPr="69F06378" w:rsidR="58911903">
        <w:rPr>
          <w:rFonts w:ascii="Arial" w:hAnsi="Arial" w:eastAsia="Arial" w:cs="Arial"/>
          <w:noProof w:val="0"/>
          <w:sz w:val="22"/>
          <w:szCs w:val="22"/>
          <w:lang w:val="en-US"/>
        </w:rPr>
        <w:t>meaning making</w:t>
      </w:r>
      <w:r w:rsidRPr="69F06378" w:rsidR="326A0A70">
        <w:rPr>
          <w:rFonts w:ascii="Arial" w:hAnsi="Arial" w:eastAsia="Arial" w:cs="Arial"/>
          <w:noProof w:val="0"/>
          <w:sz w:val="22"/>
          <w:szCs w:val="22"/>
          <w:lang w:val="en-US"/>
        </w:rPr>
        <w:t xml:space="preserve"> shaped by relationships, cultural </w:t>
      </w:r>
      <w:r w:rsidRPr="69F06378" w:rsidR="326A0A70">
        <w:rPr>
          <w:rFonts w:ascii="Arial" w:hAnsi="Arial" w:eastAsia="Arial" w:cs="Arial"/>
          <w:noProof w:val="0"/>
          <w:sz w:val="22"/>
          <w:szCs w:val="22"/>
          <w:lang w:val="en-US"/>
        </w:rPr>
        <w:t>tools</w:t>
      </w:r>
      <w:r w:rsidRPr="69F06378" w:rsidR="326A0A70">
        <w:rPr>
          <w:rFonts w:ascii="Arial" w:hAnsi="Arial" w:eastAsia="Arial" w:cs="Arial"/>
          <w:noProof w:val="0"/>
          <w:sz w:val="22"/>
          <w:szCs w:val="22"/>
          <w:lang w:val="en-US"/>
        </w:rPr>
        <w:t xml:space="preserve"> and context. </w:t>
      </w:r>
      <w:r w:rsidRPr="69F06378" w:rsidR="7208D8AA">
        <w:rPr>
          <w:rFonts w:ascii="Arial" w:hAnsi="Arial" w:eastAsia="Arial" w:cs="Arial"/>
          <w:noProof w:val="0"/>
          <w:sz w:val="22"/>
          <w:szCs w:val="22"/>
          <w:lang w:val="en-US"/>
        </w:rPr>
        <w:t>Using examples such as retirement, volunteering, becoming a grandparent, or taking on mentoring roles in the community, they show that development continues in later life</w:t>
      </w:r>
      <w:r w:rsidRPr="69F06378" w:rsidR="326A0A70">
        <w:rPr>
          <w:rFonts w:ascii="Arial" w:hAnsi="Arial" w:eastAsia="Arial" w:cs="Arial"/>
          <w:noProof w:val="0"/>
          <w:sz w:val="22"/>
          <w:szCs w:val="22"/>
          <w:lang w:val="en-US"/>
        </w:rPr>
        <w:t>. The article is conceptual rather than empirical</w:t>
      </w:r>
      <w:r w:rsidRPr="69F06378" w:rsidR="6ADC4BDD">
        <w:rPr>
          <w:rFonts w:ascii="Arial" w:hAnsi="Arial" w:eastAsia="Arial" w:cs="Arial"/>
          <w:noProof w:val="0"/>
          <w:sz w:val="22"/>
          <w:szCs w:val="22"/>
          <w:lang w:val="en-US"/>
        </w:rPr>
        <w:t xml:space="preserve">, meaning </w:t>
      </w:r>
      <w:r w:rsidRPr="69F06378" w:rsidR="5F3D421E">
        <w:rPr>
          <w:rFonts w:ascii="Arial" w:hAnsi="Arial" w:eastAsia="Arial" w:cs="Arial"/>
          <w:noProof w:val="0"/>
          <w:sz w:val="22"/>
          <w:szCs w:val="22"/>
          <w:lang w:val="en-US"/>
        </w:rPr>
        <w:t>it</w:t>
      </w:r>
      <w:r w:rsidRPr="69F06378" w:rsidR="6ADC4BDD">
        <w:rPr>
          <w:rFonts w:ascii="Arial" w:hAnsi="Arial" w:eastAsia="Arial" w:cs="Arial"/>
          <w:noProof w:val="0"/>
          <w:sz w:val="22"/>
          <w:szCs w:val="22"/>
          <w:lang w:val="en-US"/>
        </w:rPr>
        <w:t xml:space="preserve"> is based more on </w:t>
      </w:r>
      <w:r w:rsidRPr="69F06378" w:rsidR="36F45A75">
        <w:rPr>
          <w:rFonts w:ascii="Arial" w:hAnsi="Arial" w:eastAsia="Arial" w:cs="Arial"/>
          <w:noProof w:val="0"/>
          <w:sz w:val="22"/>
          <w:szCs w:val="22"/>
          <w:lang w:val="en-US"/>
        </w:rPr>
        <w:t>ideas</w:t>
      </w:r>
      <w:r w:rsidRPr="69F06378" w:rsidR="6ADC4BDD">
        <w:rPr>
          <w:rFonts w:ascii="Arial" w:hAnsi="Arial" w:eastAsia="Arial" w:cs="Arial"/>
          <w:noProof w:val="0"/>
          <w:sz w:val="22"/>
          <w:szCs w:val="22"/>
          <w:lang w:val="en-US"/>
        </w:rPr>
        <w:t xml:space="preserve"> and arguments than on collected evidence,</w:t>
      </w:r>
      <w:r w:rsidRPr="69F06378" w:rsidR="326A0A70">
        <w:rPr>
          <w:rFonts w:ascii="Arial" w:hAnsi="Arial" w:eastAsia="Arial" w:cs="Arial"/>
          <w:noProof w:val="0"/>
          <w:sz w:val="22"/>
          <w:szCs w:val="22"/>
          <w:lang w:val="en-US"/>
        </w:rPr>
        <w:t xml:space="preserve"> but it is valuable because it reframes ageing as active rather than </w:t>
      </w:r>
      <w:r w:rsidRPr="69F06378" w:rsidR="6132B4CD">
        <w:rPr>
          <w:rFonts w:ascii="Arial" w:hAnsi="Arial" w:eastAsia="Arial" w:cs="Arial"/>
          <w:noProof w:val="0"/>
          <w:sz w:val="22"/>
          <w:szCs w:val="22"/>
          <w:lang w:val="en-US"/>
        </w:rPr>
        <w:t>passive. This</w:t>
      </w:r>
      <w:r w:rsidRPr="69F06378" w:rsidR="20045F05">
        <w:rPr>
          <w:rFonts w:ascii="Arial" w:hAnsi="Arial" w:eastAsia="Arial" w:cs="Arial"/>
          <w:noProof w:val="0"/>
          <w:sz w:val="22"/>
          <w:szCs w:val="22"/>
          <w:lang w:val="en-US"/>
        </w:rPr>
        <w:t xml:space="preserve"> </w:t>
      </w:r>
      <w:r w:rsidRPr="69F06378" w:rsidR="2D9A13F0">
        <w:rPr>
          <w:rFonts w:ascii="Arial" w:hAnsi="Arial" w:eastAsia="Arial" w:cs="Arial"/>
          <w:noProof w:val="0"/>
          <w:sz w:val="22"/>
          <w:szCs w:val="22"/>
          <w:lang w:val="en-US"/>
        </w:rPr>
        <w:t>strengthens</w:t>
      </w:r>
      <w:r w:rsidRPr="69F06378" w:rsidR="20045F05">
        <w:rPr>
          <w:rFonts w:ascii="Arial" w:hAnsi="Arial" w:eastAsia="Arial" w:cs="Arial"/>
          <w:noProof w:val="0"/>
          <w:sz w:val="22"/>
          <w:szCs w:val="22"/>
          <w:lang w:val="en-US"/>
        </w:rPr>
        <w:t xml:space="preserve"> the </w:t>
      </w:r>
      <w:r w:rsidRPr="69F06378" w:rsidR="684731CC">
        <w:rPr>
          <w:rFonts w:ascii="Arial" w:hAnsi="Arial" w:eastAsia="Arial" w:cs="Arial"/>
          <w:noProof w:val="0"/>
          <w:sz w:val="22"/>
          <w:szCs w:val="22"/>
          <w:lang w:val="en-US"/>
        </w:rPr>
        <w:t>view</w:t>
      </w:r>
      <w:r w:rsidRPr="69F06378" w:rsidR="20045F05">
        <w:rPr>
          <w:rFonts w:ascii="Arial" w:hAnsi="Arial" w:eastAsia="Arial" w:cs="Arial"/>
          <w:noProof w:val="0"/>
          <w:sz w:val="22"/>
          <w:szCs w:val="22"/>
          <w:lang w:val="en-US"/>
        </w:rPr>
        <w:t xml:space="preserve"> that </w:t>
      </w:r>
      <w:r w:rsidRPr="69F06378" w:rsidR="04B07240">
        <w:rPr>
          <w:rFonts w:ascii="Arial" w:hAnsi="Arial" w:eastAsia="Arial" w:cs="Arial"/>
          <w:noProof w:val="0"/>
          <w:sz w:val="22"/>
          <w:szCs w:val="22"/>
          <w:lang w:val="en-US"/>
        </w:rPr>
        <w:t>a</w:t>
      </w:r>
      <w:r w:rsidRPr="69F06378" w:rsidR="20045F05">
        <w:rPr>
          <w:rFonts w:ascii="Arial" w:hAnsi="Arial" w:eastAsia="Arial" w:cs="Arial"/>
          <w:noProof w:val="0"/>
          <w:sz w:val="22"/>
          <w:szCs w:val="22"/>
          <w:lang w:val="en-US"/>
        </w:rPr>
        <w:t>geing</w:t>
      </w:r>
      <w:r w:rsidRPr="69F06378" w:rsidR="7EDE6EAD">
        <w:rPr>
          <w:rFonts w:ascii="Arial" w:hAnsi="Arial" w:eastAsia="Arial" w:cs="Arial"/>
          <w:noProof w:val="0"/>
          <w:sz w:val="22"/>
          <w:szCs w:val="22"/>
          <w:lang w:val="en-US"/>
        </w:rPr>
        <w:t xml:space="preserve"> </w:t>
      </w:r>
      <w:r w:rsidRPr="69F06378" w:rsidR="1D53E087">
        <w:rPr>
          <w:rFonts w:ascii="Arial" w:hAnsi="Arial" w:eastAsia="Arial" w:cs="Arial"/>
          <w:noProof w:val="0"/>
          <w:sz w:val="22"/>
          <w:szCs w:val="22"/>
          <w:lang w:val="en-US"/>
        </w:rPr>
        <w:t>is</w:t>
      </w:r>
      <w:r w:rsidRPr="69F06378" w:rsidR="20045F05">
        <w:rPr>
          <w:rFonts w:ascii="Arial" w:hAnsi="Arial" w:eastAsia="Arial" w:cs="Arial"/>
          <w:noProof w:val="0"/>
          <w:sz w:val="22"/>
          <w:szCs w:val="22"/>
          <w:lang w:val="en-US"/>
        </w:rPr>
        <w:t xml:space="preserve"> an ongoing process involving </w:t>
      </w:r>
      <w:r w:rsidRPr="69F06378" w:rsidR="1F6AC651">
        <w:rPr>
          <w:rFonts w:ascii="Arial" w:hAnsi="Arial" w:eastAsia="Arial" w:cs="Arial"/>
          <w:noProof w:val="0"/>
          <w:sz w:val="22"/>
          <w:szCs w:val="22"/>
          <w:lang w:val="en-US"/>
        </w:rPr>
        <w:t>behavio</w:t>
      </w:r>
      <w:r w:rsidRPr="69F06378" w:rsidR="12C77889">
        <w:rPr>
          <w:rFonts w:ascii="Arial" w:hAnsi="Arial" w:eastAsia="Arial" w:cs="Arial"/>
          <w:noProof w:val="0"/>
          <w:sz w:val="22"/>
          <w:szCs w:val="22"/>
          <w:lang w:val="en-US"/>
        </w:rPr>
        <w:t>u</w:t>
      </w:r>
      <w:r w:rsidRPr="69F06378" w:rsidR="1F6AC651">
        <w:rPr>
          <w:rFonts w:ascii="Arial" w:hAnsi="Arial" w:eastAsia="Arial" w:cs="Arial"/>
          <w:noProof w:val="0"/>
          <w:sz w:val="22"/>
          <w:szCs w:val="22"/>
          <w:lang w:val="en-US"/>
        </w:rPr>
        <w:t>r</w:t>
      </w:r>
      <w:r w:rsidRPr="69F06378" w:rsidR="20045F05">
        <w:rPr>
          <w:rFonts w:ascii="Arial" w:hAnsi="Arial" w:eastAsia="Arial" w:cs="Arial"/>
          <w:noProof w:val="0"/>
          <w:sz w:val="22"/>
          <w:szCs w:val="22"/>
          <w:lang w:val="en-US"/>
        </w:rPr>
        <w:t xml:space="preserve"> and</w:t>
      </w:r>
      <w:r w:rsidRPr="69F06378" w:rsidR="03FA29B1">
        <w:rPr>
          <w:rFonts w:ascii="Arial" w:hAnsi="Arial" w:eastAsia="Arial" w:cs="Arial"/>
          <w:noProof w:val="0"/>
          <w:sz w:val="22"/>
          <w:szCs w:val="22"/>
          <w:lang w:val="en-US"/>
        </w:rPr>
        <w:t xml:space="preserve"> social</w:t>
      </w:r>
      <w:r w:rsidRPr="69F06378" w:rsidR="20045F05">
        <w:rPr>
          <w:rFonts w:ascii="Arial" w:hAnsi="Arial" w:eastAsia="Arial" w:cs="Arial"/>
          <w:noProof w:val="0"/>
          <w:sz w:val="22"/>
          <w:szCs w:val="22"/>
          <w:lang w:val="en-US"/>
        </w:rPr>
        <w:t xml:space="preserve"> </w:t>
      </w:r>
      <w:r w:rsidRPr="69F06378" w:rsidR="3929B278">
        <w:rPr>
          <w:rFonts w:ascii="Arial" w:hAnsi="Arial" w:eastAsia="Arial" w:cs="Arial"/>
          <w:noProof w:val="0"/>
          <w:sz w:val="22"/>
          <w:szCs w:val="22"/>
          <w:lang w:val="en-US"/>
        </w:rPr>
        <w:t xml:space="preserve">interactions, rather than simply </w:t>
      </w:r>
      <w:r w:rsidRPr="69F06378" w:rsidR="72D025CC">
        <w:rPr>
          <w:rFonts w:ascii="Arial" w:hAnsi="Arial" w:eastAsia="Arial" w:cs="Arial"/>
          <w:noProof w:val="0"/>
          <w:sz w:val="22"/>
          <w:szCs w:val="22"/>
          <w:lang w:val="en-US"/>
        </w:rPr>
        <w:t xml:space="preserve">decline or something imposed by biology. </w:t>
      </w:r>
    </w:p>
    <w:p w:rsidR="326A0A70" w:rsidP="69F06378" w:rsidRDefault="326A0A70" w14:paraId="1DCD87B1" w14:textId="1F84FB35">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This source is relevant to health and social care because it challenges loss-based assumptions about residents. It supports an enabling approach in which staff create opportunities for conversation, memory </w:t>
      </w:r>
      <w:r w:rsidRPr="69F06378" w:rsidR="7951B36D">
        <w:rPr>
          <w:rFonts w:ascii="Arial" w:hAnsi="Arial" w:eastAsia="Arial" w:cs="Arial"/>
          <w:noProof w:val="0"/>
          <w:sz w:val="22"/>
          <w:szCs w:val="22"/>
          <w:lang w:val="en-US"/>
        </w:rPr>
        <w:t>work,</w:t>
      </w:r>
      <w:r w:rsidRPr="69F06378" w:rsidR="326A0A70">
        <w:rPr>
          <w:rFonts w:ascii="Arial" w:hAnsi="Arial" w:eastAsia="Arial" w:cs="Arial"/>
          <w:noProof w:val="0"/>
          <w:sz w:val="22"/>
          <w:szCs w:val="22"/>
          <w:lang w:val="en-US"/>
        </w:rPr>
        <w:t xml:space="preserve"> and shared activity</w:t>
      </w:r>
      <w:r w:rsidRPr="69F06378" w:rsidR="0B0A1709">
        <w:rPr>
          <w:rFonts w:ascii="Arial" w:hAnsi="Arial" w:eastAsia="Arial" w:cs="Arial"/>
          <w:noProof w:val="0"/>
          <w:sz w:val="22"/>
          <w:szCs w:val="22"/>
          <w:lang w:val="en-US"/>
        </w:rPr>
        <w:t>: a more person-</w:t>
      </w:r>
      <w:r w:rsidRPr="69F06378" w:rsidR="0B0A1709">
        <w:rPr>
          <w:rFonts w:ascii="Arial" w:hAnsi="Arial" w:eastAsia="Arial" w:cs="Arial"/>
          <w:noProof w:val="0"/>
          <w:sz w:val="22"/>
          <w:szCs w:val="22"/>
          <w:lang w:val="en-US"/>
        </w:rPr>
        <w:t>cent</w:t>
      </w:r>
      <w:r w:rsidRPr="69F06378" w:rsidR="08034518">
        <w:rPr>
          <w:rFonts w:ascii="Arial" w:hAnsi="Arial" w:eastAsia="Arial" w:cs="Arial"/>
          <w:noProof w:val="0"/>
          <w:sz w:val="22"/>
          <w:szCs w:val="22"/>
          <w:lang w:val="en-US"/>
        </w:rPr>
        <w:t>re</w:t>
      </w:r>
      <w:r w:rsidRPr="69F06378" w:rsidR="0B0A1709">
        <w:rPr>
          <w:rFonts w:ascii="Arial" w:hAnsi="Arial" w:eastAsia="Arial" w:cs="Arial"/>
          <w:noProof w:val="0"/>
          <w:sz w:val="22"/>
          <w:szCs w:val="22"/>
          <w:lang w:val="en-US"/>
        </w:rPr>
        <w:t>d</w:t>
      </w:r>
      <w:r w:rsidRPr="69F06378" w:rsidR="0B0A1709">
        <w:rPr>
          <w:rFonts w:ascii="Arial" w:hAnsi="Arial" w:eastAsia="Arial" w:cs="Arial"/>
          <w:noProof w:val="0"/>
          <w:sz w:val="22"/>
          <w:szCs w:val="22"/>
          <w:lang w:val="en-US"/>
        </w:rPr>
        <w:t xml:space="preserve"> </w:t>
      </w:r>
      <w:r w:rsidRPr="69F06378" w:rsidR="57B41414">
        <w:rPr>
          <w:rFonts w:ascii="Arial" w:hAnsi="Arial" w:eastAsia="Arial" w:cs="Arial"/>
          <w:noProof w:val="0"/>
          <w:sz w:val="22"/>
          <w:szCs w:val="22"/>
          <w:lang w:val="en-US"/>
        </w:rPr>
        <w:t>approach to</w:t>
      </w:r>
      <w:r w:rsidRPr="69F06378" w:rsidR="78904895">
        <w:rPr>
          <w:rFonts w:ascii="Arial" w:hAnsi="Arial" w:eastAsia="Arial" w:cs="Arial"/>
          <w:noProof w:val="0"/>
          <w:sz w:val="22"/>
          <w:szCs w:val="22"/>
          <w:lang w:val="en-US"/>
        </w:rPr>
        <w:t xml:space="preserve"> care. </w:t>
      </w:r>
      <w:r w:rsidRPr="69F06378" w:rsidR="326A0A70">
        <w:rPr>
          <w:rFonts w:ascii="Arial" w:hAnsi="Arial" w:eastAsia="Arial" w:cs="Arial"/>
          <w:noProof w:val="0"/>
          <w:sz w:val="22"/>
          <w:szCs w:val="22"/>
          <w:lang w:val="en-US"/>
        </w:rPr>
        <w:t>It also offers a clear theoretical basis for interventions that build on identity and participation. However, because t</w:t>
      </w:r>
      <w:r w:rsidRPr="69F06378" w:rsidR="3A44257C">
        <w:rPr>
          <w:rFonts w:ascii="Arial" w:hAnsi="Arial" w:eastAsia="Arial" w:cs="Arial"/>
          <w:noProof w:val="0"/>
          <w:sz w:val="22"/>
          <w:szCs w:val="22"/>
          <w:lang w:val="en-US"/>
        </w:rPr>
        <w:t>he article is</w:t>
      </w:r>
      <w:r w:rsidRPr="69F06378" w:rsidR="326A0A70">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ma</w:t>
      </w:r>
      <w:r w:rsidRPr="69F06378" w:rsidR="326A0A70">
        <w:rPr>
          <w:rFonts w:ascii="Arial" w:hAnsi="Arial" w:eastAsia="Arial" w:cs="Arial"/>
          <w:noProof w:val="0"/>
          <w:sz w:val="22"/>
          <w:szCs w:val="22"/>
          <w:lang w:val="en-US"/>
        </w:rPr>
        <w:t>inly theoretical</w:t>
      </w:r>
      <w:r w:rsidRPr="69F06378" w:rsidR="326A0A70">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 xml:space="preserve">it does not </w:t>
      </w:r>
      <w:r w:rsidRPr="69F06378" w:rsidR="76363CA0">
        <w:rPr>
          <w:rFonts w:ascii="Arial" w:hAnsi="Arial" w:eastAsia="Arial" w:cs="Arial"/>
          <w:noProof w:val="0"/>
          <w:sz w:val="22"/>
          <w:szCs w:val="22"/>
          <w:lang w:val="en-US"/>
        </w:rPr>
        <w:t>in</w:t>
      </w:r>
      <w:r w:rsidRPr="69F06378" w:rsidR="76363CA0">
        <w:rPr>
          <w:rFonts w:ascii="Arial" w:hAnsi="Arial" w:eastAsia="Arial" w:cs="Arial"/>
          <w:noProof w:val="0"/>
          <w:sz w:val="22"/>
          <w:szCs w:val="22"/>
          <w:lang w:val="en-US"/>
        </w:rPr>
        <w:t>dicate</w:t>
      </w:r>
      <w:r w:rsidRPr="69F06378" w:rsidR="76363CA0">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w</w:t>
      </w:r>
      <w:r w:rsidRPr="69F06378" w:rsidR="326A0A70">
        <w:rPr>
          <w:rFonts w:ascii="Arial" w:hAnsi="Arial" w:eastAsia="Arial" w:cs="Arial"/>
          <w:noProof w:val="0"/>
          <w:sz w:val="22"/>
          <w:szCs w:val="22"/>
          <w:lang w:val="en-US"/>
        </w:rPr>
        <w:t xml:space="preserve">hich interventions </w:t>
      </w:r>
      <w:r w:rsidRPr="69F06378" w:rsidR="13AAE841">
        <w:rPr>
          <w:rFonts w:ascii="Arial" w:hAnsi="Arial" w:eastAsia="Arial" w:cs="Arial"/>
          <w:noProof w:val="0"/>
          <w:sz w:val="22"/>
          <w:szCs w:val="22"/>
          <w:lang w:val="en-US"/>
        </w:rPr>
        <w:t>are most effective</w:t>
      </w:r>
      <w:r w:rsidRPr="69F06378" w:rsidR="326A0A70">
        <w:rPr>
          <w:rFonts w:ascii="Arial" w:hAnsi="Arial" w:eastAsia="Arial" w:cs="Arial"/>
          <w:noProof w:val="0"/>
          <w:sz w:val="22"/>
          <w:szCs w:val="22"/>
          <w:lang w:val="en-US"/>
        </w:rPr>
        <w:t xml:space="preserve"> in care homes.</w:t>
      </w:r>
    </w:p>
    <w:p w:rsidR="326A0A70" w:rsidP="69F06378" w:rsidRDefault="326A0A70" w14:paraId="2E0A40A1" w14:textId="6005261A">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Source 2</w:t>
      </w:r>
    </w:p>
    <w:p w:rsidR="326A0A70" w:rsidP="69F06378" w:rsidRDefault="326A0A70" w14:paraId="5416EBBC" w14:textId="2FD4BF66">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Davis, L., Botting, N., Cruice, M. and Dipper, L. (2022) ‘A systematic review of language and communication intervention research delivered in groups to older adults living in care homes’, International Journal of Language &amp; Communication Disorders, 57(1), pp. 182-225. Available at: </w:t>
      </w:r>
      <w:hyperlink r:id="Ra2910c64474c4f0f">
        <w:r w:rsidRPr="69F06378" w:rsidR="326A0A70">
          <w:rPr>
            <w:rStyle w:val="Hyperlink"/>
            <w:rFonts w:ascii="Arial" w:hAnsi="Arial" w:eastAsia="Arial" w:cs="Arial"/>
            <w:noProof w:val="0"/>
            <w:sz w:val="22"/>
            <w:szCs w:val="22"/>
            <w:lang w:val="en-US"/>
          </w:rPr>
          <w:t>https://doi.org/10.1111/1460-6984.12679</w:t>
        </w:r>
      </w:hyperlink>
      <w:r w:rsidRPr="69F06378" w:rsidR="326A0A70">
        <w:rPr>
          <w:rFonts w:ascii="Arial" w:hAnsi="Arial" w:eastAsia="Arial" w:cs="Arial"/>
          <w:noProof w:val="0"/>
          <w:sz w:val="22"/>
          <w:szCs w:val="22"/>
          <w:lang w:val="en-US"/>
        </w:rPr>
        <w:t>.</w:t>
      </w:r>
    </w:p>
    <w:p w:rsidR="326A0A70" w:rsidP="69F06378" w:rsidRDefault="326A0A70" w14:paraId="55B2240D" w14:textId="34C7CEF6">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Davis et al. review 22 studies of group interventions in care homes involving language or communication activities, including reminiscence, life review, cognitive </w:t>
      </w:r>
      <w:r w:rsidRPr="69F06378" w:rsidR="326A0A70">
        <w:rPr>
          <w:rFonts w:ascii="Arial" w:hAnsi="Arial" w:eastAsia="Arial" w:cs="Arial"/>
          <w:noProof w:val="0"/>
          <w:sz w:val="22"/>
          <w:szCs w:val="22"/>
          <w:lang w:val="en-US"/>
        </w:rPr>
        <w:t>stimulation</w:t>
      </w:r>
      <w:r w:rsidRPr="69F06378" w:rsidR="326A0A70">
        <w:rPr>
          <w:rFonts w:ascii="Arial" w:hAnsi="Arial" w:eastAsia="Arial" w:cs="Arial"/>
          <w:noProof w:val="0"/>
          <w:sz w:val="22"/>
          <w:szCs w:val="22"/>
          <w:lang w:val="en-US"/>
        </w:rPr>
        <w:t xml:space="preserve"> and storytelling. Across the </w:t>
      </w:r>
      <w:r w:rsidRPr="69F06378" w:rsidR="1EA27FA8">
        <w:rPr>
          <w:rFonts w:ascii="Arial" w:hAnsi="Arial" w:eastAsia="Arial" w:cs="Arial"/>
          <w:noProof w:val="0"/>
          <w:sz w:val="22"/>
          <w:szCs w:val="22"/>
          <w:lang w:val="en-US"/>
        </w:rPr>
        <w:t>studies</w:t>
      </w:r>
      <w:r w:rsidRPr="69F06378" w:rsidR="326A0A70">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 xml:space="preserve">improvements were reported in language, </w:t>
      </w:r>
      <w:r w:rsidRPr="69F06378" w:rsidR="6A09CC02">
        <w:rPr>
          <w:rFonts w:ascii="Arial" w:hAnsi="Arial" w:eastAsia="Arial" w:cs="Arial"/>
          <w:noProof w:val="0"/>
          <w:sz w:val="22"/>
          <w:szCs w:val="22"/>
          <w:lang w:val="en-US"/>
        </w:rPr>
        <w:t>communication,</w:t>
      </w:r>
      <w:r w:rsidRPr="69F06378" w:rsidR="326A0A70">
        <w:rPr>
          <w:rFonts w:ascii="Arial" w:hAnsi="Arial" w:eastAsia="Arial" w:cs="Arial"/>
          <w:noProof w:val="0"/>
          <w:sz w:val="22"/>
          <w:szCs w:val="22"/>
          <w:lang w:val="en-US"/>
        </w:rPr>
        <w:t xml:space="preserve"> and social </w:t>
      </w:r>
      <w:r w:rsidRPr="69F06378" w:rsidR="5ED61EAF">
        <w:rPr>
          <w:rFonts w:ascii="Arial" w:hAnsi="Arial" w:eastAsia="Arial" w:cs="Arial"/>
          <w:noProof w:val="0"/>
          <w:sz w:val="22"/>
          <w:szCs w:val="22"/>
          <w:lang w:val="en-US"/>
        </w:rPr>
        <w:t>interactions</w:t>
      </w:r>
      <w:r w:rsidRPr="69F06378" w:rsidR="326A0A70">
        <w:rPr>
          <w:rFonts w:ascii="Arial" w:hAnsi="Arial" w:eastAsia="Arial" w:cs="Arial"/>
          <w:noProof w:val="0"/>
          <w:sz w:val="22"/>
          <w:szCs w:val="22"/>
          <w:lang w:val="en-US"/>
        </w:rPr>
        <w:t>. The review is methodologically</w:t>
      </w:r>
      <w:r w:rsidRPr="69F06378" w:rsidR="4ED60E92">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useful because it draws</w:t>
      </w:r>
      <w:r w:rsidRPr="69F06378" w:rsidR="4F3DC3C2">
        <w:rPr>
          <w:rFonts w:ascii="Arial" w:hAnsi="Arial" w:eastAsia="Arial" w:cs="Arial"/>
          <w:noProof w:val="0"/>
          <w:sz w:val="22"/>
          <w:szCs w:val="22"/>
          <w:lang w:val="en-US"/>
        </w:rPr>
        <w:t xml:space="preserve"> together </w:t>
      </w:r>
      <w:r w:rsidRPr="69F06378" w:rsidR="326A0A70">
        <w:rPr>
          <w:rFonts w:ascii="Arial" w:hAnsi="Arial" w:eastAsia="Arial" w:cs="Arial"/>
          <w:noProof w:val="0"/>
          <w:sz w:val="22"/>
          <w:szCs w:val="22"/>
          <w:lang w:val="en-US"/>
        </w:rPr>
        <w:t xml:space="preserve">varied </w:t>
      </w:r>
      <w:r w:rsidRPr="69F06378" w:rsidR="1CAC3C35">
        <w:rPr>
          <w:rFonts w:ascii="Arial" w:hAnsi="Arial" w:eastAsia="Arial" w:cs="Arial"/>
          <w:noProof w:val="0"/>
          <w:sz w:val="22"/>
          <w:szCs w:val="22"/>
          <w:lang w:val="en-US"/>
        </w:rPr>
        <w:t>interventions, images</w:t>
      </w:r>
      <w:r w:rsidRPr="69F06378" w:rsidR="4C5709D9">
        <w:rPr>
          <w:rFonts w:ascii="Arial" w:hAnsi="Arial" w:eastAsia="Arial" w:cs="Arial"/>
          <w:noProof w:val="0"/>
          <w:sz w:val="22"/>
          <w:szCs w:val="22"/>
          <w:lang w:val="en-US"/>
        </w:rPr>
        <w:t>, and</w:t>
      </w:r>
      <w:r w:rsidRPr="69F06378" w:rsidR="540F29CD">
        <w:rPr>
          <w:rFonts w:ascii="Arial" w:hAnsi="Arial" w:eastAsia="Arial" w:cs="Arial"/>
          <w:noProof w:val="0"/>
          <w:sz w:val="22"/>
          <w:szCs w:val="22"/>
          <w:lang w:val="en-US"/>
        </w:rPr>
        <w:t xml:space="preserve"> group</w:t>
      </w:r>
      <w:r w:rsidRPr="69F06378" w:rsidR="4C5709D9">
        <w:rPr>
          <w:rFonts w:ascii="Arial" w:hAnsi="Arial" w:eastAsia="Arial" w:cs="Arial"/>
          <w:noProof w:val="0"/>
          <w:sz w:val="22"/>
          <w:szCs w:val="22"/>
          <w:lang w:val="en-US"/>
        </w:rPr>
        <w:t xml:space="preserve"> discussions </w:t>
      </w:r>
      <w:r w:rsidRPr="69F06378" w:rsidR="326A0A70">
        <w:rPr>
          <w:rFonts w:ascii="Arial" w:hAnsi="Arial" w:eastAsia="Arial" w:cs="Arial"/>
          <w:noProof w:val="0"/>
          <w:sz w:val="22"/>
          <w:szCs w:val="22"/>
          <w:lang w:val="en-US"/>
        </w:rPr>
        <w:t xml:space="preserve">rather than relying on one small study. It also </w:t>
      </w:r>
      <w:r w:rsidRPr="69F06378" w:rsidR="326A0A70">
        <w:rPr>
          <w:rFonts w:ascii="Arial" w:hAnsi="Arial" w:eastAsia="Arial" w:cs="Arial"/>
          <w:noProof w:val="0"/>
          <w:sz w:val="22"/>
          <w:szCs w:val="22"/>
          <w:lang w:val="en-US"/>
        </w:rPr>
        <w:t>identifies</w:t>
      </w:r>
      <w:r w:rsidRPr="69F06378" w:rsidR="326A0A70">
        <w:rPr>
          <w:rFonts w:ascii="Arial" w:hAnsi="Arial" w:eastAsia="Arial" w:cs="Arial"/>
          <w:noProof w:val="0"/>
          <w:sz w:val="22"/>
          <w:szCs w:val="22"/>
          <w:lang w:val="en-US"/>
        </w:rPr>
        <w:t xml:space="preserve"> social interaction and support as </w:t>
      </w:r>
      <w:r w:rsidRPr="69F06378" w:rsidR="326A0A70">
        <w:rPr>
          <w:rFonts w:ascii="Arial" w:hAnsi="Arial" w:eastAsia="Arial" w:cs="Arial"/>
          <w:noProof w:val="0"/>
          <w:sz w:val="22"/>
          <w:szCs w:val="22"/>
          <w:lang w:val="en-US"/>
        </w:rPr>
        <w:t>likely mechanisms</w:t>
      </w:r>
      <w:r w:rsidRPr="69F06378" w:rsidR="326A0A70">
        <w:rPr>
          <w:rFonts w:ascii="Arial" w:hAnsi="Arial" w:eastAsia="Arial" w:cs="Arial"/>
          <w:noProof w:val="0"/>
          <w:sz w:val="22"/>
          <w:szCs w:val="22"/>
          <w:lang w:val="en-US"/>
        </w:rPr>
        <w:t xml:space="preserve"> for improved wellbeing.</w:t>
      </w:r>
    </w:p>
    <w:p w:rsidR="326A0A70" w:rsidP="69F06378" w:rsidRDefault="326A0A70" w14:paraId="3360CB3A" w14:textId="307594AF">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This source is valuable because it provides practical evidence that communication-rich group activit</w:t>
      </w:r>
      <w:r w:rsidRPr="69F06378" w:rsidR="6FF8EC68">
        <w:rPr>
          <w:rFonts w:ascii="Arial" w:hAnsi="Arial" w:eastAsia="Arial" w:cs="Arial"/>
          <w:noProof w:val="0"/>
          <w:sz w:val="22"/>
          <w:szCs w:val="22"/>
          <w:lang w:val="en-US"/>
        </w:rPr>
        <w:t>ies</w:t>
      </w:r>
      <w:r w:rsidRPr="69F06378" w:rsidR="326A0A70">
        <w:rPr>
          <w:rFonts w:ascii="Arial" w:hAnsi="Arial" w:eastAsia="Arial" w:cs="Arial"/>
          <w:noProof w:val="0"/>
          <w:sz w:val="22"/>
          <w:szCs w:val="22"/>
          <w:lang w:val="en-US"/>
        </w:rPr>
        <w:t xml:space="preserve"> can support wellbeing in residential care. It shapes the argument by linking theory to </w:t>
      </w:r>
      <w:r w:rsidRPr="69F06378" w:rsidR="326A0A70">
        <w:rPr>
          <w:rFonts w:ascii="Arial" w:hAnsi="Arial" w:eastAsia="Arial" w:cs="Arial"/>
          <w:noProof w:val="0"/>
          <w:sz w:val="22"/>
          <w:szCs w:val="22"/>
          <w:lang w:val="en-US"/>
        </w:rPr>
        <w:t>care</w:t>
      </w:r>
      <w:r w:rsidRPr="69F06378" w:rsidR="15043C87">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home practice and offers concrete examples, such as reminiscence and narrative groups, that staff could adapt. It also highlights weaknesses in the evidence base, including fair</w:t>
      </w:r>
      <w:r w:rsidRPr="69F06378" w:rsidR="54418732">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quality</w:t>
      </w:r>
      <w:r w:rsidRPr="69F06378" w:rsidR="064A813D">
        <w:rPr>
          <w:rFonts w:ascii="Arial" w:hAnsi="Arial" w:eastAsia="Arial" w:cs="Arial"/>
          <w:noProof w:val="0"/>
          <w:sz w:val="22"/>
          <w:szCs w:val="22"/>
          <w:lang w:val="en-US"/>
        </w:rPr>
        <w:t xml:space="preserve"> of many</w:t>
      </w:r>
      <w:r w:rsidRPr="69F06378" w:rsidR="326A0A70">
        <w:rPr>
          <w:rFonts w:ascii="Arial" w:hAnsi="Arial" w:eastAsia="Arial" w:cs="Arial"/>
          <w:noProof w:val="0"/>
          <w:sz w:val="22"/>
          <w:szCs w:val="22"/>
          <w:lang w:val="en-US"/>
        </w:rPr>
        <w:t xml:space="preserve"> studies and inconsistent reporting. This </w:t>
      </w:r>
      <w:r w:rsidRPr="69F06378" w:rsidR="497213AF">
        <w:rPr>
          <w:rFonts w:ascii="Arial" w:hAnsi="Arial" w:eastAsia="Arial" w:cs="Arial"/>
          <w:noProof w:val="0"/>
          <w:sz w:val="22"/>
          <w:szCs w:val="22"/>
          <w:lang w:val="en-US"/>
        </w:rPr>
        <w:t>allows for</w:t>
      </w:r>
      <w:r w:rsidRPr="69F06378" w:rsidR="326A0A70">
        <w:rPr>
          <w:rFonts w:ascii="Arial" w:hAnsi="Arial" w:eastAsia="Arial" w:cs="Arial"/>
          <w:noProof w:val="0"/>
          <w:sz w:val="22"/>
          <w:szCs w:val="22"/>
          <w:lang w:val="en-US"/>
        </w:rPr>
        <w:t xml:space="preserve"> a balanced judgement:</w:t>
      </w:r>
      <w:r w:rsidRPr="69F06378" w:rsidR="7AF7FCB6">
        <w:rPr>
          <w:rFonts w:ascii="Arial" w:hAnsi="Arial" w:eastAsia="Arial" w:cs="Arial"/>
          <w:noProof w:val="0"/>
          <w:sz w:val="22"/>
          <w:szCs w:val="22"/>
          <w:lang w:val="en-US"/>
        </w:rPr>
        <w:t xml:space="preserve"> although</w:t>
      </w:r>
      <w:r w:rsidRPr="69F06378" w:rsidR="326A0A70">
        <w:rPr>
          <w:rFonts w:ascii="Arial" w:hAnsi="Arial" w:eastAsia="Arial" w:cs="Arial"/>
          <w:noProof w:val="0"/>
          <w:sz w:val="22"/>
          <w:szCs w:val="22"/>
          <w:lang w:val="en-US"/>
        </w:rPr>
        <w:t xml:space="preserve"> the interventions </w:t>
      </w:r>
      <w:r w:rsidRPr="69F06378" w:rsidR="433853BF">
        <w:rPr>
          <w:rFonts w:ascii="Arial" w:hAnsi="Arial" w:eastAsia="Arial" w:cs="Arial"/>
          <w:noProof w:val="0"/>
          <w:sz w:val="22"/>
          <w:szCs w:val="22"/>
          <w:lang w:val="en-US"/>
        </w:rPr>
        <w:t>appear promising,</w:t>
      </w:r>
      <w:r w:rsidRPr="69F06378" w:rsidR="326A0A70">
        <w:rPr>
          <w:rFonts w:ascii="Arial" w:hAnsi="Arial" w:eastAsia="Arial" w:cs="Arial"/>
          <w:noProof w:val="0"/>
          <w:sz w:val="22"/>
          <w:szCs w:val="22"/>
          <w:lang w:val="en-US"/>
        </w:rPr>
        <w:t xml:space="preserve"> outcomes should be reviewed.</w:t>
      </w:r>
    </w:p>
    <w:p w:rsidR="326A0A70" w:rsidP="69F06378" w:rsidRDefault="326A0A70" w14:paraId="33D930EC" w14:textId="390AF9DA">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Source 3</w:t>
      </w:r>
    </w:p>
    <w:p w:rsidR="326A0A70" w:rsidP="69F06378" w:rsidRDefault="326A0A70" w14:paraId="6BB74876" w14:textId="4F1C860E">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Cumming, E., Dean, L.R., Newell, </w:t>
      </w:r>
      <w:r w:rsidRPr="69F06378" w:rsidR="326A0A70">
        <w:rPr>
          <w:rFonts w:ascii="Arial" w:hAnsi="Arial" w:eastAsia="Arial" w:cs="Arial"/>
          <w:noProof w:val="0"/>
          <w:sz w:val="22"/>
          <w:szCs w:val="22"/>
          <w:lang w:val="en-US"/>
        </w:rPr>
        <w:t>D.S.</w:t>
      </w:r>
      <w:r w:rsidRPr="69F06378" w:rsidR="326A0A70">
        <w:rPr>
          <w:rFonts w:ascii="Arial" w:hAnsi="Arial" w:eastAsia="Arial" w:cs="Arial"/>
          <w:noProof w:val="0"/>
          <w:sz w:val="22"/>
          <w:szCs w:val="22"/>
          <w:lang w:val="en-US"/>
        </w:rPr>
        <w:t xml:space="preserve"> and McCaffrey, I. (1960) ‘Disengagement: A tentative theory of aging’, Sociometry, 23(1), pp. 23-35. Available at: </w:t>
      </w:r>
      <w:hyperlink r:id="R4c4c34ed8a2e4f4c">
        <w:r w:rsidRPr="69F06378" w:rsidR="326A0A70">
          <w:rPr>
            <w:rStyle w:val="Hyperlink"/>
            <w:rFonts w:ascii="Arial" w:hAnsi="Arial" w:eastAsia="Arial" w:cs="Arial"/>
            <w:noProof w:val="0"/>
            <w:sz w:val="22"/>
            <w:szCs w:val="22"/>
            <w:lang w:val="en-US"/>
          </w:rPr>
          <w:t>https://www.jstor.org/stable/2786135</w:t>
        </w:r>
      </w:hyperlink>
      <w:r w:rsidRPr="69F06378" w:rsidR="326A0A70">
        <w:rPr>
          <w:rFonts w:ascii="Arial" w:hAnsi="Arial" w:eastAsia="Arial" w:cs="Arial"/>
          <w:noProof w:val="0"/>
          <w:sz w:val="22"/>
          <w:szCs w:val="22"/>
          <w:lang w:val="en-US"/>
        </w:rPr>
        <w:t>.</w:t>
      </w:r>
    </w:p>
    <w:p w:rsidR="326A0A70" w:rsidP="69F06378" w:rsidRDefault="326A0A70" w14:paraId="2CBE2C26" w14:textId="04E8F761">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Cumming and colleagues present disengagement as a normal and functional part of ageing. They argue that later life involves mutual withdrawal between the older person and society, allowing social roles to pass to younger generations. This paper explains the </w:t>
      </w:r>
      <w:r w:rsidRPr="69F06378" w:rsidR="4230861B">
        <w:rPr>
          <w:rFonts w:ascii="Arial" w:hAnsi="Arial" w:eastAsia="Arial" w:cs="Arial"/>
          <w:noProof w:val="0"/>
          <w:sz w:val="22"/>
          <w:szCs w:val="22"/>
          <w:lang w:val="en-US"/>
        </w:rPr>
        <w:t xml:space="preserve">ideas </w:t>
      </w:r>
      <w:r w:rsidRPr="69F06378" w:rsidR="326A0A70">
        <w:rPr>
          <w:rFonts w:ascii="Arial" w:hAnsi="Arial" w:eastAsia="Arial" w:cs="Arial"/>
          <w:noProof w:val="0"/>
          <w:sz w:val="22"/>
          <w:szCs w:val="22"/>
          <w:lang w:val="en-US"/>
        </w:rPr>
        <w:t xml:space="preserve">behind an influential view of later life, including reduced interaction, </w:t>
      </w:r>
      <w:r w:rsidRPr="69F06378" w:rsidR="1390A984">
        <w:rPr>
          <w:rFonts w:ascii="Arial" w:hAnsi="Arial" w:eastAsia="Arial" w:cs="Arial"/>
          <w:noProof w:val="0"/>
          <w:sz w:val="22"/>
          <w:szCs w:val="22"/>
          <w:lang w:val="en-US"/>
        </w:rPr>
        <w:t xml:space="preserve">fewer </w:t>
      </w:r>
      <w:r w:rsidRPr="69F06378" w:rsidR="326A0A70">
        <w:rPr>
          <w:rFonts w:ascii="Arial" w:hAnsi="Arial" w:eastAsia="Arial" w:cs="Arial"/>
          <w:noProof w:val="0"/>
          <w:sz w:val="22"/>
          <w:szCs w:val="22"/>
          <w:lang w:val="en-US"/>
        </w:rPr>
        <w:t xml:space="preserve">social </w:t>
      </w:r>
      <w:r w:rsidRPr="69F06378" w:rsidR="6E5DA254">
        <w:rPr>
          <w:rFonts w:ascii="Arial" w:hAnsi="Arial" w:eastAsia="Arial" w:cs="Arial"/>
          <w:noProof w:val="0"/>
          <w:sz w:val="22"/>
          <w:szCs w:val="22"/>
          <w:lang w:val="en-US"/>
        </w:rPr>
        <w:t>expectations,</w:t>
      </w:r>
      <w:r w:rsidRPr="69F06378" w:rsidR="326A0A70">
        <w:rPr>
          <w:rFonts w:ascii="Arial" w:hAnsi="Arial" w:eastAsia="Arial" w:cs="Arial"/>
          <w:noProof w:val="0"/>
          <w:sz w:val="22"/>
          <w:szCs w:val="22"/>
          <w:lang w:val="en-US"/>
        </w:rPr>
        <w:t xml:space="preserve"> and adjustment to mortality.</w:t>
      </w:r>
    </w:p>
    <w:p w:rsidR="326A0A70" w:rsidP="69F06378" w:rsidRDefault="326A0A70" w14:paraId="21BC4291" w14:textId="7E782185">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This source is significant because it provides the original basis of Social Disengagement Theory and helps explain why some services have historically been </w:t>
      </w:r>
      <w:r w:rsidRPr="69F06378" w:rsidR="326A0A70">
        <w:rPr>
          <w:rFonts w:ascii="Arial" w:hAnsi="Arial" w:eastAsia="Arial" w:cs="Arial"/>
          <w:noProof w:val="0"/>
          <w:sz w:val="22"/>
          <w:szCs w:val="22"/>
          <w:lang w:val="en-US"/>
        </w:rPr>
        <w:t>organised</w:t>
      </w:r>
      <w:r w:rsidRPr="69F06378" w:rsidR="326A0A70">
        <w:rPr>
          <w:rFonts w:ascii="Arial" w:hAnsi="Arial" w:eastAsia="Arial" w:cs="Arial"/>
          <w:noProof w:val="0"/>
          <w:sz w:val="22"/>
          <w:szCs w:val="22"/>
          <w:lang w:val="en-US"/>
        </w:rPr>
        <w:t xml:space="preserve"> around low expectations of participation. It shapes the </w:t>
      </w:r>
      <w:r w:rsidRPr="69F06378" w:rsidR="118702FD">
        <w:rPr>
          <w:rFonts w:ascii="Arial" w:hAnsi="Arial" w:eastAsia="Arial" w:cs="Arial"/>
          <w:noProof w:val="0"/>
          <w:sz w:val="22"/>
          <w:szCs w:val="22"/>
          <w:lang w:val="en-US"/>
        </w:rPr>
        <w:t xml:space="preserve">argument </w:t>
      </w:r>
      <w:r w:rsidRPr="69F06378" w:rsidR="326A0A70">
        <w:rPr>
          <w:rFonts w:ascii="Arial" w:hAnsi="Arial" w:eastAsia="Arial" w:cs="Arial"/>
          <w:noProof w:val="0"/>
          <w:sz w:val="22"/>
          <w:szCs w:val="22"/>
          <w:lang w:val="en-US"/>
        </w:rPr>
        <w:t xml:space="preserve">by showing one </w:t>
      </w:r>
      <w:r w:rsidRPr="69F06378" w:rsidR="326A0A70">
        <w:rPr>
          <w:rFonts w:ascii="Arial" w:hAnsi="Arial" w:eastAsia="Arial" w:cs="Arial"/>
          <w:noProof w:val="0"/>
          <w:sz w:val="22"/>
          <w:szCs w:val="22"/>
          <w:lang w:val="en-US"/>
        </w:rPr>
        <w:t>possible interpretation</w:t>
      </w:r>
      <w:r w:rsidRPr="69F06378" w:rsidR="326A0A70">
        <w:rPr>
          <w:rFonts w:ascii="Arial" w:hAnsi="Arial" w:eastAsia="Arial" w:cs="Arial"/>
          <w:noProof w:val="0"/>
          <w:sz w:val="22"/>
          <w:szCs w:val="22"/>
          <w:lang w:val="en-US"/>
        </w:rPr>
        <w:t xml:space="preserve"> of reduced activity in older age. However, it risks treating withdrawal as universal and beneficial</w:t>
      </w:r>
      <w:r w:rsidRPr="69F06378" w:rsidR="2B0370B6">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when</w:t>
      </w:r>
      <w:r w:rsidRPr="69F06378" w:rsidR="71D7CF60">
        <w:rPr>
          <w:rFonts w:ascii="Arial" w:hAnsi="Arial" w:eastAsia="Arial" w:cs="Arial"/>
          <w:noProof w:val="0"/>
          <w:sz w:val="22"/>
          <w:szCs w:val="22"/>
          <w:lang w:val="en-US"/>
        </w:rPr>
        <w:t xml:space="preserve"> in reality </w:t>
      </w:r>
      <w:r w:rsidRPr="69F06378" w:rsidR="71D7CF60">
        <w:rPr>
          <w:rFonts w:ascii="Arial" w:hAnsi="Arial" w:eastAsia="Arial" w:cs="Arial"/>
          <w:noProof w:val="0"/>
          <w:sz w:val="22"/>
          <w:szCs w:val="22"/>
          <w:lang w:val="en-US"/>
        </w:rPr>
        <w:t>disenga</w:t>
      </w:r>
      <w:r w:rsidRPr="69F06378" w:rsidR="490B87C0">
        <w:rPr>
          <w:rFonts w:ascii="Arial" w:hAnsi="Arial" w:eastAsia="Arial" w:cs="Arial"/>
          <w:noProof w:val="0"/>
          <w:sz w:val="22"/>
          <w:szCs w:val="22"/>
          <w:lang w:val="en-US"/>
        </w:rPr>
        <w:t>g</w:t>
      </w:r>
      <w:r w:rsidRPr="69F06378" w:rsidR="71D7CF60">
        <w:rPr>
          <w:rFonts w:ascii="Arial" w:hAnsi="Arial" w:eastAsia="Arial" w:cs="Arial"/>
          <w:noProof w:val="0"/>
          <w:sz w:val="22"/>
          <w:szCs w:val="22"/>
          <w:lang w:val="en-US"/>
        </w:rPr>
        <w:t>ment</w:t>
      </w:r>
      <w:r w:rsidRPr="69F06378" w:rsidR="71D7CF60">
        <w:rPr>
          <w:rFonts w:ascii="Arial" w:hAnsi="Arial" w:eastAsia="Arial" w:cs="Arial"/>
          <w:noProof w:val="0"/>
          <w:sz w:val="22"/>
          <w:szCs w:val="22"/>
          <w:lang w:val="en-US"/>
        </w:rPr>
        <w:t xml:space="preserve"> may be shaped by</w:t>
      </w:r>
      <w:r w:rsidRPr="69F06378" w:rsidR="326A0A70">
        <w:rPr>
          <w:rFonts w:ascii="Arial" w:hAnsi="Arial" w:eastAsia="Arial" w:cs="Arial"/>
          <w:noProof w:val="0"/>
          <w:sz w:val="22"/>
          <w:szCs w:val="22"/>
          <w:lang w:val="en-US"/>
        </w:rPr>
        <w:t xml:space="preserve"> ill </w:t>
      </w:r>
      <w:r w:rsidRPr="69F06378" w:rsidR="6040B718">
        <w:rPr>
          <w:rFonts w:ascii="Arial" w:hAnsi="Arial" w:eastAsia="Arial" w:cs="Arial"/>
          <w:noProof w:val="0"/>
          <w:sz w:val="22"/>
          <w:szCs w:val="22"/>
          <w:lang w:val="en-US"/>
        </w:rPr>
        <w:t>health;</w:t>
      </w:r>
      <w:r w:rsidRPr="69F06378" w:rsidR="326A0A70">
        <w:rPr>
          <w:rFonts w:ascii="Arial" w:hAnsi="Arial" w:eastAsia="Arial" w:cs="Arial"/>
          <w:noProof w:val="0"/>
          <w:sz w:val="22"/>
          <w:szCs w:val="22"/>
          <w:lang w:val="en-US"/>
        </w:rPr>
        <w:t xml:space="preserve"> bereavement or routines may force disengagement. In practice, the theory is more useful to question than to apply directly.</w:t>
      </w:r>
    </w:p>
    <w:p w:rsidR="326A0A70" w:rsidP="69F06378" w:rsidRDefault="326A0A70" w14:paraId="0C26F3DD" w14:textId="0730E6B7">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Source 4</w:t>
      </w:r>
    </w:p>
    <w:p w:rsidR="326A0A70" w:rsidP="69F06378" w:rsidRDefault="326A0A70" w14:paraId="687084D0" w14:textId="4371EF86">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Ejiri, M., Kawai, H., Ito, K., Hirano, H., Fujiwara, Y., Ihara, K., Kim, H. and Obuchi, S. (2022) ‘Association of social disengagement with health status and all-cause mortality among community-dwelling older adults: evidence from the </w:t>
      </w:r>
      <w:r w:rsidRPr="69F06378" w:rsidR="326A0A70">
        <w:rPr>
          <w:rFonts w:ascii="Arial" w:hAnsi="Arial" w:eastAsia="Arial" w:cs="Arial"/>
          <w:noProof w:val="0"/>
          <w:sz w:val="22"/>
          <w:szCs w:val="22"/>
          <w:lang w:val="en-US"/>
        </w:rPr>
        <w:t>Otassha</w:t>
      </w:r>
      <w:r w:rsidRPr="69F06378" w:rsidR="326A0A70">
        <w:rPr>
          <w:rFonts w:ascii="Arial" w:hAnsi="Arial" w:eastAsia="Arial" w:cs="Arial"/>
          <w:noProof w:val="0"/>
          <w:sz w:val="22"/>
          <w:szCs w:val="22"/>
          <w:lang w:val="en-US"/>
        </w:rPr>
        <w:t xml:space="preserve"> study’, Scientific Reports, 12, 17883. Available at: </w:t>
      </w:r>
      <w:hyperlink r:id="R4d3ae13f3e2d42cc">
        <w:r w:rsidRPr="69F06378" w:rsidR="326A0A70">
          <w:rPr>
            <w:rStyle w:val="Hyperlink"/>
            <w:rFonts w:ascii="Arial" w:hAnsi="Arial" w:eastAsia="Arial" w:cs="Arial"/>
            <w:noProof w:val="0"/>
            <w:sz w:val="22"/>
            <w:szCs w:val="22"/>
            <w:lang w:val="en-US"/>
          </w:rPr>
          <w:t>https://doi.org/10.1038/s41598-022-22609-y</w:t>
        </w:r>
      </w:hyperlink>
      <w:r w:rsidRPr="69F06378" w:rsidR="326A0A70">
        <w:rPr>
          <w:rFonts w:ascii="Arial" w:hAnsi="Arial" w:eastAsia="Arial" w:cs="Arial"/>
          <w:noProof w:val="0"/>
          <w:sz w:val="22"/>
          <w:szCs w:val="22"/>
          <w:lang w:val="en-US"/>
        </w:rPr>
        <w:t>.</w:t>
      </w:r>
    </w:p>
    <w:p w:rsidR="326A0A70" w:rsidP="69F06378" w:rsidRDefault="326A0A70" w14:paraId="20A832E2" w14:textId="2F8B4885">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Ejiri et al. examine whether increasing withdrawal from society is linked with poorer outcomes in older adults. Using </w:t>
      </w:r>
      <w:r w:rsidRPr="69F06378" w:rsidR="03641363">
        <w:rPr>
          <w:rFonts w:ascii="Arial" w:hAnsi="Arial" w:eastAsia="Arial" w:cs="Arial"/>
          <w:noProof w:val="0"/>
          <w:sz w:val="22"/>
          <w:szCs w:val="22"/>
          <w:lang w:val="en-US"/>
        </w:rPr>
        <w:t xml:space="preserve">follow up </w:t>
      </w:r>
      <w:r w:rsidRPr="69F06378" w:rsidR="326A0A70">
        <w:rPr>
          <w:rFonts w:ascii="Arial" w:hAnsi="Arial" w:eastAsia="Arial" w:cs="Arial"/>
          <w:noProof w:val="0"/>
          <w:sz w:val="22"/>
          <w:szCs w:val="22"/>
          <w:lang w:val="en-US"/>
        </w:rPr>
        <w:t>data from Japan, they found that higher levels of disengagement were associated with worse self-rated health and increased mortality risk. This contemporary quantitative study is methodologically distinct because it tests theory against measurable outcomes over time.</w:t>
      </w:r>
    </w:p>
    <w:p w:rsidR="326A0A70" w:rsidP="69F06378" w:rsidRDefault="326A0A70" w14:paraId="361C16FB" w14:textId="360FA2AD">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For health and social care, this article updates the </w:t>
      </w:r>
      <w:r w:rsidRPr="69F06378" w:rsidR="33661D38">
        <w:rPr>
          <w:rFonts w:ascii="Arial" w:hAnsi="Arial" w:eastAsia="Arial" w:cs="Arial"/>
          <w:noProof w:val="0"/>
          <w:sz w:val="22"/>
          <w:szCs w:val="22"/>
          <w:lang w:val="en-US"/>
        </w:rPr>
        <w:t>disengagement of</w:t>
      </w:r>
      <w:r w:rsidRPr="69F06378" w:rsidR="326A0A70">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 xml:space="preserve">debate with contemporary evidence. It suggests that when older adults stop attending activities or services, staff should not assume the change is natural or harmless. The findings encourage earlier assessment of loneliness, reduced </w:t>
      </w:r>
      <w:r w:rsidRPr="69F06378" w:rsidR="56F13EA8">
        <w:rPr>
          <w:rFonts w:ascii="Arial" w:hAnsi="Arial" w:eastAsia="Arial" w:cs="Arial"/>
          <w:noProof w:val="0"/>
          <w:sz w:val="22"/>
          <w:szCs w:val="22"/>
          <w:lang w:val="en-US"/>
        </w:rPr>
        <w:t>participation,</w:t>
      </w:r>
      <w:r w:rsidRPr="69F06378" w:rsidR="326A0A70">
        <w:rPr>
          <w:rFonts w:ascii="Arial" w:hAnsi="Arial" w:eastAsia="Arial" w:cs="Arial"/>
          <w:noProof w:val="0"/>
          <w:sz w:val="22"/>
          <w:szCs w:val="22"/>
          <w:lang w:val="en-US"/>
        </w:rPr>
        <w:t xml:space="preserve"> and declining confidence. However, the study was community-based rather than residential, so transfr to care homes should be cautious. Even so, it shows that social withdrawal may signal risk rather than healthy adjustment.</w:t>
      </w:r>
    </w:p>
    <w:p w:rsidR="69F06378" w:rsidP="69F06378" w:rsidRDefault="69F06378" w14:paraId="31E73291" w14:textId="75C2C18C">
      <w:pPr>
        <w:bidi w:val="0"/>
        <w:spacing w:line="360" w:lineRule="auto"/>
        <w:jc w:val="left"/>
        <w:rPr>
          <w:sz w:val="22"/>
          <w:szCs w:val="22"/>
        </w:rPr>
      </w:pPr>
    </w:p>
    <w:p w:rsidR="69F06378" w:rsidP="69F06378" w:rsidRDefault="69F06378" w14:paraId="62B6C1C7" w14:textId="20618BCF">
      <w:pPr>
        <w:bidi w:val="0"/>
        <w:spacing w:line="360" w:lineRule="auto"/>
        <w:jc w:val="left"/>
        <w:rPr>
          <w:sz w:val="22"/>
          <w:szCs w:val="22"/>
        </w:rPr>
      </w:pPr>
    </w:p>
    <w:p w:rsidR="69F06378" w:rsidP="69F06378" w:rsidRDefault="69F06378" w14:paraId="2906F02C" w14:textId="52668457">
      <w:pPr>
        <w:bidi w:val="0"/>
        <w:spacing w:line="360" w:lineRule="auto"/>
        <w:jc w:val="left"/>
        <w:rPr>
          <w:sz w:val="22"/>
          <w:szCs w:val="22"/>
        </w:rPr>
      </w:pPr>
    </w:p>
    <w:p w:rsidR="69F06378" w:rsidP="69F06378" w:rsidRDefault="69F06378" w14:paraId="42201659" w14:textId="00ABCE9C">
      <w:pPr>
        <w:bidi w:val="0"/>
        <w:spacing w:line="360" w:lineRule="auto"/>
        <w:jc w:val="left"/>
        <w:rPr>
          <w:sz w:val="22"/>
          <w:szCs w:val="22"/>
        </w:rPr>
      </w:pPr>
    </w:p>
    <w:p w:rsidR="69F06378" w:rsidP="69F06378" w:rsidRDefault="69F06378" w14:paraId="00747644" w14:textId="3C28F5F7">
      <w:pPr>
        <w:bidi w:val="0"/>
        <w:spacing w:line="360" w:lineRule="auto"/>
        <w:jc w:val="left"/>
        <w:rPr>
          <w:sz w:val="22"/>
          <w:szCs w:val="22"/>
        </w:rPr>
      </w:pPr>
    </w:p>
    <w:p w:rsidR="69F06378" w:rsidP="69F06378" w:rsidRDefault="69F06378" w14:paraId="33DDE7E5" w14:textId="78BE1049">
      <w:pPr>
        <w:bidi w:val="0"/>
        <w:spacing w:line="360" w:lineRule="auto"/>
        <w:jc w:val="left"/>
        <w:rPr>
          <w:sz w:val="22"/>
          <w:szCs w:val="22"/>
        </w:rPr>
      </w:pPr>
    </w:p>
    <w:p w:rsidR="69F06378" w:rsidP="69F06378" w:rsidRDefault="69F06378" w14:paraId="623D711E" w14:textId="501ECE03">
      <w:pPr>
        <w:bidi w:val="0"/>
        <w:spacing w:line="360" w:lineRule="auto"/>
        <w:jc w:val="left"/>
        <w:rPr>
          <w:sz w:val="22"/>
          <w:szCs w:val="22"/>
        </w:rPr>
      </w:pPr>
    </w:p>
    <w:p w:rsidR="69F06378" w:rsidP="69F06378" w:rsidRDefault="69F06378" w14:paraId="50361BE4" w14:textId="20F33BEA">
      <w:pPr>
        <w:bidi w:val="0"/>
        <w:spacing w:line="360" w:lineRule="auto"/>
        <w:jc w:val="left"/>
        <w:rPr>
          <w:sz w:val="22"/>
          <w:szCs w:val="22"/>
        </w:rPr>
      </w:pPr>
    </w:p>
    <w:p w:rsidR="69F06378" w:rsidP="69F06378" w:rsidRDefault="69F06378" w14:paraId="190881E8" w14:textId="36413650">
      <w:pPr>
        <w:bidi w:val="0"/>
        <w:spacing w:line="360" w:lineRule="auto"/>
        <w:jc w:val="left"/>
        <w:rPr>
          <w:sz w:val="22"/>
          <w:szCs w:val="22"/>
        </w:rPr>
      </w:pPr>
    </w:p>
    <w:p w:rsidR="69F06378" w:rsidP="69F06378" w:rsidRDefault="69F06378" w14:paraId="2F1E62DE" w14:textId="20867EE9">
      <w:pPr>
        <w:bidi w:val="0"/>
        <w:spacing w:line="360" w:lineRule="auto"/>
        <w:jc w:val="left"/>
        <w:rPr>
          <w:sz w:val="22"/>
          <w:szCs w:val="22"/>
        </w:rPr>
      </w:pPr>
    </w:p>
    <w:p w:rsidR="69F06378" w:rsidP="69F06378" w:rsidRDefault="69F06378" w14:paraId="1B8D7939" w14:textId="58F1C02C">
      <w:pPr>
        <w:bidi w:val="0"/>
        <w:spacing w:line="360" w:lineRule="auto"/>
        <w:jc w:val="left"/>
        <w:rPr>
          <w:sz w:val="22"/>
          <w:szCs w:val="22"/>
        </w:rPr>
      </w:pPr>
    </w:p>
    <w:p w:rsidR="69F06378" w:rsidP="69F06378" w:rsidRDefault="69F06378" w14:paraId="1BBD084D" w14:textId="14E27028">
      <w:pPr>
        <w:bidi w:val="0"/>
        <w:spacing w:line="360" w:lineRule="auto"/>
        <w:jc w:val="left"/>
        <w:rPr>
          <w:sz w:val="22"/>
          <w:szCs w:val="22"/>
        </w:rPr>
      </w:pPr>
    </w:p>
    <w:p w:rsidR="69F06378" w:rsidP="69F06378" w:rsidRDefault="69F06378" w14:paraId="7A28A5DE" w14:textId="52E6FC14">
      <w:pPr>
        <w:bidi w:val="0"/>
        <w:spacing w:line="360" w:lineRule="auto"/>
        <w:jc w:val="left"/>
        <w:rPr>
          <w:sz w:val="22"/>
          <w:szCs w:val="22"/>
        </w:rPr>
      </w:pPr>
    </w:p>
    <w:p w:rsidR="69F06378" w:rsidP="69F06378" w:rsidRDefault="69F06378" w14:paraId="6D9862EB" w14:textId="3E812117">
      <w:pPr>
        <w:bidi w:val="0"/>
        <w:spacing w:line="360" w:lineRule="auto"/>
        <w:jc w:val="left"/>
        <w:rPr>
          <w:sz w:val="22"/>
          <w:szCs w:val="22"/>
        </w:rPr>
      </w:pPr>
    </w:p>
    <w:p w:rsidR="69F06378" w:rsidP="69F06378" w:rsidRDefault="69F06378" w14:paraId="2F56C0DC" w14:textId="739D52C0">
      <w:pPr>
        <w:pStyle w:val="Normal"/>
        <w:bidi w:val="0"/>
        <w:spacing w:line="360" w:lineRule="auto"/>
        <w:jc w:val="left"/>
        <w:rPr>
          <w:sz w:val="22"/>
          <w:szCs w:val="22"/>
        </w:rPr>
      </w:pPr>
    </w:p>
    <w:p w:rsidR="69F06378" w:rsidRDefault="69F06378" w14:paraId="44603B64" w14:textId="484B42B2">
      <w:r>
        <w:br w:type="page"/>
      </w:r>
    </w:p>
    <w:p w:rsidR="326A0A70" w:rsidP="69F06378" w:rsidRDefault="326A0A70" w14:paraId="1AA10950" w14:textId="3D61DFBF">
      <w:pPr>
        <w:pStyle w:val="Normal"/>
        <w:bidi w:val="0"/>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Part B: Short Report</w:t>
      </w:r>
    </w:p>
    <w:p w:rsidR="326A0A70" w:rsidP="69F06378" w:rsidRDefault="326A0A70" w14:paraId="08941F9A" w14:textId="28951F09">
      <w:pPr>
        <w:pStyle w:val="Heading1"/>
        <w:bidi w:val="0"/>
        <w:spacing w:before="48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69F06378" w:rsidR="326A0A70">
        <w:rPr>
          <w:rFonts w:ascii="Arial" w:hAnsi="Arial" w:eastAsia="Arial" w:cs="Arial"/>
          <w:b w:val="1"/>
          <w:bCs w:val="1"/>
          <w:noProof w:val="0"/>
          <w:color w:val="000000" w:themeColor="text1" w:themeTint="FF" w:themeShade="FF"/>
          <w:sz w:val="22"/>
          <w:szCs w:val="22"/>
          <w:lang w:val="en-US"/>
        </w:rPr>
        <w:t>Applying Vygotsk</w:t>
      </w:r>
      <w:r w:rsidRPr="69F06378" w:rsidR="326A0A70">
        <w:rPr>
          <w:rFonts w:ascii="Arial" w:hAnsi="Arial" w:eastAsia="Arial" w:cs="Arial"/>
          <w:b w:val="1"/>
          <w:bCs w:val="1"/>
          <w:noProof w:val="0"/>
          <w:color w:val="000000" w:themeColor="text1" w:themeTint="FF" w:themeShade="FF"/>
          <w:sz w:val="22"/>
          <w:szCs w:val="22"/>
          <w:lang w:val="en-US"/>
        </w:rPr>
        <w:t>y’s Sociocultural Theory to Improve Psychological Wellbeing in Residential Care</w:t>
      </w:r>
    </w:p>
    <w:p w:rsidR="326A0A70" w:rsidP="69F06378" w:rsidRDefault="326A0A70" w14:paraId="1FD41DFF" w14:textId="2ABB1613">
      <w:pPr>
        <w:bidi w:val="0"/>
        <w:spacing w:before="0" w:beforeAutospacing="off" w:after="120" w:afterAutospacing="off" w:line="360" w:lineRule="auto"/>
        <w:jc w:val="left"/>
        <w:rPr>
          <w:rFonts w:ascii="Arial" w:hAnsi="Arial" w:eastAsia="Arial" w:cs="Arial"/>
          <w:noProof w:val="0"/>
          <w:color w:val="000000" w:themeColor="text1" w:themeTint="FF" w:themeShade="FF"/>
          <w:sz w:val="22"/>
          <w:szCs w:val="22"/>
          <w:lang w:val="en-US"/>
        </w:rPr>
      </w:pPr>
      <w:r w:rsidRPr="69F06378" w:rsidR="326A0A70">
        <w:rPr>
          <w:rFonts w:ascii="Arial" w:hAnsi="Arial" w:eastAsia="Arial" w:cs="Arial"/>
          <w:noProof w:val="0"/>
          <w:color w:val="000000" w:themeColor="text1" w:themeTint="FF" w:themeShade="FF"/>
          <w:sz w:val="22"/>
          <w:szCs w:val="22"/>
          <w:lang w:val="en-US"/>
        </w:rPr>
        <w:t>Applying Vygotsky’s sociocultural theory in a residential care home</w:t>
      </w:r>
    </w:p>
    <w:p w:rsidR="326A0A70" w:rsidP="69F06378" w:rsidRDefault="326A0A70" w14:paraId="608597E2" w14:textId="2DC83BE2">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Vygotsky’s sociocultural theory can improve psychological wellbeing in older adults because it views development as shaped by social interaction, language, and participation in meaningful cultural activity. Although Vygotsky wrote </w:t>
      </w:r>
      <w:r w:rsidRPr="69F06378" w:rsidR="326A0A70">
        <w:rPr>
          <w:rFonts w:ascii="Arial" w:hAnsi="Arial" w:eastAsia="Arial" w:cs="Arial"/>
          <w:noProof w:val="0"/>
          <w:sz w:val="22"/>
          <w:szCs w:val="22"/>
          <w:lang w:val="en-US"/>
        </w:rPr>
        <w:t>mainly about</w:t>
      </w:r>
      <w:r w:rsidRPr="69F06378" w:rsidR="326A0A70">
        <w:rPr>
          <w:rFonts w:ascii="Arial" w:hAnsi="Arial" w:eastAsia="Arial" w:cs="Arial"/>
          <w:noProof w:val="0"/>
          <w:sz w:val="22"/>
          <w:szCs w:val="22"/>
          <w:lang w:val="en-US"/>
        </w:rPr>
        <w:t xml:space="preserve"> children, the central idea can be applied to later life: people continue to learn and develop through guided interaction with others. </w:t>
      </w:r>
      <w:r w:rsidRPr="69F06378" w:rsidR="326A0A70">
        <w:rPr>
          <w:rFonts w:ascii="Arial" w:hAnsi="Arial" w:eastAsia="Arial" w:cs="Arial"/>
          <w:noProof w:val="0"/>
          <w:sz w:val="22"/>
          <w:szCs w:val="22"/>
          <w:lang w:val="en-US"/>
        </w:rPr>
        <w:t>Zittoun</w:t>
      </w:r>
      <w:r w:rsidRPr="69F06378" w:rsidR="326A0A70">
        <w:rPr>
          <w:rFonts w:ascii="Arial" w:hAnsi="Arial" w:eastAsia="Arial" w:cs="Arial"/>
          <w:noProof w:val="0"/>
          <w:sz w:val="22"/>
          <w:szCs w:val="22"/>
          <w:lang w:val="en-US"/>
        </w:rPr>
        <w:t xml:space="preserve"> and </w:t>
      </w:r>
      <w:r w:rsidRPr="69F06378" w:rsidR="326A0A70">
        <w:rPr>
          <w:rFonts w:ascii="Arial" w:hAnsi="Arial" w:eastAsia="Arial" w:cs="Arial"/>
          <w:noProof w:val="0"/>
          <w:sz w:val="22"/>
          <w:szCs w:val="22"/>
          <w:lang w:val="en-US"/>
        </w:rPr>
        <w:t>Baucal</w:t>
      </w:r>
      <w:r w:rsidRPr="69F06378" w:rsidR="326A0A70">
        <w:rPr>
          <w:rFonts w:ascii="Arial" w:hAnsi="Arial" w:eastAsia="Arial" w:cs="Arial"/>
          <w:noProof w:val="0"/>
          <w:sz w:val="22"/>
          <w:szCs w:val="22"/>
          <w:lang w:val="en-US"/>
        </w:rPr>
        <w:t xml:space="preserve"> (2021) extend this sociocultural logic to older age by arguing that seeing people over 65 only as ‘retired’ and ‘ageing’ creates an ‘ethical impasse’ (p. 4). In a care home, this means residents should not be treated as passive recipients of care, but as people who can still communicate, </w:t>
      </w:r>
      <w:r w:rsidRPr="69F06378" w:rsidR="326A0A70">
        <w:rPr>
          <w:rFonts w:ascii="Arial" w:hAnsi="Arial" w:eastAsia="Arial" w:cs="Arial"/>
          <w:noProof w:val="0"/>
          <w:sz w:val="22"/>
          <w:szCs w:val="22"/>
          <w:lang w:val="en-US"/>
        </w:rPr>
        <w:t>contribute,</w:t>
      </w:r>
      <w:r w:rsidRPr="69F06378" w:rsidR="326A0A70">
        <w:rPr>
          <w:rFonts w:ascii="Arial" w:hAnsi="Arial" w:eastAsia="Arial" w:cs="Arial"/>
          <w:noProof w:val="0"/>
          <w:sz w:val="22"/>
          <w:szCs w:val="22"/>
          <w:lang w:val="en-US"/>
        </w:rPr>
        <w:t xml:space="preserve"> and make meaning through relationships and activity.</w:t>
      </w:r>
    </w:p>
    <w:p w:rsidR="326A0A70" w:rsidP="69F06378" w:rsidRDefault="326A0A70" w14:paraId="233CC5E4" w14:textId="2EAA5F2F">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A sociocultural approach would</w:t>
      </w:r>
      <w:r w:rsidRPr="69F06378" w:rsidR="02744C28">
        <w:rPr>
          <w:rFonts w:ascii="Arial" w:hAnsi="Arial" w:eastAsia="Arial" w:cs="Arial"/>
          <w:noProof w:val="0"/>
          <w:sz w:val="22"/>
          <w:szCs w:val="22"/>
          <w:lang w:val="en-US"/>
        </w:rPr>
        <w:t xml:space="preserve"> encourage staff to design daily life so </w:t>
      </w:r>
      <w:r w:rsidRPr="69F06378" w:rsidR="47F85445">
        <w:rPr>
          <w:rFonts w:ascii="Arial" w:hAnsi="Arial" w:eastAsia="Arial" w:cs="Arial"/>
          <w:noProof w:val="0"/>
          <w:sz w:val="22"/>
          <w:szCs w:val="22"/>
          <w:lang w:val="en-US"/>
        </w:rPr>
        <w:t>that</w:t>
      </w:r>
      <w:r w:rsidRPr="69F06378" w:rsidR="02744C28">
        <w:rPr>
          <w:rFonts w:ascii="Arial" w:hAnsi="Arial" w:eastAsia="Arial" w:cs="Arial"/>
          <w:noProof w:val="0"/>
          <w:sz w:val="22"/>
          <w:szCs w:val="22"/>
          <w:lang w:val="en-US"/>
        </w:rPr>
        <w:t xml:space="preserve"> residents are participants and not just service users</w:t>
      </w:r>
      <w:r w:rsidRPr="69F06378" w:rsidR="326A0A70">
        <w:rPr>
          <w:rFonts w:ascii="Arial" w:hAnsi="Arial" w:eastAsia="Arial" w:cs="Arial"/>
          <w:noProof w:val="0"/>
          <w:sz w:val="22"/>
          <w:szCs w:val="22"/>
          <w:lang w:val="en-US"/>
        </w:rPr>
        <w:t xml:space="preserve">. This </w:t>
      </w:r>
      <w:r w:rsidRPr="69F06378" w:rsidR="15A0070F">
        <w:rPr>
          <w:rFonts w:ascii="Arial" w:hAnsi="Arial" w:eastAsia="Arial" w:cs="Arial"/>
          <w:noProof w:val="0"/>
          <w:sz w:val="22"/>
          <w:szCs w:val="22"/>
          <w:lang w:val="en-US"/>
        </w:rPr>
        <w:t xml:space="preserve">could include group reminiscence, storytelling circles, shared reading, music-based </w:t>
      </w:r>
      <w:r w:rsidRPr="69F06378" w:rsidR="4C8DE911">
        <w:rPr>
          <w:rFonts w:ascii="Arial" w:hAnsi="Arial" w:eastAsia="Arial" w:cs="Arial"/>
          <w:noProof w:val="0"/>
          <w:sz w:val="22"/>
          <w:szCs w:val="22"/>
          <w:lang w:val="en-US"/>
        </w:rPr>
        <w:t>discussion</w:t>
      </w:r>
      <w:r w:rsidRPr="69F06378" w:rsidR="15A0070F">
        <w:rPr>
          <w:rFonts w:ascii="Arial" w:hAnsi="Arial" w:eastAsia="Arial" w:cs="Arial"/>
          <w:noProof w:val="0"/>
          <w:sz w:val="22"/>
          <w:szCs w:val="22"/>
          <w:lang w:val="en-US"/>
        </w:rPr>
        <w:t>, collaborative gardening, digital photo sessions, and intergenerational visi</w:t>
      </w:r>
      <w:r w:rsidRPr="69F06378" w:rsidR="7BAB29D1">
        <w:rPr>
          <w:rFonts w:ascii="Arial" w:hAnsi="Arial" w:eastAsia="Arial" w:cs="Arial"/>
          <w:noProof w:val="0"/>
          <w:sz w:val="22"/>
          <w:szCs w:val="22"/>
          <w:lang w:val="en-US"/>
        </w:rPr>
        <w:t>ts with local schools</w:t>
      </w:r>
      <w:r w:rsidRPr="69F06378" w:rsidR="326A0A70">
        <w:rPr>
          <w:rFonts w:ascii="Arial" w:hAnsi="Arial" w:eastAsia="Arial" w:cs="Arial"/>
          <w:noProof w:val="0"/>
          <w:sz w:val="22"/>
          <w:szCs w:val="22"/>
          <w:lang w:val="en-US"/>
        </w:rPr>
        <w:t xml:space="preserve"> as tools that help residents express identity, </w:t>
      </w:r>
      <w:r w:rsidRPr="69F06378" w:rsidR="326A0A70">
        <w:rPr>
          <w:rFonts w:ascii="Arial" w:hAnsi="Arial" w:eastAsia="Arial" w:cs="Arial"/>
          <w:noProof w:val="0"/>
          <w:sz w:val="22"/>
          <w:szCs w:val="22"/>
          <w:lang w:val="en-US"/>
        </w:rPr>
        <w:t>maintain</w:t>
      </w:r>
      <w:r w:rsidRPr="69F06378" w:rsidR="326A0A70">
        <w:rPr>
          <w:rFonts w:ascii="Arial" w:hAnsi="Arial" w:eastAsia="Arial" w:cs="Arial"/>
          <w:noProof w:val="0"/>
          <w:sz w:val="22"/>
          <w:szCs w:val="22"/>
          <w:lang w:val="en-US"/>
        </w:rPr>
        <w:t xml:space="preserve"> social </w:t>
      </w:r>
      <w:r w:rsidRPr="69F06378" w:rsidR="326A0A70">
        <w:rPr>
          <w:rFonts w:ascii="Arial" w:hAnsi="Arial" w:eastAsia="Arial" w:cs="Arial"/>
          <w:noProof w:val="0"/>
          <w:sz w:val="22"/>
          <w:szCs w:val="22"/>
          <w:lang w:val="en-US"/>
        </w:rPr>
        <w:t>roles,</w:t>
      </w:r>
      <w:r w:rsidRPr="69F06378" w:rsidR="326A0A70">
        <w:rPr>
          <w:rFonts w:ascii="Arial" w:hAnsi="Arial" w:eastAsia="Arial" w:cs="Arial"/>
          <w:noProof w:val="0"/>
          <w:sz w:val="22"/>
          <w:szCs w:val="22"/>
          <w:lang w:val="en-US"/>
        </w:rPr>
        <w:t xml:space="preserve"> and build confidence. Smith et al. (2018) argue that meaningful activity contributes to mental health and quality of life, and they reject the idea that low activity levels are simply a ‘natural part of the ageing process’ (p. 2219). Davis et al. (2022) support this with evidence from a systematic review of 22 studies, showing positive effects from reminiscence, life review, storytelling, and cognitive stimulation groups. They found that social interaction, social support, and </w:t>
      </w:r>
      <w:r w:rsidRPr="69F06378" w:rsidR="326A0A70">
        <w:rPr>
          <w:rFonts w:ascii="Arial" w:hAnsi="Arial" w:eastAsia="Arial" w:cs="Arial"/>
          <w:noProof w:val="0"/>
          <w:sz w:val="22"/>
          <w:szCs w:val="22"/>
          <w:lang w:val="en-US"/>
        </w:rPr>
        <w:t>behavioural</w:t>
      </w:r>
      <w:r w:rsidRPr="69F06378" w:rsidR="326A0A70">
        <w:rPr>
          <w:rFonts w:ascii="Arial" w:hAnsi="Arial" w:eastAsia="Arial" w:cs="Arial"/>
          <w:noProof w:val="0"/>
          <w:sz w:val="22"/>
          <w:szCs w:val="22"/>
          <w:lang w:val="en-US"/>
        </w:rPr>
        <w:t xml:space="preserve"> skills were the most consistent mechanisms of action. </w:t>
      </w:r>
      <w:r w:rsidRPr="69F06378" w:rsidR="326A0A70">
        <w:rPr>
          <w:rFonts w:ascii="Arial" w:hAnsi="Arial" w:eastAsia="Arial" w:cs="Arial"/>
          <w:noProof w:val="0"/>
          <w:sz w:val="22"/>
          <w:szCs w:val="22"/>
          <w:lang w:val="en-US"/>
        </w:rPr>
        <w:t>This shows how the theory shapes practice: wellbeing is improved not only by meeting physical needs, but by creating opportunities to speak, listen, remember, and belong.</w:t>
      </w:r>
    </w:p>
    <w:p w:rsidR="326A0A70" w:rsidP="69F06378" w:rsidRDefault="326A0A70" w14:paraId="4EA66BA0" w14:textId="557B2F00">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One practical application in a residential home would be a weekly group called ‘Life Stories and Skills</w:t>
      </w:r>
      <w:r w:rsidRPr="69F06378" w:rsidR="326A0A70">
        <w:rPr>
          <w:rFonts w:ascii="Arial" w:hAnsi="Arial" w:eastAsia="Arial" w:cs="Arial"/>
          <w:noProof w:val="0"/>
          <w:sz w:val="22"/>
          <w:szCs w:val="22"/>
          <w:lang w:val="en-US"/>
        </w:rPr>
        <w:t>’.</w:t>
      </w:r>
      <w:r w:rsidRPr="69F06378" w:rsidR="326A0A70">
        <w:rPr>
          <w:rFonts w:ascii="Arial" w:hAnsi="Arial" w:eastAsia="Arial" w:cs="Arial"/>
          <w:noProof w:val="0"/>
          <w:sz w:val="22"/>
          <w:szCs w:val="22"/>
          <w:lang w:val="en-US"/>
        </w:rPr>
        <w:t xml:space="preserve"> In this session, residents bring photographs, music, recipes, </w:t>
      </w:r>
      <w:r w:rsidRPr="69F06378" w:rsidR="44634291">
        <w:rPr>
          <w:rFonts w:ascii="Arial" w:hAnsi="Arial" w:eastAsia="Arial" w:cs="Arial"/>
          <w:noProof w:val="0"/>
          <w:sz w:val="22"/>
          <w:szCs w:val="22"/>
          <w:lang w:val="en-US"/>
        </w:rPr>
        <w:t>tools,</w:t>
      </w:r>
      <w:r w:rsidRPr="69F06378" w:rsidR="326A0A70">
        <w:rPr>
          <w:rFonts w:ascii="Arial" w:hAnsi="Arial" w:eastAsia="Arial" w:cs="Arial"/>
          <w:noProof w:val="0"/>
          <w:sz w:val="22"/>
          <w:szCs w:val="22"/>
          <w:lang w:val="en-US"/>
        </w:rPr>
        <w:t xml:space="preserve"> or objects linked to earlier roles such as parenting, work, </w:t>
      </w:r>
      <w:r w:rsidRPr="69F06378" w:rsidR="4B51F34F">
        <w:rPr>
          <w:rFonts w:ascii="Arial" w:hAnsi="Arial" w:eastAsia="Arial" w:cs="Arial"/>
          <w:noProof w:val="0"/>
          <w:sz w:val="22"/>
          <w:szCs w:val="22"/>
          <w:lang w:val="en-US"/>
        </w:rPr>
        <w:t>hobbies,</w:t>
      </w:r>
      <w:r w:rsidRPr="69F06378" w:rsidR="326A0A70">
        <w:rPr>
          <w:rFonts w:ascii="Arial" w:hAnsi="Arial" w:eastAsia="Arial" w:cs="Arial"/>
          <w:noProof w:val="0"/>
          <w:sz w:val="22"/>
          <w:szCs w:val="22"/>
          <w:lang w:val="en-US"/>
        </w:rPr>
        <w:t xml:space="preserve"> or community life. </w:t>
      </w:r>
      <w:r w:rsidRPr="69F06378" w:rsidR="326A0A70">
        <w:rPr>
          <w:rFonts w:ascii="Arial" w:hAnsi="Arial" w:eastAsia="Arial" w:cs="Arial"/>
          <w:noProof w:val="0"/>
          <w:sz w:val="22"/>
          <w:szCs w:val="22"/>
          <w:lang w:val="en-US"/>
        </w:rPr>
        <w:t xml:space="preserve">A staff member would use prompts, supportive questions and paired </w:t>
      </w:r>
      <w:r w:rsidRPr="69F06378" w:rsidR="59C1D558">
        <w:rPr>
          <w:rFonts w:ascii="Arial" w:hAnsi="Arial" w:eastAsia="Arial" w:cs="Arial"/>
          <w:noProof w:val="0"/>
          <w:sz w:val="22"/>
          <w:szCs w:val="22"/>
          <w:lang w:val="en-US"/>
        </w:rPr>
        <w:t>discussions</w:t>
      </w:r>
      <w:r w:rsidRPr="69F06378" w:rsidR="326A0A70">
        <w:rPr>
          <w:rFonts w:ascii="Arial" w:hAnsi="Arial" w:eastAsia="Arial" w:cs="Arial"/>
          <w:noProof w:val="0"/>
          <w:sz w:val="22"/>
          <w:szCs w:val="22"/>
          <w:lang w:val="en-US"/>
        </w:rPr>
        <w:t xml:space="preserve"> to help residents tell stories and share skills with others.</w:t>
      </w:r>
      <w:r w:rsidRPr="69F06378" w:rsidR="326A0A70">
        <w:rPr>
          <w:rFonts w:ascii="Arial" w:hAnsi="Arial" w:eastAsia="Arial" w:cs="Arial"/>
          <w:noProof w:val="0"/>
          <w:sz w:val="22"/>
          <w:szCs w:val="22"/>
          <w:lang w:val="en-US"/>
        </w:rPr>
        <w:t xml:space="preserve"> For example, one resident</w:t>
      </w:r>
      <w:r w:rsidRPr="69F06378" w:rsidR="399C57E1">
        <w:rPr>
          <w:rFonts w:ascii="Arial" w:hAnsi="Arial" w:eastAsia="Arial" w:cs="Arial"/>
          <w:noProof w:val="0"/>
          <w:sz w:val="22"/>
          <w:szCs w:val="22"/>
          <w:lang w:val="en-US"/>
        </w:rPr>
        <w:t xml:space="preserve"> </w:t>
      </w:r>
      <w:r w:rsidRPr="69F06378" w:rsidR="399C57E1">
        <w:rPr>
          <w:rFonts w:ascii="Arial" w:hAnsi="Arial" w:eastAsia="Arial" w:cs="Arial"/>
          <w:noProof w:val="0"/>
          <w:sz w:val="22"/>
          <w:szCs w:val="22"/>
          <w:lang w:val="en-US"/>
        </w:rPr>
        <w:t>Mrs</w:t>
      </w:r>
      <w:r w:rsidRPr="69F06378" w:rsidR="399C57E1">
        <w:rPr>
          <w:rFonts w:ascii="Arial" w:hAnsi="Arial" w:eastAsia="Arial" w:cs="Arial"/>
          <w:noProof w:val="0"/>
          <w:sz w:val="22"/>
          <w:szCs w:val="22"/>
          <w:lang w:val="en-US"/>
        </w:rPr>
        <w:t xml:space="preserve"> Jones rarely joins general </w:t>
      </w:r>
      <w:r w:rsidRPr="69F06378" w:rsidR="399C57E1">
        <w:rPr>
          <w:rFonts w:ascii="Arial" w:hAnsi="Arial" w:eastAsia="Arial" w:cs="Arial"/>
          <w:noProof w:val="0"/>
          <w:sz w:val="22"/>
          <w:szCs w:val="22"/>
          <w:lang w:val="en-US"/>
        </w:rPr>
        <w:t>activites</w:t>
      </w:r>
      <w:r w:rsidRPr="69F06378" w:rsidR="399C57E1">
        <w:rPr>
          <w:rFonts w:ascii="Arial" w:hAnsi="Arial" w:eastAsia="Arial" w:cs="Arial"/>
          <w:noProof w:val="0"/>
          <w:sz w:val="22"/>
          <w:szCs w:val="22"/>
          <w:lang w:val="en-US"/>
        </w:rPr>
        <w:t xml:space="preserve"> and often says she has ‘nothing useful left to offer</w:t>
      </w:r>
      <w:r w:rsidRPr="69F06378" w:rsidR="399C57E1">
        <w:rPr>
          <w:rFonts w:ascii="Arial" w:hAnsi="Arial" w:eastAsia="Arial" w:cs="Arial"/>
          <w:noProof w:val="0"/>
          <w:sz w:val="22"/>
          <w:szCs w:val="22"/>
          <w:lang w:val="en-US"/>
        </w:rPr>
        <w:t>’,</w:t>
      </w:r>
      <w:r w:rsidRPr="69F06378" w:rsidR="4456DF19">
        <w:rPr>
          <w:rFonts w:ascii="Arial" w:hAnsi="Arial" w:eastAsia="Arial" w:cs="Arial"/>
          <w:noProof w:val="0"/>
          <w:sz w:val="22"/>
          <w:szCs w:val="22"/>
          <w:lang w:val="en-US"/>
        </w:rPr>
        <w:t xml:space="preserve"> Joining the sessions, she begins discussing her years as </w:t>
      </w:r>
      <w:r w:rsidRPr="69F06378" w:rsidR="4456DF19">
        <w:rPr>
          <w:rFonts w:ascii="Arial" w:hAnsi="Arial" w:eastAsia="Arial" w:cs="Arial"/>
          <w:noProof w:val="0"/>
          <w:sz w:val="22"/>
          <w:szCs w:val="22"/>
          <w:lang w:val="en-US"/>
        </w:rPr>
        <w:t>a seamstress</w:t>
      </w:r>
      <w:r w:rsidRPr="69F06378" w:rsidR="4456DF19">
        <w:rPr>
          <w:rFonts w:ascii="Arial" w:hAnsi="Arial" w:eastAsia="Arial" w:cs="Arial"/>
          <w:noProof w:val="0"/>
          <w:sz w:val="22"/>
          <w:szCs w:val="22"/>
          <w:lang w:val="en-US"/>
        </w:rPr>
        <w:t xml:space="preserve">, shows other how patterns used to be cut and helps another resident </w:t>
      </w:r>
      <w:r w:rsidRPr="69F06378" w:rsidR="16C98CE3">
        <w:rPr>
          <w:rFonts w:ascii="Arial" w:hAnsi="Arial" w:eastAsia="Arial" w:cs="Arial"/>
          <w:noProof w:val="0"/>
          <w:sz w:val="22"/>
          <w:szCs w:val="22"/>
          <w:lang w:val="en-US"/>
        </w:rPr>
        <w:t>repair</w:t>
      </w:r>
      <w:r w:rsidRPr="69F06378" w:rsidR="4456DF19">
        <w:rPr>
          <w:rFonts w:ascii="Arial" w:hAnsi="Arial" w:eastAsia="Arial" w:cs="Arial"/>
          <w:noProof w:val="0"/>
          <w:sz w:val="22"/>
          <w:szCs w:val="22"/>
          <w:lang w:val="en-US"/>
        </w:rPr>
        <w:t xml:space="preserve"> a </w:t>
      </w:r>
      <w:r w:rsidRPr="69F06378" w:rsidR="23DCD236">
        <w:rPr>
          <w:rFonts w:ascii="Arial" w:hAnsi="Arial" w:eastAsia="Arial" w:cs="Arial"/>
          <w:noProof w:val="0"/>
          <w:sz w:val="22"/>
          <w:szCs w:val="22"/>
          <w:lang w:val="en-US"/>
        </w:rPr>
        <w:t>cushion</w:t>
      </w:r>
      <w:r w:rsidRPr="69F06378" w:rsidR="4456DF19">
        <w:rPr>
          <w:rFonts w:ascii="Arial" w:hAnsi="Arial" w:eastAsia="Arial" w:cs="Arial"/>
          <w:noProof w:val="0"/>
          <w:sz w:val="22"/>
          <w:szCs w:val="22"/>
          <w:lang w:val="en-US"/>
        </w:rPr>
        <w:t xml:space="preserve"> cover. Over several weeks, staff noticed improved </w:t>
      </w:r>
      <w:r w:rsidRPr="69F06378" w:rsidR="55CC8CEF">
        <w:rPr>
          <w:rFonts w:ascii="Arial" w:hAnsi="Arial" w:eastAsia="Arial" w:cs="Arial"/>
          <w:noProof w:val="0"/>
          <w:sz w:val="22"/>
          <w:szCs w:val="22"/>
          <w:lang w:val="en-US"/>
        </w:rPr>
        <w:t>mood, more spontaneous conversation</w:t>
      </w:r>
      <w:r w:rsidRPr="69F06378" w:rsidR="6BE833D6">
        <w:rPr>
          <w:rFonts w:ascii="Arial" w:hAnsi="Arial" w:eastAsia="Arial" w:cs="Arial"/>
          <w:noProof w:val="0"/>
          <w:sz w:val="22"/>
          <w:szCs w:val="22"/>
          <w:lang w:val="en-US"/>
        </w:rPr>
        <w:t xml:space="preserve"> at mealtimes and greater willingness to </w:t>
      </w:r>
      <w:r w:rsidRPr="69F06378" w:rsidR="6BE833D6">
        <w:rPr>
          <w:rFonts w:ascii="Arial" w:hAnsi="Arial" w:eastAsia="Arial" w:cs="Arial"/>
          <w:noProof w:val="0"/>
          <w:sz w:val="22"/>
          <w:szCs w:val="22"/>
          <w:lang w:val="en-US"/>
        </w:rPr>
        <w:t>participate</w:t>
      </w:r>
      <w:r w:rsidRPr="69F06378" w:rsidR="6BE833D6">
        <w:rPr>
          <w:rFonts w:ascii="Arial" w:hAnsi="Arial" w:eastAsia="Arial" w:cs="Arial"/>
          <w:noProof w:val="0"/>
          <w:sz w:val="22"/>
          <w:szCs w:val="22"/>
          <w:lang w:val="en-US"/>
        </w:rPr>
        <w:t xml:space="preserve"> in other communal activities</w:t>
      </w:r>
      <w:r w:rsidRPr="69F06378" w:rsidR="326A0A70">
        <w:rPr>
          <w:rFonts w:ascii="Arial" w:hAnsi="Arial" w:eastAsia="Arial" w:cs="Arial"/>
          <w:noProof w:val="0"/>
          <w:sz w:val="22"/>
          <w:szCs w:val="22"/>
          <w:lang w:val="en-US"/>
        </w:rPr>
        <w:t>.</w:t>
      </w:r>
      <w:r w:rsidRPr="69F06378" w:rsidR="0107F2D9">
        <w:rPr>
          <w:rFonts w:ascii="Arial" w:hAnsi="Arial" w:eastAsia="Arial" w:cs="Arial"/>
          <w:noProof w:val="0"/>
          <w:sz w:val="22"/>
          <w:szCs w:val="22"/>
          <w:lang w:val="en-US"/>
        </w:rPr>
        <w:t xml:space="preserve"> </w:t>
      </w:r>
      <w:r w:rsidRPr="69F06378" w:rsidR="326A0A70">
        <w:rPr>
          <w:rFonts w:ascii="Arial" w:hAnsi="Arial" w:eastAsia="Arial" w:cs="Arial"/>
          <w:noProof w:val="0"/>
          <w:sz w:val="22"/>
          <w:szCs w:val="22"/>
          <w:lang w:val="en-US"/>
        </w:rPr>
        <w:t>The aim is not to test memory, but to scaffold participation so residents can take part at their own level. Over time, some residents may begin by answering simple prompts and later contribute more independently, which reflects Vygotsky’s idea of guided development. The activity also supports identity because Paddock et al. (2019) found that residents derived ‘a sense of self through their hobbies and activities’ (p. 659), showing why care-home practice should make room for personal histories and preferences.</w:t>
      </w:r>
    </w:p>
    <w:p w:rsidR="326A0A70" w:rsidP="69F06378" w:rsidRDefault="326A0A70" w14:paraId="26E63FC3" w14:textId="6BA1CDBA">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This intervention matters because communication in care homes can easily become restricted to essential tasks. Davis et al. (2022) note that staff-resident interaction is often ‘functional and task-based’ (p. 4), which may leave little room for self-expression or companionship. A sociocultural approach encourages professionals to see everyday interactions as meaningful opportunities to support psychological wellbeing. A short conversation about a resident’s </w:t>
      </w:r>
      <w:r w:rsidRPr="69F06378" w:rsidR="326A0A70">
        <w:rPr>
          <w:rFonts w:ascii="Arial" w:hAnsi="Arial" w:eastAsia="Arial" w:cs="Arial"/>
          <w:noProof w:val="0"/>
          <w:sz w:val="22"/>
          <w:szCs w:val="22"/>
          <w:lang w:val="en-US"/>
        </w:rPr>
        <w:t>previous</w:t>
      </w:r>
      <w:r w:rsidRPr="69F06378" w:rsidR="326A0A70">
        <w:rPr>
          <w:rFonts w:ascii="Arial" w:hAnsi="Arial" w:eastAsia="Arial" w:cs="Arial"/>
          <w:noProof w:val="0"/>
          <w:sz w:val="22"/>
          <w:szCs w:val="22"/>
          <w:lang w:val="en-US"/>
        </w:rPr>
        <w:t xml:space="preserve"> work, a shared reading group or a music-based discussion can all act as cultural tools that support belonging, </w:t>
      </w:r>
      <w:r w:rsidRPr="69F06378" w:rsidR="326A0A70">
        <w:rPr>
          <w:rFonts w:ascii="Arial" w:hAnsi="Arial" w:eastAsia="Arial" w:cs="Arial"/>
          <w:noProof w:val="0"/>
          <w:sz w:val="22"/>
          <w:szCs w:val="22"/>
          <w:lang w:val="en-US"/>
        </w:rPr>
        <w:t>confidence</w:t>
      </w:r>
      <w:r w:rsidRPr="69F06378" w:rsidR="326A0A70">
        <w:rPr>
          <w:rFonts w:ascii="Arial" w:hAnsi="Arial" w:eastAsia="Arial" w:cs="Arial"/>
          <w:noProof w:val="0"/>
          <w:sz w:val="22"/>
          <w:szCs w:val="22"/>
          <w:lang w:val="en-US"/>
        </w:rPr>
        <w:t xml:space="preserve"> and mood. The approach can also reduce the risk of unnecessary withdrawal. While Cumming et al. (1960) described disengagement as a normal part of ageing, more recent evidence suggests: Ejiri et al. (2022) found that social disengagement was associated with poorer health and increased mortality. In practice, withdrawal should therefore be explored as a </w:t>
      </w:r>
      <w:r w:rsidRPr="69F06378" w:rsidR="326A0A70">
        <w:rPr>
          <w:rFonts w:ascii="Arial" w:hAnsi="Arial" w:eastAsia="Arial" w:cs="Arial"/>
          <w:noProof w:val="0"/>
          <w:sz w:val="22"/>
          <w:szCs w:val="22"/>
          <w:lang w:val="en-US"/>
        </w:rPr>
        <w:t>possible sign</w:t>
      </w:r>
      <w:r w:rsidRPr="69F06378" w:rsidR="326A0A70">
        <w:rPr>
          <w:rFonts w:ascii="Arial" w:hAnsi="Arial" w:eastAsia="Arial" w:cs="Arial"/>
          <w:noProof w:val="0"/>
          <w:sz w:val="22"/>
          <w:szCs w:val="22"/>
          <w:lang w:val="en-US"/>
        </w:rPr>
        <w:t xml:space="preserve"> of loss, low mood, reduced </w:t>
      </w:r>
      <w:r w:rsidRPr="69F06378" w:rsidR="1797C65C">
        <w:rPr>
          <w:rFonts w:ascii="Arial" w:hAnsi="Arial" w:eastAsia="Arial" w:cs="Arial"/>
          <w:noProof w:val="0"/>
          <w:sz w:val="22"/>
          <w:szCs w:val="22"/>
          <w:lang w:val="en-US"/>
        </w:rPr>
        <w:t>confidence,</w:t>
      </w:r>
      <w:r w:rsidRPr="69F06378" w:rsidR="326A0A70">
        <w:rPr>
          <w:rFonts w:ascii="Arial" w:hAnsi="Arial" w:eastAsia="Arial" w:cs="Arial"/>
          <w:noProof w:val="0"/>
          <w:sz w:val="22"/>
          <w:szCs w:val="22"/>
          <w:lang w:val="en-US"/>
        </w:rPr>
        <w:t xml:space="preserve"> or environmental barriers.</w:t>
      </w:r>
    </w:p>
    <w:p w:rsidR="326A0A70" w:rsidP="69F06378" w:rsidRDefault="326A0A70" w14:paraId="2839FBB4" w14:textId="63806610">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One challenge is that staff often work under time pressure and may see communication-based activities as less urgent than personal care tasks. Some residents may also have hearing loss, aphasia, </w:t>
      </w:r>
      <w:r w:rsidRPr="69F06378" w:rsidR="1D497772">
        <w:rPr>
          <w:rFonts w:ascii="Arial" w:hAnsi="Arial" w:eastAsia="Arial" w:cs="Arial"/>
          <w:noProof w:val="0"/>
          <w:sz w:val="22"/>
          <w:szCs w:val="22"/>
          <w:lang w:val="en-US"/>
        </w:rPr>
        <w:t>dementia,</w:t>
      </w:r>
      <w:r w:rsidRPr="69F06378" w:rsidR="326A0A70">
        <w:rPr>
          <w:rFonts w:ascii="Arial" w:hAnsi="Arial" w:eastAsia="Arial" w:cs="Arial"/>
          <w:noProof w:val="0"/>
          <w:sz w:val="22"/>
          <w:szCs w:val="22"/>
          <w:lang w:val="en-US"/>
        </w:rPr>
        <w:t xml:space="preserve"> or anxiety about group participation. To overcome this, managers can build small sociocultural practices into existing routines rather than relying only on large sessions. Staff can receive brief training on using prompts, visual aids, turn-</w:t>
      </w:r>
      <w:r w:rsidRPr="69F06378" w:rsidR="34BB67C6">
        <w:rPr>
          <w:rFonts w:ascii="Arial" w:hAnsi="Arial" w:eastAsia="Arial" w:cs="Arial"/>
          <w:noProof w:val="0"/>
          <w:sz w:val="22"/>
          <w:szCs w:val="22"/>
          <w:lang w:val="en-US"/>
        </w:rPr>
        <w:t>taking,</w:t>
      </w:r>
      <w:r w:rsidRPr="69F06378" w:rsidR="326A0A70">
        <w:rPr>
          <w:rFonts w:ascii="Arial" w:hAnsi="Arial" w:eastAsia="Arial" w:cs="Arial"/>
          <w:noProof w:val="0"/>
          <w:sz w:val="22"/>
          <w:szCs w:val="22"/>
          <w:lang w:val="en-US"/>
        </w:rPr>
        <w:t xml:space="preserve"> and supportive questioning. Activities can also be </w:t>
      </w:r>
      <w:r w:rsidRPr="69F06378" w:rsidR="06ABD132">
        <w:rPr>
          <w:rFonts w:ascii="Arial" w:hAnsi="Arial" w:eastAsia="Arial" w:cs="Arial"/>
          <w:noProof w:val="0"/>
          <w:sz w:val="22"/>
          <w:szCs w:val="22"/>
          <w:lang w:val="en-US"/>
        </w:rPr>
        <w:t xml:space="preserve">tiered </w:t>
      </w:r>
      <w:r w:rsidRPr="69F06378" w:rsidR="326A0A70">
        <w:rPr>
          <w:rFonts w:ascii="Arial" w:hAnsi="Arial" w:eastAsia="Arial" w:cs="Arial"/>
          <w:noProof w:val="0"/>
          <w:sz w:val="22"/>
          <w:szCs w:val="22"/>
          <w:lang w:val="en-US"/>
        </w:rPr>
        <w:t xml:space="preserve">so that residents can join through listening, choosing music, holding </w:t>
      </w:r>
      <w:r w:rsidRPr="69F06378" w:rsidR="0CB1AE86">
        <w:rPr>
          <w:rFonts w:ascii="Arial" w:hAnsi="Arial" w:eastAsia="Arial" w:cs="Arial"/>
          <w:noProof w:val="0"/>
          <w:sz w:val="22"/>
          <w:szCs w:val="22"/>
          <w:lang w:val="en-US"/>
        </w:rPr>
        <w:t>objects,</w:t>
      </w:r>
      <w:r w:rsidRPr="69F06378" w:rsidR="326A0A70">
        <w:rPr>
          <w:rFonts w:ascii="Arial" w:hAnsi="Arial" w:eastAsia="Arial" w:cs="Arial"/>
          <w:noProof w:val="0"/>
          <w:sz w:val="22"/>
          <w:szCs w:val="22"/>
          <w:lang w:val="en-US"/>
        </w:rPr>
        <w:t xml:space="preserve"> or sharing one memory. This makes participation more inclusive and realistic.</w:t>
      </w:r>
    </w:p>
    <w:p w:rsidR="326A0A70" w:rsidP="69F06378" w:rsidRDefault="326A0A70" w14:paraId="7EA2D3EB" w14:textId="4919E6F0">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Overall, Vygotsky’s sociocultural theory is useful because it moves practice away from passive care and towards supported participation. Its main strength is that it </w:t>
      </w:r>
      <w:r w:rsidRPr="69F06378" w:rsidR="326A0A70">
        <w:rPr>
          <w:rFonts w:ascii="Arial" w:hAnsi="Arial" w:eastAsia="Arial" w:cs="Arial"/>
          <w:noProof w:val="0"/>
          <w:sz w:val="22"/>
          <w:szCs w:val="22"/>
          <w:lang w:val="en-US"/>
        </w:rPr>
        <w:t>recognises</w:t>
      </w:r>
      <w:r w:rsidRPr="69F06378" w:rsidR="326A0A70">
        <w:rPr>
          <w:rFonts w:ascii="Arial" w:hAnsi="Arial" w:eastAsia="Arial" w:cs="Arial"/>
          <w:noProof w:val="0"/>
          <w:sz w:val="22"/>
          <w:szCs w:val="22"/>
          <w:lang w:val="en-US"/>
        </w:rPr>
        <w:t xml:space="preserve"> older adults as people whose wellbeing is shaped by interaction, </w:t>
      </w:r>
      <w:r w:rsidRPr="69F06378" w:rsidR="326A0A70">
        <w:rPr>
          <w:rFonts w:ascii="Arial" w:hAnsi="Arial" w:eastAsia="Arial" w:cs="Arial"/>
          <w:noProof w:val="0"/>
          <w:sz w:val="22"/>
          <w:szCs w:val="22"/>
          <w:lang w:val="en-US"/>
        </w:rPr>
        <w:t>language</w:t>
      </w:r>
      <w:r w:rsidRPr="69F06378" w:rsidR="326A0A70">
        <w:rPr>
          <w:rFonts w:ascii="Arial" w:hAnsi="Arial" w:eastAsia="Arial" w:cs="Arial"/>
          <w:noProof w:val="0"/>
          <w:sz w:val="22"/>
          <w:szCs w:val="22"/>
          <w:lang w:val="en-US"/>
        </w:rPr>
        <w:t xml:space="preserve"> and identity. In residential care, a sociocultural approach can improve wellbeing by creating manageable opportunities for residents to connect, </w:t>
      </w:r>
      <w:r w:rsidRPr="69F06378" w:rsidR="340FECAE">
        <w:rPr>
          <w:rFonts w:ascii="Arial" w:hAnsi="Arial" w:eastAsia="Arial" w:cs="Arial"/>
          <w:noProof w:val="0"/>
          <w:sz w:val="22"/>
          <w:szCs w:val="22"/>
          <w:lang w:val="en-US"/>
        </w:rPr>
        <w:t>communicate,</w:t>
      </w:r>
      <w:r w:rsidRPr="69F06378" w:rsidR="326A0A70">
        <w:rPr>
          <w:rFonts w:ascii="Arial" w:hAnsi="Arial" w:eastAsia="Arial" w:cs="Arial"/>
          <w:noProof w:val="0"/>
          <w:sz w:val="22"/>
          <w:szCs w:val="22"/>
          <w:lang w:val="en-US"/>
        </w:rPr>
        <w:t xml:space="preserve"> and contribute.</w:t>
      </w:r>
    </w:p>
    <w:p w:rsidR="69F06378" w:rsidP="69F06378" w:rsidRDefault="69F06378" w14:paraId="5EBEFD4D" w14:textId="1C8198FD">
      <w:pPr>
        <w:bidi w:val="0"/>
        <w:spacing w:line="360" w:lineRule="auto"/>
        <w:jc w:val="left"/>
        <w:rPr>
          <w:sz w:val="22"/>
          <w:szCs w:val="22"/>
        </w:rPr>
      </w:pPr>
    </w:p>
    <w:p w:rsidR="326A0A70" w:rsidP="69F06378" w:rsidRDefault="326A0A70" w14:paraId="297B4E56" w14:textId="62EB03E0">
      <w:pPr>
        <w:pStyle w:val="Normal"/>
        <w:bidi w:val="0"/>
        <w:rPr>
          <w:rFonts w:ascii="Arial" w:hAnsi="Arial" w:eastAsia="Arial" w:cs="Arial"/>
          <w:b w:val="1"/>
          <w:bCs w:val="1"/>
          <w:noProof w:val="0"/>
          <w:sz w:val="22"/>
          <w:szCs w:val="22"/>
          <w:u w:val="single"/>
          <w:lang w:val="en-US"/>
        </w:rPr>
      </w:pPr>
      <w:r w:rsidRPr="69F06378" w:rsidR="326A0A70">
        <w:rPr>
          <w:rFonts w:ascii="Arial" w:hAnsi="Arial" w:eastAsia="Arial" w:cs="Arial"/>
          <w:b w:val="1"/>
          <w:bCs w:val="1"/>
          <w:noProof w:val="0"/>
          <w:sz w:val="22"/>
          <w:szCs w:val="22"/>
          <w:u w:val="single"/>
          <w:lang w:val="en-US"/>
        </w:rPr>
        <w:t>Reference List</w:t>
      </w:r>
    </w:p>
    <w:p w:rsidR="326A0A70" w:rsidP="69F06378" w:rsidRDefault="326A0A70" w14:paraId="2AE16D68" w14:textId="34D57B50">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Cumming, E., Dean, L.R., Newell, </w:t>
      </w:r>
      <w:r w:rsidRPr="69F06378" w:rsidR="326A0A70">
        <w:rPr>
          <w:rFonts w:ascii="Arial" w:hAnsi="Arial" w:eastAsia="Arial" w:cs="Arial"/>
          <w:noProof w:val="0"/>
          <w:sz w:val="22"/>
          <w:szCs w:val="22"/>
          <w:lang w:val="en-US"/>
        </w:rPr>
        <w:t>D.S.</w:t>
      </w:r>
      <w:r w:rsidRPr="69F06378" w:rsidR="326A0A70">
        <w:rPr>
          <w:rFonts w:ascii="Arial" w:hAnsi="Arial" w:eastAsia="Arial" w:cs="Arial"/>
          <w:noProof w:val="0"/>
          <w:sz w:val="22"/>
          <w:szCs w:val="22"/>
          <w:lang w:val="en-US"/>
        </w:rPr>
        <w:t xml:space="preserve"> and McCaffrey, I. (1960) ‘Disengagement: A tentative theory of aging’, Sociometry, 23(1), pp. 23-35. Available at: </w:t>
      </w:r>
      <w:hyperlink r:id="R584848efb8e44ff8">
        <w:r w:rsidRPr="69F06378" w:rsidR="326A0A70">
          <w:rPr>
            <w:rStyle w:val="Hyperlink"/>
            <w:rFonts w:ascii="Arial" w:hAnsi="Arial" w:eastAsia="Arial" w:cs="Arial"/>
            <w:noProof w:val="0"/>
            <w:sz w:val="22"/>
            <w:szCs w:val="22"/>
            <w:lang w:val="en-US"/>
          </w:rPr>
          <w:t>https://www.jstor.org/stable/2786135</w:t>
        </w:r>
      </w:hyperlink>
      <w:r w:rsidRPr="69F06378" w:rsidR="326A0A70">
        <w:rPr>
          <w:rFonts w:ascii="Arial" w:hAnsi="Arial" w:eastAsia="Arial" w:cs="Arial"/>
          <w:noProof w:val="0"/>
          <w:sz w:val="22"/>
          <w:szCs w:val="22"/>
          <w:lang w:val="en-US"/>
        </w:rPr>
        <w:t>.</w:t>
      </w:r>
    </w:p>
    <w:p w:rsidR="326A0A70" w:rsidP="69F06378" w:rsidRDefault="326A0A70" w14:paraId="0B1A1864" w14:textId="1EAFA3FF">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Davis, L., Botting, N., Cruice, M. and Dipper, L. (2022) ‘A systematic review of language and communication intervention research delivered in groups to older adults living in care homes’, International Journal of Language &amp; Communication Disorders, 57(1), pp. 182-225. Available at: </w:t>
      </w:r>
      <w:hyperlink r:id="R4467e13744aa4613">
        <w:r w:rsidRPr="69F06378" w:rsidR="326A0A70">
          <w:rPr>
            <w:rStyle w:val="Hyperlink"/>
            <w:rFonts w:ascii="Arial" w:hAnsi="Arial" w:eastAsia="Arial" w:cs="Arial"/>
            <w:noProof w:val="0"/>
            <w:sz w:val="22"/>
            <w:szCs w:val="22"/>
            <w:lang w:val="en-US"/>
          </w:rPr>
          <w:t>https://doi.org/10.1111/1460-6984.12679</w:t>
        </w:r>
      </w:hyperlink>
      <w:r w:rsidRPr="69F06378" w:rsidR="326A0A70">
        <w:rPr>
          <w:rFonts w:ascii="Arial" w:hAnsi="Arial" w:eastAsia="Arial" w:cs="Arial"/>
          <w:noProof w:val="0"/>
          <w:sz w:val="22"/>
          <w:szCs w:val="22"/>
          <w:lang w:val="en-US"/>
        </w:rPr>
        <w:t>.</w:t>
      </w:r>
    </w:p>
    <w:p w:rsidR="326A0A70" w:rsidP="69F06378" w:rsidRDefault="326A0A70" w14:paraId="3CF01A21" w14:textId="4B444530">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Ejiri, M., Kawai, H., Ito, K., Hirano, H., Fujiwara, Y., Ihara, K., Kim, H. and Obuchi, S. (2022) ‘Association of social disengagement with health status and all-cause mortality among community-dwelling older adults: evidence from the </w:t>
      </w:r>
      <w:r w:rsidRPr="69F06378" w:rsidR="326A0A70">
        <w:rPr>
          <w:rFonts w:ascii="Arial" w:hAnsi="Arial" w:eastAsia="Arial" w:cs="Arial"/>
          <w:noProof w:val="0"/>
          <w:sz w:val="22"/>
          <w:szCs w:val="22"/>
          <w:lang w:val="en-US"/>
        </w:rPr>
        <w:t>Otassha</w:t>
      </w:r>
      <w:r w:rsidRPr="69F06378" w:rsidR="326A0A70">
        <w:rPr>
          <w:rFonts w:ascii="Arial" w:hAnsi="Arial" w:eastAsia="Arial" w:cs="Arial"/>
          <w:noProof w:val="0"/>
          <w:sz w:val="22"/>
          <w:szCs w:val="22"/>
          <w:lang w:val="en-US"/>
        </w:rPr>
        <w:t xml:space="preserve"> study’, Scientific Reports, 12, 17883. Available at: </w:t>
      </w:r>
      <w:hyperlink r:id="R9dc49f4019a0499f">
        <w:r w:rsidRPr="69F06378" w:rsidR="326A0A70">
          <w:rPr>
            <w:rStyle w:val="Hyperlink"/>
            <w:rFonts w:ascii="Arial" w:hAnsi="Arial" w:eastAsia="Arial" w:cs="Arial"/>
            <w:noProof w:val="0"/>
            <w:sz w:val="22"/>
            <w:szCs w:val="22"/>
            <w:lang w:val="en-US"/>
          </w:rPr>
          <w:t>https://doi.org/10.1038/s41598-022-22609-y</w:t>
        </w:r>
      </w:hyperlink>
      <w:r w:rsidRPr="69F06378" w:rsidR="326A0A70">
        <w:rPr>
          <w:rFonts w:ascii="Arial" w:hAnsi="Arial" w:eastAsia="Arial" w:cs="Arial"/>
          <w:noProof w:val="0"/>
          <w:sz w:val="22"/>
          <w:szCs w:val="22"/>
          <w:lang w:val="en-US"/>
        </w:rPr>
        <w:t>.</w:t>
      </w:r>
    </w:p>
    <w:p w:rsidR="326A0A70" w:rsidP="69F06378" w:rsidRDefault="326A0A70" w14:paraId="1E429FBE" w14:textId="5D783B0E">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Paddock, K., Brown Wilson, C., Walshe, </w:t>
      </w:r>
      <w:r w:rsidRPr="69F06378" w:rsidR="326A0A70">
        <w:rPr>
          <w:rFonts w:ascii="Arial" w:hAnsi="Arial" w:eastAsia="Arial" w:cs="Arial"/>
          <w:noProof w:val="0"/>
          <w:sz w:val="22"/>
          <w:szCs w:val="22"/>
          <w:lang w:val="en-US"/>
        </w:rPr>
        <w:t>C.</w:t>
      </w:r>
      <w:r w:rsidRPr="69F06378" w:rsidR="326A0A70">
        <w:rPr>
          <w:rFonts w:ascii="Arial" w:hAnsi="Arial" w:eastAsia="Arial" w:cs="Arial"/>
          <w:noProof w:val="0"/>
          <w:sz w:val="22"/>
          <w:szCs w:val="22"/>
          <w:lang w:val="en-US"/>
        </w:rPr>
        <w:t xml:space="preserve"> and Todd, C. (2019) ‘Care home life and identity: A qualitative case study’, The Gerontologist, 59(4), pp. 655-664. Available at: </w:t>
      </w:r>
      <w:hyperlink r:id="Rc62c0c1181fe46c5">
        <w:r w:rsidRPr="69F06378" w:rsidR="326A0A70">
          <w:rPr>
            <w:rStyle w:val="Hyperlink"/>
            <w:rFonts w:ascii="Arial" w:hAnsi="Arial" w:eastAsia="Arial" w:cs="Arial"/>
            <w:noProof w:val="0"/>
            <w:sz w:val="22"/>
            <w:szCs w:val="22"/>
            <w:lang w:val="en-US"/>
          </w:rPr>
          <w:t>https://doi.org/10.1093/geront/gny090</w:t>
        </w:r>
      </w:hyperlink>
      <w:r w:rsidRPr="69F06378" w:rsidR="326A0A70">
        <w:rPr>
          <w:rFonts w:ascii="Arial" w:hAnsi="Arial" w:eastAsia="Arial" w:cs="Arial"/>
          <w:noProof w:val="0"/>
          <w:sz w:val="22"/>
          <w:szCs w:val="22"/>
          <w:lang w:val="en-US"/>
        </w:rPr>
        <w:t>.</w:t>
      </w:r>
    </w:p>
    <w:p w:rsidR="326A0A70" w:rsidP="69F06378" w:rsidRDefault="326A0A70" w14:paraId="237B9664" w14:textId="7A4CF1D0">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 xml:space="preserve">Smith, N., Towers, A.-M., Palmer, S., Beecham, </w:t>
      </w:r>
      <w:r w:rsidRPr="69F06378" w:rsidR="326A0A70">
        <w:rPr>
          <w:rFonts w:ascii="Arial" w:hAnsi="Arial" w:eastAsia="Arial" w:cs="Arial"/>
          <w:noProof w:val="0"/>
          <w:sz w:val="22"/>
          <w:szCs w:val="22"/>
          <w:lang w:val="en-US"/>
        </w:rPr>
        <w:t>J.</w:t>
      </w:r>
      <w:r w:rsidRPr="69F06378" w:rsidR="326A0A70">
        <w:rPr>
          <w:rFonts w:ascii="Arial" w:hAnsi="Arial" w:eastAsia="Arial" w:cs="Arial"/>
          <w:noProof w:val="0"/>
          <w:sz w:val="22"/>
          <w:szCs w:val="22"/>
          <w:lang w:val="en-US"/>
        </w:rPr>
        <w:t xml:space="preserve"> and Welch, E. (2018) ‘Being occupied: supporting ‘meaningful activity’ in care homes for older people in England’, Ageing &amp; Society, 38(11), pp. 2218-2240. Available at: </w:t>
      </w:r>
      <w:hyperlink r:id="Ra173a05a75694711">
        <w:r w:rsidRPr="69F06378" w:rsidR="326A0A70">
          <w:rPr>
            <w:rStyle w:val="Hyperlink"/>
            <w:rFonts w:ascii="Arial" w:hAnsi="Arial" w:eastAsia="Arial" w:cs="Arial"/>
            <w:noProof w:val="0"/>
            <w:sz w:val="22"/>
            <w:szCs w:val="22"/>
            <w:lang w:val="en-US"/>
          </w:rPr>
          <w:t>https://doi.org/10.1017/S0144686X17000678</w:t>
        </w:r>
      </w:hyperlink>
      <w:r w:rsidRPr="69F06378" w:rsidR="326A0A70">
        <w:rPr>
          <w:rFonts w:ascii="Arial" w:hAnsi="Arial" w:eastAsia="Arial" w:cs="Arial"/>
          <w:noProof w:val="0"/>
          <w:sz w:val="22"/>
          <w:szCs w:val="22"/>
          <w:lang w:val="en-US"/>
        </w:rPr>
        <w:t>.</w:t>
      </w:r>
    </w:p>
    <w:p w:rsidR="326A0A70" w:rsidP="69F06378" w:rsidRDefault="326A0A70" w14:paraId="1844F742" w14:textId="3BB937DD">
      <w:pPr>
        <w:bidi w:val="0"/>
        <w:spacing w:before="0" w:beforeAutospacing="off" w:after="120" w:afterAutospacing="off" w:line="360" w:lineRule="auto"/>
        <w:jc w:val="left"/>
        <w:rPr>
          <w:rFonts w:ascii="Arial" w:hAnsi="Arial" w:eastAsia="Arial" w:cs="Arial"/>
          <w:noProof w:val="0"/>
          <w:sz w:val="22"/>
          <w:szCs w:val="22"/>
          <w:lang w:val="en-US"/>
        </w:rPr>
      </w:pPr>
      <w:r w:rsidRPr="69F06378" w:rsidR="326A0A70">
        <w:rPr>
          <w:rFonts w:ascii="Arial" w:hAnsi="Arial" w:eastAsia="Arial" w:cs="Arial"/>
          <w:noProof w:val="0"/>
          <w:sz w:val="22"/>
          <w:szCs w:val="22"/>
          <w:lang w:val="en-US"/>
        </w:rPr>
        <w:t>Zittoun</w:t>
      </w:r>
      <w:r w:rsidRPr="69F06378" w:rsidR="326A0A70">
        <w:rPr>
          <w:rFonts w:ascii="Arial" w:hAnsi="Arial" w:eastAsia="Arial" w:cs="Arial"/>
          <w:noProof w:val="0"/>
          <w:sz w:val="22"/>
          <w:szCs w:val="22"/>
          <w:lang w:val="en-US"/>
        </w:rPr>
        <w:t xml:space="preserve">, T. and </w:t>
      </w:r>
      <w:r w:rsidRPr="69F06378" w:rsidR="326A0A70">
        <w:rPr>
          <w:rFonts w:ascii="Arial" w:hAnsi="Arial" w:eastAsia="Arial" w:cs="Arial"/>
          <w:noProof w:val="0"/>
          <w:sz w:val="22"/>
          <w:szCs w:val="22"/>
          <w:lang w:val="en-US"/>
        </w:rPr>
        <w:t>Baucal</w:t>
      </w:r>
      <w:r w:rsidRPr="69F06378" w:rsidR="326A0A70">
        <w:rPr>
          <w:rFonts w:ascii="Arial" w:hAnsi="Arial" w:eastAsia="Arial" w:cs="Arial"/>
          <w:noProof w:val="0"/>
          <w:sz w:val="22"/>
          <w:szCs w:val="22"/>
          <w:lang w:val="en-US"/>
        </w:rPr>
        <w:t xml:space="preserve">, A. (2021) ‘The relevance of a sociocultural perspective for understanding learning and development in older age’, Learning, Culture and Social Interaction, 28, p. 100453. Available at: </w:t>
      </w:r>
      <w:hyperlink r:id="Ra0c12f2558c145de">
        <w:r w:rsidRPr="69F06378" w:rsidR="326A0A70">
          <w:rPr>
            <w:rStyle w:val="Hyperlink"/>
            <w:rFonts w:ascii="Arial" w:hAnsi="Arial" w:eastAsia="Arial" w:cs="Arial"/>
            <w:noProof w:val="0"/>
            <w:sz w:val="22"/>
            <w:szCs w:val="22"/>
            <w:lang w:val="en-US"/>
          </w:rPr>
          <w:t>https://doi.org/10.1016/j.lcsi.2020.100453</w:t>
        </w:r>
      </w:hyperlink>
      <w:r w:rsidRPr="69F06378" w:rsidR="326A0A70">
        <w:rPr>
          <w:rFonts w:ascii="Arial" w:hAnsi="Arial" w:eastAsia="Arial" w:cs="Arial"/>
          <w:noProof w:val="0"/>
          <w:sz w:val="22"/>
          <w:szCs w:val="22"/>
          <w:lang w:val="en-US"/>
        </w:rPr>
        <w:t>.</w:t>
      </w:r>
    </w:p>
    <w:p w:rsidR="69F06378" w:rsidP="69F06378" w:rsidRDefault="69F06378" w14:paraId="12284003" w14:textId="666D4316">
      <w:pPr>
        <w:bidi w:val="0"/>
        <w:spacing w:before="0" w:beforeAutospacing="off" w:after="120" w:afterAutospacing="off" w:line="360" w:lineRule="auto"/>
        <w:jc w:val="left"/>
        <w:rPr>
          <w:rFonts w:ascii="Arial" w:hAnsi="Arial" w:eastAsia="Arial" w:cs="Arial"/>
          <w:noProof w:val="0"/>
          <w:sz w:val="22"/>
          <w:szCs w:val="22"/>
          <w:lang w:val="en-US"/>
        </w:rPr>
      </w:pPr>
    </w:p>
    <w:p w:rsidR="69F06378" w:rsidP="69F06378" w:rsidRDefault="69F06378" w14:paraId="04D278B0" w14:textId="63FA4CD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69F06378" w:rsidP="69F06378" w:rsidRDefault="69F06378" w14:paraId="6388D19E" w14:textId="26E9FB4A">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69F06378" w:rsidP="69F06378" w:rsidRDefault="69F06378" w14:paraId="12AE5DD3" w14:textId="7411142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69F06378" w:rsidP="69F06378" w:rsidRDefault="69F06378" w14:paraId="1D786A2F" w14:textId="1BCCF8A1">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69F06378" w:rsidP="69F06378" w:rsidRDefault="69F06378" w14:paraId="70B98A42" w14:textId="068E70D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69F06378" w:rsidP="69F06378" w:rsidRDefault="69F06378" w14:paraId="032B71BF" w14:textId="2361C041">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1D82B86A" w14:textId="5B93AEB7">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2D85889D" w14:textId="7C56692C">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157EED4A" w14:textId="36DFDC2A">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696FDFC7" w14:textId="25F7570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3B034CEB" w14:textId="36651822">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5E9B70D6" w14:textId="6F065FAF">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4E09DDF3" w14:textId="5B187B5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21B81AA6" w14:textId="3BBB6F99">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373A4C8E" w14:textId="16D2FA62">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05E68AEC" w14:textId="281D2B85">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5B169F4B" w14:textId="0060E638">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654FD1F2" w14:textId="37AFDAC4">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50B19440" w14:textId="7354C159">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44E8ECA9" w14:textId="4FAF363C">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022B7848" w14:textId="10823EC7">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555E4412" w14:textId="5588936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4E7A031F" w14:textId="71A709F5">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54BC3270" w14:textId="77E5FA91">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63594D9F" w14:textId="75D255CB">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693C3068" w14:textId="40883CC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69F06378" w:rsidP="69F06378" w:rsidRDefault="69F06378" w14:paraId="71411236" w14:textId="0DBAD68E">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sectPr>
      <w:pgSz w:w="12240" w:h="15840" w:orient="portrait"/>
      <w:pgMar w:top="1440" w:right="1440" w:bottom="1440" w:left="1440" w:header="720" w:footer="720" w:gutter="0"/>
      <w:cols w:space="720"/>
      <w:docGrid w:linePitch="360"/>
      <w:headerReference w:type="default" r:id="R927d4a9e84f44bad"/>
      <w:footerReference w:type="default" r:id="Rf2b0342013a6462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417F327" w:rsidTr="2417F327" w14:paraId="5A327373">
      <w:trPr>
        <w:trHeight w:val="300"/>
      </w:trPr>
      <w:tc>
        <w:tcPr>
          <w:tcW w:w="3120" w:type="dxa"/>
          <w:tcMar/>
        </w:tcPr>
        <w:p w:rsidR="2417F327" w:rsidP="2417F327" w:rsidRDefault="2417F327" w14:paraId="39A1691A" w14:textId="5571BCF4">
          <w:pPr>
            <w:pStyle w:val="Header"/>
            <w:bidi w:val="0"/>
            <w:ind w:left="-115"/>
            <w:jc w:val="left"/>
          </w:pPr>
        </w:p>
      </w:tc>
      <w:tc>
        <w:tcPr>
          <w:tcW w:w="3120" w:type="dxa"/>
          <w:tcMar/>
        </w:tcPr>
        <w:p w:rsidR="2417F327" w:rsidP="2417F327" w:rsidRDefault="2417F327" w14:paraId="026273B8" w14:textId="37986B1E">
          <w:pPr>
            <w:pStyle w:val="Header"/>
            <w:bidi w:val="0"/>
            <w:jc w:val="center"/>
          </w:pPr>
        </w:p>
      </w:tc>
      <w:tc>
        <w:tcPr>
          <w:tcW w:w="3120" w:type="dxa"/>
          <w:tcMar/>
        </w:tcPr>
        <w:p w:rsidR="2417F327" w:rsidP="2417F327" w:rsidRDefault="2417F327" w14:paraId="18E699F7" w14:textId="555249BA">
          <w:pPr>
            <w:pStyle w:val="Header"/>
            <w:bidi w:val="0"/>
            <w:ind w:right="-115"/>
            <w:jc w:val="right"/>
          </w:pPr>
          <w:r>
            <w:fldChar w:fldCharType="begin"/>
          </w:r>
          <w:r>
            <w:instrText xml:space="preserve">PAGE</w:instrText>
          </w:r>
          <w:r>
            <w:fldChar w:fldCharType="separate"/>
          </w:r>
          <w:r>
            <w:fldChar w:fldCharType="end"/>
          </w:r>
        </w:p>
      </w:tc>
    </w:tr>
  </w:tbl>
  <w:p w:rsidR="2417F327" w:rsidP="2417F327" w:rsidRDefault="2417F327" w14:paraId="6B031D57" w14:textId="6017EA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417F327" w:rsidTr="2417F327" w14:paraId="498EF68F">
      <w:trPr>
        <w:trHeight w:val="300"/>
      </w:trPr>
      <w:tc>
        <w:tcPr>
          <w:tcW w:w="3120" w:type="dxa"/>
          <w:tcMar/>
        </w:tcPr>
        <w:p w:rsidR="2417F327" w:rsidP="2417F327" w:rsidRDefault="2417F327" w14:paraId="0CCFE1D0" w14:textId="2C09F2B2">
          <w:pPr>
            <w:pStyle w:val="Header"/>
            <w:bidi w:val="0"/>
            <w:ind w:left="-115"/>
            <w:jc w:val="left"/>
          </w:pPr>
        </w:p>
      </w:tc>
      <w:tc>
        <w:tcPr>
          <w:tcW w:w="3120" w:type="dxa"/>
          <w:tcMar/>
        </w:tcPr>
        <w:p w:rsidR="2417F327" w:rsidP="2417F327" w:rsidRDefault="2417F327" w14:paraId="5B07C041" w14:textId="7C32A512">
          <w:pPr>
            <w:pStyle w:val="Header"/>
            <w:bidi w:val="0"/>
            <w:jc w:val="center"/>
          </w:pPr>
        </w:p>
      </w:tc>
      <w:tc>
        <w:tcPr>
          <w:tcW w:w="3120" w:type="dxa"/>
          <w:tcMar/>
        </w:tcPr>
        <w:p w:rsidR="2417F327" w:rsidP="2417F327" w:rsidRDefault="2417F327" w14:paraId="66ED7359" w14:textId="4DC92334">
          <w:pPr>
            <w:pStyle w:val="Header"/>
            <w:bidi w:val="0"/>
            <w:ind w:right="-115"/>
            <w:jc w:val="right"/>
          </w:pPr>
        </w:p>
      </w:tc>
    </w:tr>
  </w:tbl>
  <w:p w:rsidR="2417F327" w:rsidP="2417F327" w:rsidRDefault="2417F327" w14:paraId="6F7E62CC" w14:textId="5CFDF4FA">
    <w:pPr>
      <w:pStyle w:val="Header"/>
      <w:bidi w:val="0"/>
    </w:pPr>
  </w:p>
</w:hdr>
</file>

<file path=word/intelligence2.xml><?xml version="1.0" encoding="utf-8"?>
<int2:intelligence xmlns:int2="http://schemas.microsoft.com/office/intelligence/2020/intelligence">
  <int2:observations>
    <int2:textHash int2:hashCode="PLZtS9B8ew8ND3" int2:id="0Pldue8J">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2296D"/>
    <w:rsid w:val="00098756"/>
    <w:rsid w:val="000D5F0F"/>
    <w:rsid w:val="000EC5BF"/>
    <w:rsid w:val="002AAC3D"/>
    <w:rsid w:val="0107F2D9"/>
    <w:rsid w:val="0182E52D"/>
    <w:rsid w:val="01997C88"/>
    <w:rsid w:val="01A55DCE"/>
    <w:rsid w:val="01E54E87"/>
    <w:rsid w:val="02293212"/>
    <w:rsid w:val="02293212"/>
    <w:rsid w:val="02744C28"/>
    <w:rsid w:val="02A5E971"/>
    <w:rsid w:val="03641363"/>
    <w:rsid w:val="03FA29B1"/>
    <w:rsid w:val="0487F0D9"/>
    <w:rsid w:val="048A54D5"/>
    <w:rsid w:val="04B07240"/>
    <w:rsid w:val="05057A53"/>
    <w:rsid w:val="0508E916"/>
    <w:rsid w:val="05090A73"/>
    <w:rsid w:val="056400BE"/>
    <w:rsid w:val="059DB88D"/>
    <w:rsid w:val="05CC5637"/>
    <w:rsid w:val="063DAFF5"/>
    <w:rsid w:val="064A813D"/>
    <w:rsid w:val="0664BF75"/>
    <w:rsid w:val="06756C70"/>
    <w:rsid w:val="06756C70"/>
    <w:rsid w:val="068A84CD"/>
    <w:rsid w:val="06A6CDE4"/>
    <w:rsid w:val="06ABD132"/>
    <w:rsid w:val="073414A5"/>
    <w:rsid w:val="075880FF"/>
    <w:rsid w:val="07AC2381"/>
    <w:rsid w:val="08034518"/>
    <w:rsid w:val="08976D67"/>
    <w:rsid w:val="08A3B10F"/>
    <w:rsid w:val="090773E7"/>
    <w:rsid w:val="0A2FB697"/>
    <w:rsid w:val="0B0A1709"/>
    <w:rsid w:val="0B199E43"/>
    <w:rsid w:val="0BE73D51"/>
    <w:rsid w:val="0C25FE14"/>
    <w:rsid w:val="0C7E651E"/>
    <w:rsid w:val="0CB1AE86"/>
    <w:rsid w:val="0CD528C3"/>
    <w:rsid w:val="0D2069F4"/>
    <w:rsid w:val="0D3E0FC6"/>
    <w:rsid w:val="0D6598DC"/>
    <w:rsid w:val="0E1B679E"/>
    <w:rsid w:val="0E372E0C"/>
    <w:rsid w:val="0EA155CD"/>
    <w:rsid w:val="0F7516E9"/>
    <w:rsid w:val="0F865C63"/>
    <w:rsid w:val="0FC791DF"/>
    <w:rsid w:val="103A14FE"/>
    <w:rsid w:val="10690C88"/>
    <w:rsid w:val="107D1686"/>
    <w:rsid w:val="1089BAFF"/>
    <w:rsid w:val="114BF6AE"/>
    <w:rsid w:val="118702FD"/>
    <w:rsid w:val="11FCA619"/>
    <w:rsid w:val="1201ADD7"/>
    <w:rsid w:val="12C77889"/>
    <w:rsid w:val="133EE288"/>
    <w:rsid w:val="1390A984"/>
    <w:rsid w:val="13AAE841"/>
    <w:rsid w:val="143DCECA"/>
    <w:rsid w:val="1486913A"/>
    <w:rsid w:val="148C05F4"/>
    <w:rsid w:val="15043C87"/>
    <w:rsid w:val="158D2AB3"/>
    <w:rsid w:val="15A0070F"/>
    <w:rsid w:val="15F2FBD6"/>
    <w:rsid w:val="160AA1D0"/>
    <w:rsid w:val="165CA713"/>
    <w:rsid w:val="169440D2"/>
    <w:rsid w:val="16C98CE3"/>
    <w:rsid w:val="1775D23F"/>
    <w:rsid w:val="178AAA0F"/>
    <w:rsid w:val="1797C65C"/>
    <w:rsid w:val="185A1654"/>
    <w:rsid w:val="185E789F"/>
    <w:rsid w:val="1919522D"/>
    <w:rsid w:val="192890AD"/>
    <w:rsid w:val="19760621"/>
    <w:rsid w:val="1992296D"/>
    <w:rsid w:val="19BE07D4"/>
    <w:rsid w:val="19C9A628"/>
    <w:rsid w:val="19DE4F4F"/>
    <w:rsid w:val="1A7ADF3B"/>
    <w:rsid w:val="1AD51991"/>
    <w:rsid w:val="1B2A740C"/>
    <w:rsid w:val="1B42EDEA"/>
    <w:rsid w:val="1B6ABA81"/>
    <w:rsid w:val="1BD78DA4"/>
    <w:rsid w:val="1C2DC7D4"/>
    <w:rsid w:val="1C30C9F6"/>
    <w:rsid w:val="1CA90E02"/>
    <w:rsid w:val="1CAC3C35"/>
    <w:rsid w:val="1D34C2BB"/>
    <w:rsid w:val="1D497772"/>
    <w:rsid w:val="1D53E087"/>
    <w:rsid w:val="1D874A01"/>
    <w:rsid w:val="1DAC2001"/>
    <w:rsid w:val="1DE16E39"/>
    <w:rsid w:val="1E3D9EF2"/>
    <w:rsid w:val="1E56CA6A"/>
    <w:rsid w:val="1EA27FA8"/>
    <w:rsid w:val="1EE4D3A3"/>
    <w:rsid w:val="1EFF4338"/>
    <w:rsid w:val="1F0B034A"/>
    <w:rsid w:val="1F404E0E"/>
    <w:rsid w:val="1F6AC651"/>
    <w:rsid w:val="1F8C2876"/>
    <w:rsid w:val="1FAF83F5"/>
    <w:rsid w:val="20045F05"/>
    <w:rsid w:val="201D0995"/>
    <w:rsid w:val="20C97BE9"/>
    <w:rsid w:val="20C9D2A8"/>
    <w:rsid w:val="20C9D2A8"/>
    <w:rsid w:val="211D245E"/>
    <w:rsid w:val="2131F7D9"/>
    <w:rsid w:val="215C056C"/>
    <w:rsid w:val="218677B1"/>
    <w:rsid w:val="2249C464"/>
    <w:rsid w:val="224DD900"/>
    <w:rsid w:val="226B5E72"/>
    <w:rsid w:val="22ACD363"/>
    <w:rsid w:val="22C89F80"/>
    <w:rsid w:val="233E79F0"/>
    <w:rsid w:val="2394A915"/>
    <w:rsid w:val="23DCD236"/>
    <w:rsid w:val="2417F327"/>
    <w:rsid w:val="2435195C"/>
    <w:rsid w:val="24A7BC97"/>
    <w:rsid w:val="24D810BF"/>
    <w:rsid w:val="252507C0"/>
    <w:rsid w:val="25D416DE"/>
    <w:rsid w:val="25F7FD51"/>
    <w:rsid w:val="26064B1E"/>
    <w:rsid w:val="264A657E"/>
    <w:rsid w:val="270B29B0"/>
    <w:rsid w:val="2774663C"/>
    <w:rsid w:val="2775E34A"/>
    <w:rsid w:val="27D5E47D"/>
    <w:rsid w:val="27D5E47D"/>
    <w:rsid w:val="28165A27"/>
    <w:rsid w:val="285936CD"/>
    <w:rsid w:val="28BABC08"/>
    <w:rsid w:val="2901B9E8"/>
    <w:rsid w:val="2950BAEB"/>
    <w:rsid w:val="299C9B8E"/>
    <w:rsid w:val="29AB1AC6"/>
    <w:rsid w:val="29BB28BB"/>
    <w:rsid w:val="29D4EB89"/>
    <w:rsid w:val="2AD8B0E7"/>
    <w:rsid w:val="2AD8B0E7"/>
    <w:rsid w:val="2B0370B6"/>
    <w:rsid w:val="2B04DD57"/>
    <w:rsid w:val="2B3D5B3C"/>
    <w:rsid w:val="2B455855"/>
    <w:rsid w:val="2BE8420F"/>
    <w:rsid w:val="2C47D9AB"/>
    <w:rsid w:val="2CCDA92E"/>
    <w:rsid w:val="2CE46649"/>
    <w:rsid w:val="2CEC2B10"/>
    <w:rsid w:val="2D0FBAC8"/>
    <w:rsid w:val="2D9A13F0"/>
    <w:rsid w:val="2DB7464A"/>
    <w:rsid w:val="2DEF1FE5"/>
    <w:rsid w:val="2E494278"/>
    <w:rsid w:val="2E4F8DBF"/>
    <w:rsid w:val="2E70429B"/>
    <w:rsid w:val="2F52230B"/>
    <w:rsid w:val="2F8DF353"/>
    <w:rsid w:val="2FAAD8FC"/>
    <w:rsid w:val="2FE68817"/>
    <w:rsid w:val="2FE68817"/>
    <w:rsid w:val="2FEF6C45"/>
    <w:rsid w:val="302D140A"/>
    <w:rsid w:val="307EFD93"/>
    <w:rsid w:val="308D3D14"/>
    <w:rsid w:val="30BC3932"/>
    <w:rsid w:val="30FDDD75"/>
    <w:rsid w:val="310A0BEC"/>
    <w:rsid w:val="326A0A70"/>
    <w:rsid w:val="3270064C"/>
    <w:rsid w:val="3316D542"/>
    <w:rsid w:val="33302293"/>
    <w:rsid w:val="3340E03B"/>
    <w:rsid w:val="33661D38"/>
    <w:rsid w:val="33C52BD1"/>
    <w:rsid w:val="340FECAE"/>
    <w:rsid w:val="34AA44C6"/>
    <w:rsid w:val="34BB67C6"/>
    <w:rsid w:val="34D63917"/>
    <w:rsid w:val="35480897"/>
    <w:rsid w:val="356DC22C"/>
    <w:rsid w:val="3593FDC6"/>
    <w:rsid w:val="35E05596"/>
    <w:rsid w:val="361DBAE6"/>
    <w:rsid w:val="36F45A75"/>
    <w:rsid w:val="372A866F"/>
    <w:rsid w:val="3743C3E6"/>
    <w:rsid w:val="375B98FC"/>
    <w:rsid w:val="3760D261"/>
    <w:rsid w:val="377D6967"/>
    <w:rsid w:val="377FFE77"/>
    <w:rsid w:val="37B37EF2"/>
    <w:rsid w:val="37C8B7D7"/>
    <w:rsid w:val="3801CC6D"/>
    <w:rsid w:val="381FA675"/>
    <w:rsid w:val="38376865"/>
    <w:rsid w:val="38376865"/>
    <w:rsid w:val="38390919"/>
    <w:rsid w:val="38629734"/>
    <w:rsid w:val="38B9EDD9"/>
    <w:rsid w:val="38E3C53F"/>
    <w:rsid w:val="38F1ECCC"/>
    <w:rsid w:val="3929B278"/>
    <w:rsid w:val="39758F39"/>
    <w:rsid w:val="3986BA05"/>
    <w:rsid w:val="399C57E1"/>
    <w:rsid w:val="39E528C2"/>
    <w:rsid w:val="3A210F35"/>
    <w:rsid w:val="3A210F35"/>
    <w:rsid w:val="3A232C45"/>
    <w:rsid w:val="3A44257C"/>
    <w:rsid w:val="3A4C3E2A"/>
    <w:rsid w:val="3AAAF5C3"/>
    <w:rsid w:val="3AD91C62"/>
    <w:rsid w:val="3ADF77D2"/>
    <w:rsid w:val="3B30243F"/>
    <w:rsid w:val="3B5C359D"/>
    <w:rsid w:val="3B5F5DDA"/>
    <w:rsid w:val="3B80EE92"/>
    <w:rsid w:val="3BBE1367"/>
    <w:rsid w:val="3C24F7B8"/>
    <w:rsid w:val="3C256AF7"/>
    <w:rsid w:val="3C4662E0"/>
    <w:rsid w:val="3CF9045D"/>
    <w:rsid w:val="3D42425E"/>
    <w:rsid w:val="3D6AE432"/>
    <w:rsid w:val="3D8CE0C1"/>
    <w:rsid w:val="3D9445DD"/>
    <w:rsid w:val="3DA87CCF"/>
    <w:rsid w:val="3F50A47B"/>
    <w:rsid w:val="3F5D6A00"/>
    <w:rsid w:val="3F94794C"/>
    <w:rsid w:val="3FCA9106"/>
    <w:rsid w:val="408C3E27"/>
    <w:rsid w:val="408C3E27"/>
    <w:rsid w:val="40DF7044"/>
    <w:rsid w:val="4167A458"/>
    <w:rsid w:val="41EEDF36"/>
    <w:rsid w:val="4230861B"/>
    <w:rsid w:val="4245BED3"/>
    <w:rsid w:val="42825761"/>
    <w:rsid w:val="433853BF"/>
    <w:rsid w:val="4411DE7B"/>
    <w:rsid w:val="4448289E"/>
    <w:rsid w:val="444FF7FF"/>
    <w:rsid w:val="4456DF19"/>
    <w:rsid w:val="44634291"/>
    <w:rsid w:val="4466195E"/>
    <w:rsid w:val="455D98C4"/>
    <w:rsid w:val="455E31E6"/>
    <w:rsid w:val="45BD0CE8"/>
    <w:rsid w:val="45BF0B5F"/>
    <w:rsid w:val="47A904CF"/>
    <w:rsid w:val="47C799E5"/>
    <w:rsid w:val="47F85445"/>
    <w:rsid w:val="47FFD3F5"/>
    <w:rsid w:val="480C789A"/>
    <w:rsid w:val="4811E804"/>
    <w:rsid w:val="48281275"/>
    <w:rsid w:val="490B87C0"/>
    <w:rsid w:val="497213AF"/>
    <w:rsid w:val="49D42098"/>
    <w:rsid w:val="4A09D161"/>
    <w:rsid w:val="4A1D2AFD"/>
    <w:rsid w:val="4A43966B"/>
    <w:rsid w:val="4A684E49"/>
    <w:rsid w:val="4B1565DA"/>
    <w:rsid w:val="4B326F54"/>
    <w:rsid w:val="4B51F34F"/>
    <w:rsid w:val="4BD7223B"/>
    <w:rsid w:val="4C5709D9"/>
    <w:rsid w:val="4C8DE911"/>
    <w:rsid w:val="4CABD2A9"/>
    <w:rsid w:val="4CC4E4DA"/>
    <w:rsid w:val="4D078750"/>
    <w:rsid w:val="4D7CB00A"/>
    <w:rsid w:val="4DA10213"/>
    <w:rsid w:val="4DEEA9BB"/>
    <w:rsid w:val="4E35F507"/>
    <w:rsid w:val="4EAB7DCA"/>
    <w:rsid w:val="4ED60E92"/>
    <w:rsid w:val="4EF4BBD2"/>
    <w:rsid w:val="4EF4BBD2"/>
    <w:rsid w:val="4F1CAED4"/>
    <w:rsid w:val="4F3DC3C2"/>
    <w:rsid w:val="4FA2E7AC"/>
    <w:rsid w:val="4FA5BB9E"/>
    <w:rsid w:val="4FB4C7D2"/>
    <w:rsid w:val="4FE1E510"/>
    <w:rsid w:val="50348CF3"/>
    <w:rsid w:val="50417C06"/>
    <w:rsid w:val="5044B1E2"/>
    <w:rsid w:val="50F5E671"/>
    <w:rsid w:val="512103E5"/>
    <w:rsid w:val="51AB631D"/>
    <w:rsid w:val="51AB631D"/>
    <w:rsid w:val="51B005BF"/>
    <w:rsid w:val="51BF0ACA"/>
    <w:rsid w:val="51CE378F"/>
    <w:rsid w:val="52644078"/>
    <w:rsid w:val="52A127DE"/>
    <w:rsid w:val="52AFC1D5"/>
    <w:rsid w:val="52AFC1D5"/>
    <w:rsid w:val="538B8E06"/>
    <w:rsid w:val="539DF2CA"/>
    <w:rsid w:val="540F29CD"/>
    <w:rsid w:val="543FEC3E"/>
    <w:rsid w:val="54418732"/>
    <w:rsid w:val="545C98B4"/>
    <w:rsid w:val="546D708F"/>
    <w:rsid w:val="54F47EAF"/>
    <w:rsid w:val="54FBB8FD"/>
    <w:rsid w:val="553217EB"/>
    <w:rsid w:val="55CC8CEF"/>
    <w:rsid w:val="5615D307"/>
    <w:rsid w:val="5672FBFA"/>
    <w:rsid w:val="56AF392D"/>
    <w:rsid w:val="56B46DF5"/>
    <w:rsid w:val="56ED0A1F"/>
    <w:rsid w:val="56ED81D3"/>
    <w:rsid w:val="56F13EA8"/>
    <w:rsid w:val="57A395F5"/>
    <w:rsid w:val="57A395F5"/>
    <w:rsid w:val="57B41414"/>
    <w:rsid w:val="5881461B"/>
    <w:rsid w:val="58911903"/>
    <w:rsid w:val="58E364CC"/>
    <w:rsid w:val="58F50B57"/>
    <w:rsid w:val="598BCAC8"/>
    <w:rsid w:val="59ABDBCC"/>
    <w:rsid w:val="59B96270"/>
    <w:rsid w:val="59B96270"/>
    <w:rsid w:val="59C1D558"/>
    <w:rsid w:val="59E517D3"/>
    <w:rsid w:val="5A37515A"/>
    <w:rsid w:val="5A7AB43D"/>
    <w:rsid w:val="5AFC3CA8"/>
    <w:rsid w:val="5B03F85B"/>
    <w:rsid w:val="5B297D4B"/>
    <w:rsid w:val="5B8F6E8A"/>
    <w:rsid w:val="5C153D1C"/>
    <w:rsid w:val="5C194F12"/>
    <w:rsid w:val="5C8B7F94"/>
    <w:rsid w:val="5DC983BE"/>
    <w:rsid w:val="5DE98B13"/>
    <w:rsid w:val="5E53F43E"/>
    <w:rsid w:val="5E6809FB"/>
    <w:rsid w:val="5E6C44D3"/>
    <w:rsid w:val="5ED61EAF"/>
    <w:rsid w:val="5EDBF462"/>
    <w:rsid w:val="5F3D421E"/>
    <w:rsid w:val="5F96F012"/>
    <w:rsid w:val="602A3239"/>
    <w:rsid w:val="6040B718"/>
    <w:rsid w:val="608E423B"/>
    <w:rsid w:val="60A59F7C"/>
    <w:rsid w:val="60D7FFE8"/>
    <w:rsid w:val="6132B4CD"/>
    <w:rsid w:val="613A1C78"/>
    <w:rsid w:val="61A600F4"/>
    <w:rsid w:val="61B9EA51"/>
    <w:rsid w:val="6352917A"/>
    <w:rsid w:val="63BD1BE4"/>
    <w:rsid w:val="649223F6"/>
    <w:rsid w:val="64DF9029"/>
    <w:rsid w:val="651E8773"/>
    <w:rsid w:val="657B38E4"/>
    <w:rsid w:val="657F1C2B"/>
    <w:rsid w:val="65AC07B0"/>
    <w:rsid w:val="65AF6F22"/>
    <w:rsid w:val="65E58D62"/>
    <w:rsid w:val="666F0992"/>
    <w:rsid w:val="66A0DE47"/>
    <w:rsid w:val="66EF7399"/>
    <w:rsid w:val="67005774"/>
    <w:rsid w:val="678BDA62"/>
    <w:rsid w:val="67A089A0"/>
    <w:rsid w:val="67B6BF50"/>
    <w:rsid w:val="67F20171"/>
    <w:rsid w:val="6801D000"/>
    <w:rsid w:val="6842370C"/>
    <w:rsid w:val="684731CC"/>
    <w:rsid w:val="6886753D"/>
    <w:rsid w:val="690069A2"/>
    <w:rsid w:val="69919231"/>
    <w:rsid w:val="69B99919"/>
    <w:rsid w:val="69E34495"/>
    <w:rsid w:val="69F06378"/>
    <w:rsid w:val="6A09CC02"/>
    <w:rsid w:val="6ADC4BDD"/>
    <w:rsid w:val="6B48DC54"/>
    <w:rsid w:val="6B6826E1"/>
    <w:rsid w:val="6BB5C07D"/>
    <w:rsid w:val="6BC67583"/>
    <w:rsid w:val="6BE833D6"/>
    <w:rsid w:val="6C020DC1"/>
    <w:rsid w:val="6C252DEF"/>
    <w:rsid w:val="6C402BAD"/>
    <w:rsid w:val="6D119D44"/>
    <w:rsid w:val="6D324F1D"/>
    <w:rsid w:val="6E5DA254"/>
    <w:rsid w:val="6E6A8950"/>
    <w:rsid w:val="6E8692DA"/>
    <w:rsid w:val="6EA72060"/>
    <w:rsid w:val="6EC1CB13"/>
    <w:rsid w:val="6F09428C"/>
    <w:rsid w:val="6F3CBB6C"/>
    <w:rsid w:val="6F3CBB6C"/>
    <w:rsid w:val="6FF8EC68"/>
    <w:rsid w:val="7014FA73"/>
    <w:rsid w:val="7090AE5E"/>
    <w:rsid w:val="713C2DF8"/>
    <w:rsid w:val="718E0933"/>
    <w:rsid w:val="718E7F3B"/>
    <w:rsid w:val="71B70019"/>
    <w:rsid w:val="71D7CF60"/>
    <w:rsid w:val="71D878CD"/>
    <w:rsid w:val="7208D8AA"/>
    <w:rsid w:val="720DFB04"/>
    <w:rsid w:val="7229BE8D"/>
    <w:rsid w:val="72D025CC"/>
    <w:rsid w:val="72F028AF"/>
    <w:rsid w:val="73D0B4A8"/>
    <w:rsid w:val="7418BE1F"/>
    <w:rsid w:val="743BF78C"/>
    <w:rsid w:val="74E4D173"/>
    <w:rsid w:val="754D08F2"/>
    <w:rsid w:val="756A64F4"/>
    <w:rsid w:val="75F7C7EA"/>
    <w:rsid w:val="75FE381F"/>
    <w:rsid w:val="762D4DA3"/>
    <w:rsid w:val="76363CA0"/>
    <w:rsid w:val="768F11BF"/>
    <w:rsid w:val="774575B1"/>
    <w:rsid w:val="779329DD"/>
    <w:rsid w:val="77A8F6B1"/>
    <w:rsid w:val="77FF2AE7"/>
    <w:rsid w:val="784C386D"/>
    <w:rsid w:val="784C386D"/>
    <w:rsid w:val="78904895"/>
    <w:rsid w:val="78A6B4F8"/>
    <w:rsid w:val="7951B36D"/>
    <w:rsid w:val="798439E2"/>
    <w:rsid w:val="79A1E69C"/>
    <w:rsid w:val="7A31D01B"/>
    <w:rsid w:val="7AD08A60"/>
    <w:rsid w:val="7AF7FCB6"/>
    <w:rsid w:val="7BAB29D1"/>
    <w:rsid w:val="7C3AAA74"/>
    <w:rsid w:val="7C62C902"/>
    <w:rsid w:val="7D36CD6E"/>
    <w:rsid w:val="7D98DB7E"/>
    <w:rsid w:val="7E36B357"/>
    <w:rsid w:val="7E5EB45C"/>
    <w:rsid w:val="7E90D024"/>
    <w:rsid w:val="7E9FB829"/>
    <w:rsid w:val="7EDE6EAD"/>
    <w:rsid w:val="7F963694"/>
    <w:rsid w:val="7FA25D9D"/>
    <w:rsid w:val="7FBA4333"/>
    <w:rsid w:val="7FD22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2296D"/>
  <w15:chartTrackingRefBased/>
  <w15:docId w15:val="{A0999592-BEA6-41EC-B63B-4C27300923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417F327"/>
    <w:rPr>
      <w:color w:val="467886"/>
      <w:u w:val="single"/>
    </w:rPr>
  </w:style>
  <w:style w:type="paragraph" w:styleId="Header">
    <w:uiPriority w:val="99"/>
    <w:name w:val="header"/>
    <w:basedOn w:val="Normal"/>
    <w:unhideWhenUsed/>
    <w:rsid w:val="2417F327"/>
    <w:pPr>
      <w:tabs>
        <w:tab w:val="center" w:leader="none" w:pos="4680"/>
        <w:tab w:val="right" w:leader="none" w:pos="9360"/>
      </w:tabs>
      <w:spacing w:after="0" w:line="240" w:lineRule="auto"/>
    </w:pPr>
  </w:style>
  <w:style w:type="paragraph" w:styleId="Footer">
    <w:uiPriority w:val="99"/>
    <w:name w:val="footer"/>
    <w:basedOn w:val="Normal"/>
    <w:unhideWhenUsed/>
    <w:rsid w:val="2417F32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69F0637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9F0637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27d4a9e84f44bad" /><Relationship Type="http://schemas.openxmlformats.org/officeDocument/2006/relationships/footer" Target="footer.xml" Id="Rf2b0342013a6462c" /><Relationship Type="http://schemas.openxmlformats.org/officeDocument/2006/relationships/hyperlink" Target="https://doi.org/10.1016/j.lcsi.2020.100453" TargetMode="External" Id="Ra53a08f037864fba" /><Relationship Type="http://schemas.openxmlformats.org/officeDocument/2006/relationships/hyperlink" Target="https://doi.org/10.1111/1460-6984.12679" TargetMode="External" Id="Ra2910c64474c4f0f" /><Relationship Type="http://schemas.openxmlformats.org/officeDocument/2006/relationships/hyperlink" Target="https://www.jstor.org/stable/2786135" TargetMode="External" Id="R4c4c34ed8a2e4f4c" /><Relationship Type="http://schemas.openxmlformats.org/officeDocument/2006/relationships/hyperlink" Target="https://doi.org/10.1038/s41598-022-22609-y" TargetMode="External" Id="R4d3ae13f3e2d42cc" /><Relationship Type="http://schemas.openxmlformats.org/officeDocument/2006/relationships/hyperlink" Target="https://www.jstor.org/stable/2786135" TargetMode="External" Id="R584848efb8e44ff8" /><Relationship Type="http://schemas.openxmlformats.org/officeDocument/2006/relationships/hyperlink" Target="https://doi.org/10.1111/1460-6984.12679" TargetMode="External" Id="R4467e13744aa4613" /><Relationship Type="http://schemas.openxmlformats.org/officeDocument/2006/relationships/hyperlink" Target="https://doi.org/10.1038/s41598-022-22609-y" TargetMode="External" Id="R9dc49f4019a0499f" /><Relationship Type="http://schemas.openxmlformats.org/officeDocument/2006/relationships/hyperlink" Target="https://doi.org/10.1093/geront/gny090" TargetMode="External" Id="Rc62c0c1181fe46c5" /><Relationship Type="http://schemas.openxmlformats.org/officeDocument/2006/relationships/hyperlink" Target="https://doi.org/10.1017/S0144686X17000678" TargetMode="External" Id="Ra173a05a75694711" /><Relationship Type="http://schemas.openxmlformats.org/officeDocument/2006/relationships/hyperlink" Target="https://doi.org/10.1016/j.lcsi.2020.100453" TargetMode="External" Id="Ra0c12f2558c145de" /><Relationship Type="http://schemas.microsoft.com/office/2020/10/relationships/intelligence" Target="intelligence2.xml" Id="Rabcd7f4c283548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2026-03-13T09:43:46.3482309Z</dcterms:created>
  <dcterms:modified xsi:type="dcterms:W3CDTF">2026-03-21T13:16:40.4590333Z</dcterms:modified>
  <dc:creator>Gurtek Kaur (2432269)</dc:creator>
  <lastModifiedBy>Gurtek Kaur (2432269)</lastModifiedBy>
</coreProperties>
</file>