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C0ECF" w:rsidP="008C675A" w:rsidRDefault="008C0ECF" w14:paraId="618A4505" w14:textId="77777777">
      <w:pPr>
        <w:jc w:val="both"/>
      </w:pPr>
      <w:r w:rsidRPr="00C42BD8">
        <w:rPr>
          <w:rFonts w:ascii="Arial" w:hAnsi="Arial" w:cs="Arial"/>
          <w:noProof/>
          <w:sz w:val="22"/>
          <w:szCs w:val="22"/>
        </w:rPr>
        <w:drawing>
          <wp:inline distT="0" distB="0" distL="0" distR="0" wp14:anchorId="5D5450D0" wp14:editId="06AD146E">
            <wp:extent cx="2133600" cy="952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952500"/>
                    </a:xfrm>
                    <a:prstGeom prst="rect">
                      <a:avLst/>
                    </a:prstGeom>
                    <a:noFill/>
                    <a:ln>
                      <a:noFill/>
                    </a:ln>
                  </pic:spPr>
                </pic:pic>
              </a:graphicData>
            </a:graphic>
          </wp:inline>
        </w:drawing>
      </w:r>
    </w:p>
    <w:p w:rsidRPr="00C42BD8" w:rsidR="008C0ECF" w:rsidP="008C675A" w:rsidRDefault="008C0ECF" w14:paraId="1086AD82" w14:textId="77777777">
      <w:pPr>
        <w:jc w:val="both"/>
        <w:rPr>
          <w:rFonts w:ascii="Arial" w:hAnsi="Arial" w:cs="Arial"/>
          <w:b/>
          <w:bCs/>
          <w:sz w:val="32"/>
          <w:szCs w:val="32"/>
        </w:rPr>
      </w:pPr>
      <w:r w:rsidRPr="00C42BD8">
        <w:rPr>
          <w:rFonts w:ascii="Arial" w:hAnsi="Arial" w:cs="Arial"/>
          <w:b/>
          <w:bCs/>
          <w:sz w:val="32"/>
          <w:szCs w:val="32"/>
        </w:rPr>
        <w:t>Programme: BSc Health and Social Care </w:t>
      </w:r>
    </w:p>
    <w:p w:rsidRPr="00C42BD8" w:rsidR="008C0ECF" w:rsidP="008C675A" w:rsidRDefault="008C0ECF" w14:paraId="19BAFBCB" w14:textId="23551765">
      <w:pPr>
        <w:jc w:val="both"/>
        <w:rPr>
          <w:rFonts w:ascii="Arial" w:hAnsi="Arial" w:cs="Arial"/>
          <w:b/>
          <w:bCs/>
          <w:sz w:val="32"/>
          <w:szCs w:val="32"/>
        </w:rPr>
      </w:pPr>
      <w:r w:rsidRPr="00C42BD8">
        <w:rPr>
          <w:rFonts w:ascii="Arial" w:hAnsi="Arial" w:cs="Arial"/>
          <w:b/>
          <w:bCs/>
          <w:sz w:val="32"/>
          <w:szCs w:val="32"/>
        </w:rPr>
        <w:t>Module code: BMH</w:t>
      </w:r>
      <w:r>
        <w:rPr>
          <w:rFonts w:ascii="Arial" w:hAnsi="Arial" w:cs="Arial"/>
          <w:b/>
          <w:bCs/>
          <w:sz w:val="32"/>
          <w:szCs w:val="32"/>
        </w:rPr>
        <w:t>P6026</w:t>
      </w:r>
      <w:r w:rsidRPr="00C42BD8">
        <w:rPr>
          <w:rFonts w:ascii="Arial" w:hAnsi="Arial" w:cs="Arial"/>
          <w:b/>
          <w:bCs/>
          <w:sz w:val="32"/>
          <w:szCs w:val="32"/>
        </w:rPr>
        <w:tab/>
      </w:r>
      <w:r w:rsidRPr="00C42BD8">
        <w:rPr>
          <w:rFonts w:ascii="Arial" w:hAnsi="Arial" w:cs="Arial"/>
          <w:b/>
          <w:bCs/>
          <w:sz w:val="32"/>
          <w:szCs w:val="32"/>
        </w:rPr>
        <w:t> </w:t>
      </w:r>
    </w:p>
    <w:p w:rsidRPr="00FE4D42" w:rsidR="008C0ECF" w:rsidP="4F5928E5" w:rsidRDefault="008C0ECF" w14:paraId="355A4AA0" w14:textId="61ED3F18">
      <w:pPr>
        <w:jc w:val="both"/>
        <w:rPr>
          <w:rFonts w:ascii="Arial" w:hAnsi="Arial" w:cs="Arial"/>
          <w:b w:val="1"/>
          <w:bCs w:val="1"/>
          <w:sz w:val="28"/>
          <w:szCs w:val="28"/>
        </w:rPr>
      </w:pPr>
      <w:r w:rsidRPr="4F5928E5" w:rsidR="008C0ECF">
        <w:rPr>
          <w:rFonts w:ascii="Arial" w:hAnsi="Arial" w:cs="Arial"/>
          <w:b w:val="1"/>
          <w:bCs w:val="1"/>
          <w:sz w:val="32"/>
          <w:szCs w:val="32"/>
        </w:rPr>
        <w:t>Module: </w:t>
      </w:r>
      <w:r w:rsidRPr="4F5928E5" w:rsidR="008C0ECF">
        <w:rPr>
          <w:rFonts w:ascii="Arial" w:hAnsi="Arial" w:cs="Arial"/>
          <w:b w:val="1"/>
          <w:bCs w:val="1"/>
          <w:color w:val="215E99" w:themeColor="text2" w:themeTint="BF" w:themeShade="FF"/>
          <w:sz w:val="28"/>
          <w:szCs w:val="28"/>
        </w:rPr>
        <w:t>Digital</w:t>
      </w:r>
      <w:r w:rsidRPr="4F5928E5" w:rsidR="5993D513">
        <w:rPr>
          <w:rFonts w:ascii="Arial" w:hAnsi="Arial" w:cs="Arial"/>
          <w:b w:val="1"/>
          <w:bCs w:val="1"/>
          <w:color w:val="215E99" w:themeColor="text2" w:themeTint="BF" w:themeShade="FF"/>
          <w:sz w:val="28"/>
          <w:szCs w:val="28"/>
        </w:rPr>
        <w:t xml:space="preserve"> </w:t>
      </w:r>
      <w:r w:rsidRPr="4F5928E5" w:rsidR="008C0ECF">
        <w:rPr>
          <w:rFonts w:ascii="Arial" w:hAnsi="Arial" w:cs="Arial"/>
          <w:b w:val="1"/>
          <w:bCs w:val="1"/>
          <w:color w:val="215E99" w:themeColor="text2" w:themeTint="BF" w:themeShade="FF"/>
          <w:sz w:val="28"/>
          <w:szCs w:val="28"/>
        </w:rPr>
        <w:t>Transformation in Health &amp; Care Profession</w:t>
      </w:r>
    </w:p>
    <w:p w:rsidRPr="00C42BD8" w:rsidR="008C0ECF" w:rsidP="008C675A" w:rsidRDefault="008C0ECF" w14:paraId="63EDB896" w14:textId="2DF1BB6D">
      <w:pPr>
        <w:jc w:val="both"/>
        <w:rPr>
          <w:rFonts w:ascii="Arial" w:hAnsi="Arial" w:cs="Arial"/>
          <w:b/>
          <w:bCs/>
          <w:sz w:val="32"/>
          <w:szCs w:val="32"/>
        </w:rPr>
      </w:pPr>
      <w:r w:rsidRPr="00C42BD8">
        <w:rPr>
          <w:rFonts w:ascii="Arial" w:hAnsi="Arial" w:cs="Arial"/>
          <w:b/>
          <w:bCs/>
          <w:sz w:val="32"/>
          <w:szCs w:val="32"/>
        </w:rPr>
        <w:t>Lecturer: </w:t>
      </w:r>
      <w:r>
        <w:rPr>
          <w:rFonts w:ascii="Arial" w:hAnsi="Arial" w:cs="Arial"/>
          <w:b/>
          <w:bCs/>
          <w:sz w:val="32"/>
          <w:szCs w:val="32"/>
        </w:rPr>
        <w:t>Martin S</w:t>
      </w:r>
      <w:r w:rsidR="00C74EA7">
        <w:rPr>
          <w:rFonts w:ascii="Arial" w:hAnsi="Arial" w:cs="Arial"/>
          <w:b/>
          <w:bCs/>
          <w:sz w:val="32"/>
          <w:szCs w:val="32"/>
        </w:rPr>
        <w:t>vejda</w:t>
      </w:r>
      <w:r w:rsidRPr="00C42BD8">
        <w:rPr>
          <w:rFonts w:ascii="Arial" w:hAnsi="Arial" w:cs="Arial"/>
          <w:b/>
          <w:bCs/>
          <w:sz w:val="32"/>
          <w:szCs w:val="32"/>
        </w:rPr>
        <w:t> </w:t>
      </w:r>
    </w:p>
    <w:p w:rsidRPr="00FE4D42" w:rsidR="008C0ECF" w:rsidP="008C675A" w:rsidRDefault="008C0ECF" w14:paraId="31CF31E1" w14:textId="71EA582B">
      <w:pPr>
        <w:jc w:val="both"/>
        <w:rPr>
          <w:rFonts w:ascii="Arial" w:hAnsi="Arial" w:cs="Arial"/>
          <w:b/>
          <w:bCs/>
          <w:sz w:val="32"/>
          <w:szCs w:val="32"/>
        </w:rPr>
      </w:pPr>
      <w:r w:rsidRPr="00FE4D42">
        <w:rPr>
          <w:rFonts w:ascii="Arial" w:hAnsi="Arial" w:cs="Arial"/>
          <w:b/>
          <w:bCs/>
          <w:sz w:val="32"/>
          <w:szCs w:val="32"/>
        </w:rPr>
        <w:t xml:space="preserve">Assignment: Component </w:t>
      </w:r>
      <w:r w:rsidR="00C74EA7">
        <w:rPr>
          <w:rFonts w:ascii="Arial" w:hAnsi="Arial" w:cs="Arial"/>
          <w:b/>
          <w:bCs/>
          <w:sz w:val="32"/>
          <w:szCs w:val="32"/>
        </w:rPr>
        <w:t>1</w:t>
      </w:r>
      <w:r w:rsidRPr="00FE4D42">
        <w:rPr>
          <w:rFonts w:ascii="Arial" w:hAnsi="Arial" w:cs="Arial"/>
          <w:b/>
          <w:bCs/>
          <w:sz w:val="32"/>
          <w:szCs w:val="32"/>
        </w:rPr>
        <w:t xml:space="preserve">- </w:t>
      </w:r>
      <w:r w:rsidR="00C74EA7">
        <w:rPr>
          <w:rFonts w:ascii="Arial" w:hAnsi="Arial" w:cs="Arial"/>
          <w:b/>
          <w:bCs/>
          <w:sz w:val="32"/>
          <w:szCs w:val="32"/>
        </w:rPr>
        <w:t xml:space="preserve">Written </w:t>
      </w:r>
      <w:r w:rsidRPr="00FE4D42">
        <w:rPr>
          <w:rFonts w:ascii="Arial" w:hAnsi="Arial" w:cs="Arial"/>
          <w:b/>
          <w:bCs/>
          <w:sz w:val="32"/>
          <w:szCs w:val="32"/>
        </w:rPr>
        <w:t>Report</w:t>
      </w:r>
    </w:p>
    <w:p w:rsidRPr="00C56D09" w:rsidR="00C56D09" w:rsidP="008C675A" w:rsidRDefault="008C0ECF" w14:paraId="1CE77CE4" w14:textId="1CCF4906">
      <w:pPr>
        <w:jc w:val="both"/>
        <w:rPr>
          <w:rFonts w:ascii="Arial" w:hAnsi="Arial" w:cs="Arial"/>
          <w:b/>
          <w:bCs/>
          <w:sz w:val="32"/>
          <w:szCs w:val="32"/>
        </w:rPr>
      </w:pPr>
      <w:r w:rsidRPr="00C42BD8">
        <w:rPr>
          <w:rFonts w:ascii="Arial" w:hAnsi="Arial" w:cs="Arial"/>
          <w:b/>
          <w:bCs/>
          <w:sz w:val="32"/>
          <w:szCs w:val="32"/>
        </w:rPr>
        <w:t>Presented by: Saima Khan (2407142) </w:t>
      </w:r>
    </w:p>
    <w:p w:rsidR="00C56D09" w:rsidP="008C675A" w:rsidRDefault="00C56D09" w14:paraId="166B76ED" w14:textId="77777777">
      <w:pPr>
        <w:jc w:val="both"/>
      </w:pPr>
      <w:r>
        <w:t xml:space="preserve">           </w:t>
      </w:r>
      <w:r>
        <w:rPr>
          <w:noProof/>
        </w:rPr>
        <w:drawing>
          <wp:inline distT="0" distB="0" distL="0" distR="0" wp14:anchorId="5B0BAA8B" wp14:editId="4357DD3D">
            <wp:extent cx="5108361"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7362" cy="2690783"/>
                    </a:xfrm>
                    <a:prstGeom prst="rect">
                      <a:avLst/>
                    </a:prstGeom>
                    <a:noFill/>
                    <a:ln>
                      <a:noFill/>
                    </a:ln>
                  </pic:spPr>
                </pic:pic>
              </a:graphicData>
            </a:graphic>
          </wp:inline>
        </w:drawing>
      </w:r>
    </w:p>
    <w:p w:rsidRPr="00C56D09" w:rsidR="008C0ECF" w:rsidP="008C675A" w:rsidRDefault="00C56D09" w14:paraId="09D70B7F" w14:textId="5EF45616">
      <w:pPr>
        <w:jc w:val="both"/>
        <w:rPr>
          <w:rFonts w:ascii="Arial" w:hAnsi="Arial" w:cs="Arial"/>
          <w:sz w:val="16"/>
          <w:szCs w:val="16"/>
        </w:rPr>
      </w:pPr>
      <w:r w:rsidRPr="00C56D09">
        <w:rPr>
          <w:rFonts w:ascii="Arial" w:hAnsi="Arial" w:cs="Arial"/>
          <w:sz w:val="16"/>
          <w:szCs w:val="16"/>
        </w:rPr>
        <w:t xml:space="preserve">    Image provided by Life Sciences Hub Wales</w:t>
      </w:r>
      <w:r w:rsidRPr="00C56D09" w:rsidR="008C0ECF">
        <w:rPr>
          <w:rFonts w:ascii="Arial" w:hAnsi="Arial" w:cs="Arial"/>
          <w:sz w:val="16"/>
          <w:szCs w:val="16"/>
        </w:rPr>
        <w:br w:type="page"/>
      </w:r>
    </w:p>
    <w:sdt>
      <w:sdtPr>
        <w:id w:val="-512230532"/>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2037A" w:rsidP="008C675A" w:rsidRDefault="00D2037A" w14:paraId="49F02BDA" w14:textId="16024921">
          <w:pPr>
            <w:pStyle w:val="TOCHeading"/>
            <w:jc w:val="both"/>
          </w:pPr>
          <w:r>
            <w:t>Table of Contents</w:t>
          </w:r>
        </w:p>
        <w:p w:rsidR="00203CBF" w:rsidP="129CD36F" w:rsidRDefault="00D2037A" w14:paraId="34DC538A" w14:textId="34A692F8">
          <w:pPr>
            <w:pStyle w:val="TOC1"/>
            <w:tabs>
              <w:tab w:val="right" w:leader="dot" w:pos="9015"/>
            </w:tabs>
          </w:pPr>
          <w:r>
            <w:fldChar w:fldCharType="begin"/>
          </w:r>
          <w:r>
            <w:instrText xml:space="preserve">TOC \o "1-3" \z \u \h</w:instrText>
          </w:r>
          <w:r>
            <w:fldChar w:fldCharType="separate"/>
          </w:r>
          <w:r>
            <w:fldChar w:fldCharType="begin"/>
          </w:r>
          <w:r>
            <w:instrText xml:space="preserve">HYPERLINK  \l  "_Toc1056846267" </w:instrText>
          </w:r>
          <w:r>
            <w:fldChar w:fldCharType="separate"/>
          </w:r>
          <w:r w:rsidR="129CD36F">
            <w:rPr/>
            <w:t>A Critical Evaluation of the NHS App in England: Impact on the Workforce and Service Delivery</w:t>
          </w:r>
          <w:r>
            <w:tab/>
          </w:r>
          <w:r>
            <w:fldChar w:fldCharType="begin"/>
          </w:r>
          <w:r>
            <w:instrText xml:space="preserve">PAGEREF _Toc1056846267 \h</w:instrText>
          </w:r>
          <w:r>
            <w:fldChar w:fldCharType="separate"/>
          </w:r>
          <w:r w:rsidR="129CD36F">
            <w:rPr/>
            <w:t>2</w:t>
          </w:r>
          <w:r>
            <w:fldChar w:fldCharType="end"/>
          </w:r>
          <w:r>
            <w:fldChar w:fldCharType="end"/>
          </w:r>
        </w:p>
        <w:p w:rsidR="00203CBF" w:rsidP="129CD36F" w:rsidRDefault="00203CBF" w14:paraId="037D9CD8" w14:textId="6CC91426">
          <w:pPr>
            <w:pStyle w:val="TOC2"/>
            <w:tabs>
              <w:tab w:val="right" w:leader="dot" w:pos="9015"/>
            </w:tabs>
          </w:pPr>
          <w:r>
            <w:fldChar w:fldCharType="begin"/>
          </w:r>
          <w:r>
            <w:instrText xml:space="preserve">HYPERLINK  \l  "_Toc1532560277" </w:instrText>
          </w:r>
          <w:r>
            <w:fldChar w:fldCharType="separate"/>
          </w:r>
          <w:r w:rsidR="129CD36F">
            <w:rPr/>
            <w:t>1.Introduction</w:t>
          </w:r>
          <w:r>
            <w:tab/>
          </w:r>
          <w:r>
            <w:fldChar w:fldCharType="begin"/>
          </w:r>
          <w:r>
            <w:instrText xml:space="preserve">PAGEREF _Toc1532560277 \h</w:instrText>
          </w:r>
          <w:r>
            <w:fldChar w:fldCharType="separate"/>
          </w:r>
          <w:r w:rsidR="129CD36F">
            <w:rPr/>
            <w:t>3</w:t>
          </w:r>
          <w:r>
            <w:fldChar w:fldCharType="end"/>
          </w:r>
          <w:r>
            <w:fldChar w:fldCharType="end"/>
          </w:r>
        </w:p>
        <w:p w:rsidR="00203CBF" w:rsidP="129CD36F" w:rsidRDefault="00203CBF" w14:paraId="04F6B76E" w14:textId="33AC8720">
          <w:pPr>
            <w:pStyle w:val="TOC2"/>
            <w:tabs>
              <w:tab w:val="right" w:leader="dot" w:pos="9015"/>
            </w:tabs>
          </w:pPr>
          <w:r>
            <w:fldChar w:fldCharType="begin"/>
          </w:r>
          <w:r>
            <w:instrText xml:space="preserve">HYPERLINK  \l  "_Toc882329669" </w:instrText>
          </w:r>
          <w:r>
            <w:fldChar w:fldCharType="separate"/>
          </w:r>
          <w:r w:rsidR="129CD36F">
            <w:rPr/>
            <w:t>2. Impact on the workforce</w:t>
          </w:r>
          <w:r>
            <w:tab/>
          </w:r>
          <w:r>
            <w:fldChar w:fldCharType="begin"/>
          </w:r>
          <w:r>
            <w:instrText xml:space="preserve">PAGEREF _Toc882329669 \h</w:instrText>
          </w:r>
          <w:r>
            <w:fldChar w:fldCharType="separate"/>
          </w:r>
          <w:r w:rsidR="129CD36F">
            <w:rPr/>
            <w:t>3</w:t>
          </w:r>
          <w:r>
            <w:fldChar w:fldCharType="end"/>
          </w:r>
          <w:r>
            <w:fldChar w:fldCharType="end"/>
          </w:r>
        </w:p>
        <w:p w:rsidR="00203CBF" w:rsidP="129CD36F" w:rsidRDefault="00203CBF" w14:paraId="07E7A9D7" w14:textId="0B633094">
          <w:pPr>
            <w:pStyle w:val="TOC3"/>
            <w:tabs>
              <w:tab w:val="right" w:leader="dot" w:pos="9015"/>
            </w:tabs>
          </w:pPr>
          <w:r>
            <w:fldChar w:fldCharType="begin"/>
          </w:r>
          <w:r>
            <w:instrText xml:space="preserve">HYPERLINK  \l  "_Toc973120495" </w:instrText>
          </w:r>
          <w:r>
            <w:fldChar w:fldCharType="separate"/>
          </w:r>
          <w:r w:rsidR="129CD36F">
            <w:rPr/>
            <w:t>2.1 Administrative work and organisational capacity</w:t>
          </w:r>
          <w:r>
            <w:tab/>
          </w:r>
          <w:r>
            <w:fldChar w:fldCharType="begin"/>
          </w:r>
          <w:r>
            <w:instrText xml:space="preserve">PAGEREF _Toc973120495 \h</w:instrText>
          </w:r>
          <w:r>
            <w:fldChar w:fldCharType="separate"/>
          </w:r>
          <w:r w:rsidR="129CD36F">
            <w:rPr/>
            <w:t>3</w:t>
          </w:r>
          <w:r>
            <w:fldChar w:fldCharType="end"/>
          </w:r>
          <w:r>
            <w:fldChar w:fldCharType="end"/>
          </w:r>
        </w:p>
        <w:p w:rsidR="00203CBF" w:rsidP="129CD36F" w:rsidRDefault="00203CBF" w14:paraId="5D6B5D64" w14:textId="43F401BA">
          <w:pPr>
            <w:pStyle w:val="TOC3"/>
            <w:tabs>
              <w:tab w:val="right" w:leader="dot" w:pos="9015"/>
            </w:tabs>
          </w:pPr>
          <w:r>
            <w:fldChar w:fldCharType="begin"/>
          </w:r>
          <w:r>
            <w:instrText xml:space="preserve">HYPERLINK  \l  "_Toc1920684710" </w:instrText>
          </w:r>
          <w:r>
            <w:fldChar w:fldCharType="separate"/>
          </w:r>
          <w:r w:rsidR="129CD36F">
            <w:rPr/>
            <w:t>2.2 Skills, integration and implementation</w:t>
          </w:r>
          <w:r>
            <w:tab/>
          </w:r>
          <w:r>
            <w:fldChar w:fldCharType="begin"/>
          </w:r>
          <w:r>
            <w:instrText xml:space="preserve">PAGEREF _Toc1920684710 \h</w:instrText>
          </w:r>
          <w:r>
            <w:fldChar w:fldCharType="separate"/>
          </w:r>
          <w:r w:rsidR="129CD36F">
            <w:rPr/>
            <w:t>4</w:t>
          </w:r>
          <w:r>
            <w:fldChar w:fldCharType="end"/>
          </w:r>
          <w:r>
            <w:fldChar w:fldCharType="end"/>
          </w:r>
        </w:p>
        <w:p w:rsidR="00203CBF" w:rsidP="129CD36F" w:rsidRDefault="00203CBF" w14:paraId="7AEABFAF" w14:textId="54E7A17C">
          <w:pPr>
            <w:pStyle w:val="TOC2"/>
            <w:tabs>
              <w:tab w:val="right" w:leader="dot" w:pos="9015"/>
            </w:tabs>
          </w:pPr>
          <w:r>
            <w:fldChar w:fldCharType="begin"/>
          </w:r>
          <w:r>
            <w:instrText xml:space="preserve">HYPERLINK  \l  "_Toc1269630198" </w:instrText>
          </w:r>
          <w:r>
            <w:fldChar w:fldCharType="separate"/>
          </w:r>
          <w:r w:rsidR="129CD36F">
            <w:rPr/>
            <w:t>3. Impact on service delivery</w:t>
          </w:r>
          <w:r>
            <w:tab/>
          </w:r>
          <w:r>
            <w:fldChar w:fldCharType="begin"/>
          </w:r>
          <w:r>
            <w:instrText xml:space="preserve">PAGEREF _Toc1269630198 \h</w:instrText>
          </w:r>
          <w:r>
            <w:fldChar w:fldCharType="separate"/>
          </w:r>
          <w:r w:rsidR="129CD36F">
            <w:rPr/>
            <w:t>4</w:t>
          </w:r>
          <w:r>
            <w:fldChar w:fldCharType="end"/>
          </w:r>
          <w:r>
            <w:fldChar w:fldCharType="end"/>
          </w:r>
        </w:p>
        <w:p w:rsidR="129CD36F" w:rsidP="129CD36F" w:rsidRDefault="129CD36F" w14:paraId="40F28105" w14:textId="7A456996">
          <w:pPr>
            <w:pStyle w:val="TOC3"/>
            <w:tabs>
              <w:tab w:val="right" w:leader="dot" w:pos="9015"/>
            </w:tabs>
          </w:pPr>
          <w:r>
            <w:fldChar w:fldCharType="begin"/>
          </w:r>
          <w:r>
            <w:instrText xml:space="preserve">HYPERLINK  \l  "_Toc844529575" </w:instrText>
          </w:r>
          <w:r>
            <w:fldChar w:fldCharType="separate"/>
          </w:r>
          <w:r w:rsidR="129CD36F">
            <w:rPr/>
            <w:t>3.1 Convenience, uptake and meaningful access</w:t>
          </w:r>
          <w:r>
            <w:tab/>
          </w:r>
          <w:r>
            <w:fldChar w:fldCharType="begin"/>
          </w:r>
          <w:r>
            <w:instrText xml:space="preserve">PAGEREF _Toc844529575 \h</w:instrText>
          </w:r>
          <w:r>
            <w:fldChar w:fldCharType="separate"/>
          </w:r>
          <w:r w:rsidR="129CD36F">
            <w:rPr/>
            <w:t>4</w:t>
          </w:r>
          <w:r>
            <w:fldChar w:fldCharType="end"/>
          </w:r>
          <w:r>
            <w:fldChar w:fldCharType="end"/>
          </w:r>
        </w:p>
        <w:p w:rsidR="129CD36F" w:rsidP="129CD36F" w:rsidRDefault="129CD36F" w14:paraId="4FA49A6A" w14:textId="4FFBA99A">
          <w:pPr>
            <w:pStyle w:val="TOC3"/>
            <w:tabs>
              <w:tab w:val="right" w:leader="dot" w:pos="9015"/>
            </w:tabs>
          </w:pPr>
          <w:r>
            <w:fldChar w:fldCharType="begin"/>
          </w:r>
          <w:r>
            <w:instrText xml:space="preserve">HYPERLINK  \l  "_Toc1072968605" </w:instrText>
          </w:r>
          <w:r>
            <w:fldChar w:fldCharType="separate"/>
          </w:r>
          <w:r w:rsidR="129CD36F">
            <w:rPr/>
            <w:t>3.2 Efficiency, continuity and service quality</w:t>
          </w:r>
          <w:r>
            <w:tab/>
          </w:r>
          <w:r>
            <w:fldChar w:fldCharType="begin"/>
          </w:r>
          <w:r>
            <w:instrText xml:space="preserve">PAGEREF _Toc1072968605 \h</w:instrText>
          </w:r>
          <w:r>
            <w:fldChar w:fldCharType="separate"/>
          </w:r>
          <w:r w:rsidR="129CD36F">
            <w:rPr/>
            <w:t>5</w:t>
          </w:r>
          <w:r>
            <w:fldChar w:fldCharType="end"/>
          </w:r>
          <w:r>
            <w:fldChar w:fldCharType="end"/>
          </w:r>
        </w:p>
        <w:p w:rsidR="129CD36F" w:rsidP="129CD36F" w:rsidRDefault="129CD36F" w14:paraId="6EE9EF44" w14:textId="02142652">
          <w:pPr>
            <w:pStyle w:val="TOC3"/>
            <w:tabs>
              <w:tab w:val="right" w:leader="dot" w:pos="9015"/>
            </w:tabs>
          </w:pPr>
          <w:r>
            <w:fldChar w:fldCharType="begin"/>
          </w:r>
          <w:r>
            <w:instrText xml:space="preserve">HYPERLINK  \l  "_Toc1422904233" </w:instrText>
          </w:r>
          <w:r>
            <w:fldChar w:fldCharType="separate"/>
          </w:r>
          <w:r w:rsidR="129CD36F">
            <w:rPr/>
            <w:t>Table 1. What the principal evidence can and cannot establish</w:t>
          </w:r>
          <w:r>
            <w:tab/>
          </w:r>
          <w:r>
            <w:fldChar w:fldCharType="begin"/>
          </w:r>
          <w:r>
            <w:instrText xml:space="preserve">PAGEREF _Toc1422904233 \h</w:instrText>
          </w:r>
          <w:r>
            <w:fldChar w:fldCharType="separate"/>
          </w:r>
          <w:r w:rsidR="129CD36F">
            <w:rPr/>
            <w:t>6</w:t>
          </w:r>
          <w:r>
            <w:fldChar w:fldCharType="end"/>
          </w:r>
          <w:r>
            <w:fldChar w:fldCharType="end"/>
          </w:r>
        </w:p>
        <w:p w:rsidR="129CD36F" w:rsidP="129CD36F" w:rsidRDefault="129CD36F" w14:paraId="7B88E102" w14:textId="3161DAE3">
          <w:pPr>
            <w:pStyle w:val="TOC3"/>
            <w:tabs>
              <w:tab w:val="right" w:leader="dot" w:pos="9015"/>
            </w:tabs>
          </w:pPr>
          <w:r>
            <w:fldChar w:fldCharType="begin"/>
          </w:r>
          <w:r>
            <w:instrText xml:space="preserve">HYPERLINK  \l  "_Toc908098974" </w:instrText>
          </w:r>
          <w:r>
            <w:fldChar w:fldCharType="separate"/>
          </w:r>
          <w:r w:rsidR="129CD36F">
            <w:rPr/>
            <w:t>3.3 Digital exclusion, accessibility and fairness</w:t>
          </w:r>
          <w:r>
            <w:tab/>
          </w:r>
          <w:r>
            <w:fldChar w:fldCharType="begin"/>
          </w:r>
          <w:r>
            <w:instrText xml:space="preserve">PAGEREF _Toc908098974 \h</w:instrText>
          </w:r>
          <w:r>
            <w:fldChar w:fldCharType="separate"/>
          </w:r>
          <w:r w:rsidR="129CD36F">
            <w:rPr/>
            <w:t>6</w:t>
          </w:r>
          <w:r>
            <w:fldChar w:fldCharType="end"/>
          </w:r>
          <w:r>
            <w:fldChar w:fldCharType="end"/>
          </w:r>
        </w:p>
        <w:p w:rsidR="129CD36F" w:rsidP="129CD36F" w:rsidRDefault="129CD36F" w14:paraId="6781A516" w14:textId="75418C6A">
          <w:pPr>
            <w:pStyle w:val="TOC3"/>
            <w:tabs>
              <w:tab w:val="right" w:leader="dot" w:pos="9015"/>
            </w:tabs>
          </w:pPr>
          <w:r>
            <w:fldChar w:fldCharType="begin"/>
          </w:r>
          <w:r>
            <w:instrText xml:space="preserve">HYPERLINK  \l  "_Toc1929688014" </w:instrText>
          </w:r>
          <w:r>
            <w:fldChar w:fldCharType="separate"/>
          </w:r>
          <w:r w:rsidR="129CD36F">
            <w:rPr/>
            <w:t>3.4 Privacy, trust and information governance</w:t>
          </w:r>
          <w:r>
            <w:tab/>
          </w:r>
          <w:r>
            <w:fldChar w:fldCharType="begin"/>
          </w:r>
          <w:r>
            <w:instrText xml:space="preserve">PAGEREF _Toc1929688014 \h</w:instrText>
          </w:r>
          <w:r>
            <w:fldChar w:fldCharType="separate"/>
          </w:r>
          <w:r w:rsidR="129CD36F">
            <w:rPr/>
            <w:t>7</w:t>
          </w:r>
          <w:r>
            <w:fldChar w:fldCharType="end"/>
          </w:r>
          <w:r>
            <w:fldChar w:fldCharType="end"/>
          </w:r>
        </w:p>
        <w:p w:rsidR="129CD36F" w:rsidP="129CD36F" w:rsidRDefault="129CD36F" w14:paraId="0363012E" w14:textId="7770E739">
          <w:pPr>
            <w:pStyle w:val="TOC2"/>
            <w:tabs>
              <w:tab w:val="right" w:leader="dot" w:pos="9015"/>
            </w:tabs>
          </w:pPr>
          <w:r>
            <w:fldChar w:fldCharType="begin"/>
          </w:r>
          <w:r>
            <w:instrText xml:space="preserve">HYPERLINK  \l  "_Toc1955758483" </w:instrText>
          </w:r>
          <w:r>
            <w:fldChar w:fldCharType="separate"/>
          </w:r>
          <w:r w:rsidR="129CD36F">
            <w:rPr/>
            <w:t>4. Conclusion and recommendations</w:t>
          </w:r>
          <w:r>
            <w:tab/>
          </w:r>
          <w:r>
            <w:fldChar w:fldCharType="begin"/>
          </w:r>
          <w:r>
            <w:instrText xml:space="preserve">PAGEREF _Toc1955758483 \h</w:instrText>
          </w:r>
          <w:r>
            <w:fldChar w:fldCharType="separate"/>
          </w:r>
          <w:r w:rsidR="129CD36F">
            <w:rPr/>
            <w:t>8</w:t>
          </w:r>
          <w:r>
            <w:fldChar w:fldCharType="end"/>
          </w:r>
          <w:r>
            <w:fldChar w:fldCharType="end"/>
          </w:r>
        </w:p>
        <w:p w:rsidR="129CD36F" w:rsidP="129CD36F" w:rsidRDefault="129CD36F" w14:paraId="1E7E69D4" w14:textId="4580B6B5">
          <w:pPr>
            <w:pStyle w:val="TOC2"/>
            <w:tabs>
              <w:tab w:val="right" w:leader="dot" w:pos="9015"/>
            </w:tabs>
          </w:pPr>
          <w:r>
            <w:fldChar w:fldCharType="begin"/>
          </w:r>
          <w:r>
            <w:instrText xml:space="preserve">HYPERLINK  \l  "_Toc182860302" </w:instrText>
          </w:r>
          <w:r>
            <w:fldChar w:fldCharType="separate"/>
          </w:r>
          <w:r w:rsidR="129CD36F">
            <w:rPr/>
            <w:t>References</w:t>
          </w:r>
          <w:r>
            <w:tab/>
          </w:r>
          <w:r>
            <w:fldChar w:fldCharType="begin"/>
          </w:r>
          <w:r>
            <w:instrText xml:space="preserve">PAGEREF _Toc182860302 \h</w:instrText>
          </w:r>
          <w:r>
            <w:fldChar w:fldCharType="separate"/>
          </w:r>
          <w:r w:rsidR="129CD36F">
            <w:rPr/>
            <w:t>8</w:t>
          </w:r>
          <w:r>
            <w:fldChar w:fldCharType="end"/>
          </w:r>
          <w:r>
            <w:fldChar w:fldCharType="end"/>
          </w:r>
        </w:p>
        <w:p w:rsidR="00D2037A" w:rsidP="008C675A" w:rsidRDefault="00D2037A" w14:paraId="1DCF2FBA" w14:textId="1AC88E2B">
          <w:pPr>
            <w:jc w:val="both"/>
          </w:pPr>
          <w:r>
            <w:rPr>
              <w:b/>
              <w:bCs/>
              <w:noProof/>
            </w:rPr>
            <w:fldChar w:fldCharType="end"/>
          </w:r>
        </w:p>
      </w:sdtContent>
    </w:sdt>
    <w:p w:rsidR="00C56D09" w:rsidP="008C675A" w:rsidRDefault="00C56D09" w14:paraId="07A3ECAF" w14:textId="77777777">
      <w:pPr>
        <w:pStyle w:val="Heading1"/>
        <w:jc w:val="both"/>
      </w:pPr>
      <w:r>
        <w:br w:type="page"/>
      </w:r>
    </w:p>
    <w:p w:rsidRPr="00D2037A" w:rsidR="008C0ECF" w:rsidP="008C675A" w:rsidRDefault="008C0ECF" w14:paraId="78968642" w14:textId="0C5A84C3">
      <w:pPr>
        <w:pStyle w:val="Heading1"/>
        <w:jc w:val="both"/>
        <w:rPr>
          <w:rFonts w:ascii="Arial" w:hAnsi="Arial" w:cs="Arial"/>
          <w:b w:val="1"/>
          <w:bCs w:val="1"/>
          <w:sz w:val="32"/>
          <w:szCs w:val="32"/>
        </w:rPr>
      </w:pPr>
      <w:bookmarkStart w:name="_Toc1056846267" w:id="2095827441"/>
      <w:r w:rsidRPr="129CD36F" w:rsidR="008C0ECF">
        <w:rPr>
          <w:rFonts w:ascii="Arial" w:hAnsi="Arial" w:cs="Arial"/>
          <w:b w:val="1"/>
          <w:bCs w:val="1"/>
          <w:sz w:val="32"/>
          <w:szCs w:val="32"/>
        </w:rPr>
        <w:t>A Critical Evaluation of the NHS App in England: Impact on the Workforce and Service Delivery</w:t>
      </w:r>
      <w:bookmarkEnd w:id="2095827441"/>
    </w:p>
    <w:p w:rsidR="008C0ECF" w:rsidP="4F5928E5" w:rsidRDefault="008C0ECF" w14:paraId="41A97B67" w14:textId="3CE73D27">
      <w:pPr>
        <w:pStyle w:val="Heading2"/>
        <w:jc w:val="both"/>
        <w:rPr>
          <w:b w:val="1"/>
          <w:bCs w:val="1"/>
          <w:u w:val="none"/>
        </w:rPr>
      </w:pPr>
      <w:bookmarkStart w:name="_Toc1532560277" w:id="1716074476"/>
      <w:r w:rsidRPr="129CD36F" w:rsidR="2A68500E">
        <w:rPr>
          <w:b w:val="1"/>
          <w:bCs w:val="1"/>
          <w:u w:val="none"/>
        </w:rPr>
        <w:t>1.</w:t>
      </w:r>
      <w:r w:rsidRPr="129CD36F" w:rsidR="008C0ECF">
        <w:rPr>
          <w:b w:val="1"/>
          <w:bCs w:val="1"/>
          <w:u w:val="none"/>
        </w:rPr>
        <w:t>Introduction</w:t>
      </w:r>
      <w:bookmarkEnd w:id="1716074476"/>
    </w:p>
    <w:p w:rsidRPr="004A2094" w:rsidR="00CF1B63" w:rsidP="129CD36F" w:rsidRDefault="00CF1B63" w14:paraId="3442B3F8" w14:textId="16062CEC">
      <w:pPr>
        <w:spacing w:before="0" w:beforeAutospacing="off" w:after="160" w:afterAutospacing="off" w:line="360" w:lineRule="auto"/>
        <w:jc w:val="left"/>
      </w:pPr>
      <w:r w:rsidRPr="129CD36F" w:rsidR="0234CE9B">
        <w:rPr>
          <w:rFonts w:ascii="Arial" w:hAnsi="Arial" w:eastAsia="Arial" w:cs="Arial"/>
          <w:noProof w:val="0"/>
          <w:sz w:val="22"/>
          <w:szCs w:val="22"/>
          <w:lang w:val="en-GB"/>
        </w:rPr>
        <w:t>The NHS App, launched in England in 2019, is intended to provide a digital front door to</w:t>
      </w:r>
      <w:r w:rsidRPr="129CD36F" w:rsidR="4A9386C6">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selected NHS services. Depending on local arrangements, users can order repeat prescriptions,</w:t>
      </w:r>
      <w:r w:rsidRPr="129CD36F" w:rsidR="1A48A48A">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 xml:space="preserve">view parts of their health records, manage </w:t>
      </w:r>
      <w:r w:rsidRPr="129CD36F" w:rsidR="0234CE9B">
        <w:rPr>
          <w:rFonts w:ascii="Arial" w:hAnsi="Arial" w:eastAsia="Arial" w:cs="Arial"/>
          <w:noProof w:val="0"/>
          <w:sz w:val="22"/>
          <w:szCs w:val="22"/>
          <w:lang w:val="en-GB"/>
        </w:rPr>
        <w:t>appointments</w:t>
      </w:r>
      <w:r w:rsidRPr="129CD36F" w:rsidR="0234CE9B">
        <w:rPr>
          <w:rFonts w:ascii="Arial" w:hAnsi="Arial" w:eastAsia="Arial" w:cs="Arial"/>
          <w:noProof w:val="0"/>
          <w:sz w:val="22"/>
          <w:szCs w:val="22"/>
          <w:lang w:val="en-GB"/>
        </w:rPr>
        <w:t xml:space="preserve"> and receive information. The</w:t>
      </w:r>
      <w:r w:rsidRPr="129CD36F" w:rsidR="69829390">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Department of Health and Social Care (DHSC) and NHS England (2022) position digital</w:t>
      </w:r>
      <w:r w:rsidRPr="129CD36F" w:rsidR="0969F803">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channels as a means of improving access, personalising care and reducing avoidable</w:t>
      </w:r>
      <w:r w:rsidRPr="129CD36F" w:rsidR="51D8148E">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administrative work. However, policy ambition should not be treated as proof that these</w:t>
      </w:r>
      <w:r w:rsidRPr="129CD36F" w:rsidR="56FE0211">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outcomes have been achieved.</w:t>
      </w:r>
      <w:r w:rsidRPr="129CD36F" w:rsidR="5403026E">
        <w:rPr>
          <w:rFonts w:ascii="Arial" w:hAnsi="Arial" w:eastAsia="Arial" w:cs="Arial"/>
          <w:noProof w:val="0"/>
          <w:sz w:val="22"/>
          <w:szCs w:val="22"/>
          <w:lang w:val="en-GB"/>
        </w:rPr>
        <w:t xml:space="preserve"> </w:t>
      </w:r>
    </w:p>
    <w:p w:rsidRPr="004A2094" w:rsidR="00CF1B63" w:rsidP="129CD36F" w:rsidRDefault="00CF1B63" w14:paraId="7DB195EC" w14:textId="537A4064">
      <w:pPr>
        <w:spacing w:before="0" w:beforeAutospacing="off" w:after="160" w:afterAutospacing="off" w:line="360" w:lineRule="auto"/>
        <w:jc w:val="left"/>
        <w:rPr>
          <w:rFonts w:ascii="Arial" w:hAnsi="Arial" w:eastAsia="Arial" w:cs="Arial"/>
          <w:noProof w:val="0"/>
          <w:sz w:val="22"/>
          <w:szCs w:val="22"/>
          <w:lang w:val="en-GB"/>
        </w:rPr>
      </w:pPr>
      <w:r w:rsidRPr="129CD36F" w:rsidR="0234CE9B">
        <w:rPr>
          <w:rFonts w:ascii="Arial" w:hAnsi="Arial" w:eastAsia="Arial" w:cs="Arial"/>
          <w:noProof w:val="0"/>
          <w:sz w:val="22"/>
          <w:szCs w:val="22"/>
          <w:lang w:val="en-GB"/>
        </w:rPr>
        <w:t>This report uses a thematic approach to structure a critical evaluation of two themes: workforce</w:t>
      </w:r>
      <w:r w:rsidRPr="129CD36F" w:rsidR="57BC3236">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and service delivery. It compares official policy and activity data with peer-reviewed research,</w:t>
      </w:r>
      <w:r w:rsidRPr="129CD36F" w:rsidR="0479AF54">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considering both benefits and limitations. The central argument is that the app has become a</w:t>
      </w:r>
      <w:r w:rsidRPr="129CD36F" w:rsidR="6FCB7298">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 xml:space="preserve">widely used access channel, but uptake alone cannot </w:t>
      </w:r>
      <w:r w:rsidRPr="129CD36F" w:rsidR="0234CE9B">
        <w:rPr>
          <w:rFonts w:ascii="Arial" w:hAnsi="Arial" w:eastAsia="Arial" w:cs="Arial"/>
          <w:noProof w:val="0"/>
          <w:sz w:val="22"/>
          <w:szCs w:val="22"/>
          <w:lang w:val="en-GB"/>
        </w:rPr>
        <w:t>establish</w:t>
      </w:r>
      <w:r w:rsidRPr="129CD36F" w:rsidR="0234CE9B">
        <w:rPr>
          <w:rFonts w:ascii="Arial" w:hAnsi="Arial" w:eastAsia="Arial" w:cs="Arial"/>
          <w:noProof w:val="0"/>
          <w:sz w:val="22"/>
          <w:szCs w:val="22"/>
          <w:lang w:val="en-GB"/>
        </w:rPr>
        <w:t xml:space="preserve"> that it has reduced workload,</w:t>
      </w:r>
      <w:r w:rsidRPr="129CD36F" w:rsidR="393A6294">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improved health outcomes or delivered equal benefits. Its impact depends on local</w:t>
      </w:r>
      <w:r w:rsidRPr="129CD36F" w:rsidR="729D8BF4">
        <w:rPr>
          <w:rFonts w:ascii="Arial" w:hAnsi="Arial" w:eastAsia="Arial" w:cs="Arial"/>
          <w:noProof w:val="0"/>
          <w:sz w:val="22"/>
          <w:szCs w:val="22"/>
          <w:lang w:val="en-GB"/>
        </w:rPr>
        <w:t xml:space="preserve"> </w:t>
      </w:r>
      <w:r w:rsidRPr="129CD36F" w:rsidR="0234CE9B">
        <w:rPr>
          <w:rFonts w:ascii="Arial" w:hAnsi="Arial" w:eastAsia="Arial" w:cs="Arial"/>
          <w:noProof w:val="0"/>
          <w:sz w:val="22"/>
          <w:szCs w:val="22"/>
          <w:lang w:val="en-GB"/>
        </w:rPr>
        <w:t xml:space="preserve">implementation, accessible </w:t>
      </w:r>
      <w:r w:rsidRPr="129CD36F" w:rsidR="0234CE9B">
        <w:rPr>
          <w:rFonts w:ascii="Arial" w:hAnsi="Arial" w:eastAsia="Arial" w:cs="Arial"/>
          <w:noProof w:val="0"/>
          <w:sz w:val="22"/>
          <w:szCs w:val="22"/>
          <w:lang w:val="en-GB"/>
        </w:rPr>
        <w:t>alternatives</w:t>
      </w:r>
      <w:r w:rsidRPr="129CD36F" w:rsidR="0234CE9B">
        <w:rPr>
          <w:rFonts w:ascii="Arial" w:hAnsi="Arial" w:eastAsia="Arial" w:cs="Arial"/>
          <w:noProof w:val="0"/>
          <w:sz w:val="22"/>
          <w:szCs w:val="22"/>
          <w:lang w:val="en-GB"/>
        </w:rPr>
        <w:t xml:space="preserve"> and the capacity of services to respond to demand.</w:t>
      </w:r>
    </w:p>
    <w:p w:rsidRPr="00726F5B" w:rsidR="008C0ECF" w:rsidP="008C675A" w:rsidRDefault="008C0ECF" w14:paraId="45277567" w14:textId="12212E31">
      <w:pPr>
        <w:pStyle w:val="Heading2"/>
        <w:jc w:val="both"/>
        <w:rPr>
          <w:u w:val="none"/>
        </w:rPr>
      </w:pPr>
      <w:bookmarkStart w:name="_Toc882329669" w:id="1361379122"/>
      <w:r w:rsidR="0EC3E0CC">
        <w:rPr>
          <w:u w:val="none"/>
        </w:rPr>
        <w:t>2.</w:t>
      </w:r>
      <w:r w:rsidR="18B203FE">
        <w:rPr>
          <w:u w:val="none"/>
        </w:rPr>
        <w:t xml:space="preserve"> </w:t>
      </w:r>
      <w:r w:rsidR="008C0ECF">
        <w:rPr>
          <w:u w:val="none"/>
        </w:rPr>
        <w:t>Impact on the workforce</w:t>
      </w:r>
      <w:bookmarkEnd w:id="1361379122"/>
    </w:p>
    <w:p w:rsidR="4335DC92" w:rsidP="129CD36F" w:rsidRDefault="4335DC92" w14:paraId="58A98A9E" w14:textId="0F06D846">
      <w:pPr>
        <w:pStyle w:val="Heading3"/>
        <w:rPr>
          <w:noProof w:val="0"/>
          <w:lang w:val="en-GB"/>
        </w:rPr>
      </w:pPr>
      <w:bookmarkStart w:name="_Toc973120495" w:id="1405239252"/>
      <w:r w:rsidRPr="129CD36F" w:rsidR="4335DC92">
        <w:rPr>
          <w:noProof w:val="0"/>
          <w:lang w:val="en-GB"/>
        </w:rPr>
        <w:t>2.1 Administrative work and organisational capacity</w:t>
      </w:r>
      <w:bookmarkEnd w:id="1405239252"/>
    </w:p>
    <w:p w:rsidRPr="00F42279" w:rsidR="00F42279" w:rsidP="008C675A" w:rsidRDefault="00F42279" w14:paraId="73C7A16E" w14:textId="77777777">
      <w:pPr>
        <w:spacing w:line="360" w:lineRule="auto"/>
        <w:jc w:val="both"/>
        <w:rPr>
          <w:rFonts w:ascii="Arial" w:hAnsi="Arial" w:cs="Arial"/>
          <w:sz w:val="22"/>
          <w:szCs w:val="22"/>
        </w:rPr>
      </w:pPr>
      <w:r w:rsidRPr="00F42279">
        <w:rPr>
          <w:rFonts w:ascii="Arial" w:hAnsi="Arial" w:cs="Arial"/>
          <w:sz w:val="22"/>
          <w:szCs w:val="22"/>
        </w:rPr>
        <w:t>The NHS App may reduce routine administrative work, but the existence of digital transactions does not prove a net reduction in staff workload. NHS England (2024a) reported 22.5 million messages sent through the app during 2023/24 and estimated £1.1 million in communication-cost savings. This is useful official evidence of channel substitution; however, it measures estimated communication costs rather than staff hours, total implementation costs or the quality of interactions.</w:t>
      </w:r>
    </w:p>
    <w:p w:rsidRPr="00F42279" w:rsidR="00F42279" w:rsidP="008C675A" w:rsidRDefault="00F42279" w14:paraId="4C88EADA" w14:textId="2CBD355D">
      <w:pPr>
        <w:spacing w:line="360" w:lineRule="auto"/>
        <w:jc w:val="both"/>
        <w:rPr>
          <w:rFonts w:ascii="Arial" w:hAnsi="Arial" w:cs="Arial"/>
          <w:sz w:val="22"/>
          <w:szCs w:val="22"/>
        </w:rPr>
      </w:pPr>
      <w:r w:rsidRPr="4F5928E5" w:rsidR="00F42279">
        <w:rPr>
          <w:rFonts w:ascii="Arial" w:hAnsi="Arial" w:cs="Arial"/>
          <w:sz w:val="22"/>
          <w:szCs w:val="22"/>
        </w:rPr>
        <w:t xml:space="preserve">Peer-reviewed evidence complicates a simple efficiency narrative. Reidy et al. (2025), using interviews, focus groups and observations across five GP practices, found that implementation depended on local organisational capacity and that staff roles and processes were needed to support adoption. The qualitative design provides insight into how work </w:t>
      </w:r>
      <w:r w:rsidRPr="4F5928E5" w:rsidR="00F279FC">
        <w:rPr>
          <w:rFonts w:ascii="Arial" w:hAnsi="Arial" w:cs="Arial"/>
          <w:sz w:val="22"/>
          <w:szCs w:val="22"/>
        </w:rPr>
        <w:t>changes but</w:t>
      </w:r>
      <w:r w:rsidRPr="4F5928E5" w:rsidR="00F42279">
        <w:rPr>
          <w:rFonts w:ascii="Arial" w:hAnsi="Arial" w:cs="Arial"/>
          <w:sz w:val="22"/>
          <w:szCs w:val="22"/>
        </w:rPr>
        <w:t xml:space="preserve"> cannot quantify national time savings. Taken together, the sources suggest that some tasks may be shifted away from telephone and paper channels while new work </w:t>
      </w:r>
      <w:r w:rsidRPr="4F5928E5" w:rsidR="00F42279">
        <w:rPr>
          <w:rFonts w:ascii="Arial" w:hAnsi="Arial" w:cs="Arial"/>
          <w:sz w:val="22"/>
          <w:szCs w:val="22"/>
        </w:rPr>
        <w:t>emerges</w:t>
      </w:r>
      <w:r w:rsidRPr="4F5928E5" w:rsidR="00F42279">
        <w:rPr>
          <w:rFonts w:ascii="Arial" w:hAnsi="Arial" w:cs="Arial"/>
          <w:sz w:val="22"/>
          <w:szCs w:val="22"/>
        </w:rPr>
        <w:t xml:space="preserve"> around account access, patient queries and explaining digital information. The reasonable judgement is that the app can redistribute work; whether it reduces total workload must be measured locally rather than assumed from messaging volumes.</w:t>
      </w:r>
    </w:p>
    <w:p w:rsidRPr="00F42279" w:rsidR="00F42279" w:rsidP="008C675A" w:rsidRDefault="00F42279" w14:paraId="3BA68AA2" w14:textId="7A533DA5">
      <w:pPr>
        <w:spacing w:line="360" w:lineRule="auto"/>
        <w:jc w:val="both"/>
        <w:rPr>
          <w:rFonts w:ascii="Arial" w:hAnsi="Arial" w:cs="Arial"/>
          <w:sz w:val="22"/>
          <w:szCs w:val="22"/>
        </w:rPr>
      </w:pPr>
      <w:r w:rsidRPr="129CD36F" w:rsidR="00F42279">
        <w:rPr>
          <w:rFonts w:ascii="Arial" w:hAnsi="Arial" w:cs="Arial"/>
          <w:sz w:val="22"/>
          <w:szCs w:val="22"/>
        </w:rPr>
        <w:t xml:space="preserve">The national evaluation by Greaves et al. (2026) was designed to examine use, acceptability, </w:t>
      </w:r>
      <w:r w:rsidRPr="129CD36F" w:rsidR="00F42279">
        <w:rPr>
          <w:rFonts w:ascii="Arial" w:hAnsi="Arial" w:cs="Arial"/>
          <w:sz w:val="22"/>
          <w:szCs w:val="22"/>
        </w:rPr>
        <w:t>access</w:t>
      </w:r>
      <w:r w:rsidRPr="129CD36F" w:rsidR="00F42279">
        <w:rPr>
          <w:rFonts w:ascii="Arial" w:hAnsi="Arial" w:cs="Arial"/>
          <w:sz w:val="22"/>
          <w:szCs w:val="22"/>
        </w:rPr>
        <w:t xml:space="preserve"> and early participation through mixed methods. Its breadth is valuable because activity statistics alone cannot explain why people use </w:t>
      </w:r>
      <w:r w:rsidRPr="129CD36F" w:rsidR="676A6591">
        <w:rPr>
          <w:rFonts w:ascii="Arial" w:hAnsi="Arial" w:cs="Arial"/>
          <w:sz w:val="22"/>
          <w:szCs w:val="22"/>
        </w:rPr>
        <w:t>functions</w:t>
      </w:r>
      <w:r w:rsidRPr="129CD36F" w:rsidR="00F42279">
        <w:rPr>
          <w:rFonts w:ascii="Arial" w:hAnsi="Arial" w:cs="Arial"/>
          <w:sz w:val="22"/>
          <w:szCs w:val="22"/>
        </w:rPr>
        <w:t xml:space="preserve"> or how practices absorb the consequences. Nevertheless, findings from an evaluation conducted during a changing national programme must be interpreted in context: service capacity, app features and local implementation may change over time. Workforce benefits should therefore be judged using repeated measures of staff time, task duplication, patient </w:t>
      </w:r>
      <w:r w:rsidRPr="129CD36F" w:rsidR="00F42279">
        <w:rPr>
          <w:rFonts w:ascii="Arial" w:hAnsi="Arial" w:cs="Arial"/>
          <w:sz w:val="22"/>
          <w:szCs w:val="22"/>
        </w:rPr>
        <w:t>contact</w:t>
      </w:r>
      <w:r w:rsidRPr="129CD36F" w:rsidR="00F42279">
        <w:rPr>
          <w:rFonts w:ascii="Arial" w:hAnsi="Arial" w:cs="Arial"/>
          <w:sz w:val="22"/>
          <w:szCs w:val="22"/>
        </w:rPr>
        <w:t xml:space="preserve"> and service quality, not a single headline saving.</w:t>
      </w:r>
    </w:p>
    <w:p w:rsidRPr="00F42279" w:rsidR="00F42279" w:rsidP="129CD36F" w:rsidRDefault="00F42279" w14:paraId="7C93A203" w14:textId="1BA2C516">
      <w:pPr>
        <w:pStyle w:val="Heading3"/>
      </w:pPr>
      <w:bookmarkStart w:name="_Toc1920684710" w:id="788185780"/>
      <w:r w:rsidR="53DA4AC4">
        <w:rPr/>
        <w:t xml:space="preserve">2.2 </w:t>
      </w:r>
      <w:r w:rsidR="135225E7">
        <w:rPr/>
        <w:t>Skills, integration and implementation</w:t>
      </w:r>
      <w:bookmarkEnd w:id="788185780"/>
    </w:p>
    <w:p w:rsidRPr="00F42279" w:rsidR="00F42279" w:rsidP="008C675A" w:rsidRDefault="00F42279" w14:paraId="373112B1" w14:textId="592B21F3">
      <w:pPr>
        <w:spacing w:line="360" w:lineRule="auto"/>
        <w:jc w:val="both"/>
        <w:rPr>
          <w:rFonts w:ascii="Arial" w:hAnsi="Arial" w:cs="Arial"/>
          <w:sz w:val="22"/>
          <w:szCs w:val="22"/>
        </w:rPr>
      </w:pPr>
      <w:r w:rsidRPr="129CD36F" w:rsidR="00F42279">
        <w:rPr>
          <w:rFonts w:ascii="Arial" w:hAnsi="Arial" w:cs="Arial"/>
          <w:sz w:val="22"/>
          <w:szCs w:val="22"/>
        </w:rPr>
        <w:t xml:space="preserve">Digital transformation requires organisational change as well as technology. The DHSC and NHS England (2022) </w:t>
      </w:r>
      <w:r w:rsidRPr="129CD36F" w:rsidR="00F42279">
        <w:rPr>
          <w:rFonts w:ascii="Arial" w:hAnsi="Arial" w:cs="Arial"/>
          <w:sz w:val="22"/>
          <w:szCs w:val="22"/>
        </w:rPr>
        <w:t>identify</w:t>
      </w:r>
      <w:r w:rsidRPr="129CD36F" w:rsidR="00F42279">
        <w:rPr>
          <w:rFonts w:ascii="Arial" w:hAnsi="Arial" w:cs="Arial"/>
          <w:sz w:val="22"/>
          <w:szCs w:val="22"/>
        </w:rPr>
        <w:t xml:space="preserve"> digital foundations, workforce </w:t>
      </w:r>
      <w:r w:rsidRPr="129CD36F" w:rsidR="00F42279">
        <w:rPr>
          <w:rFonts w:ascii="Arial" w:hAnsi="Arial" w:cs="Arial"/>
          <w:sz w:val="22"/>
          <w:szCs w:val="22"/>
        </w:rPr>
        <w:t>skills</w:t>
      </w:r>
      <w:r w:rsidRPr="129CD36F" w:rsidR="00F42279">
        <w:rPr>
          <w:rFonts w:ascii="Arial" w:hAnsi="Arial" w:cs="Arial"/>
          <w:sz w:val="22"/>
          <w:szCs w:val="22"/>
        </w:rPr>
        <w:t xml:space="preserve"> and connected records as conditions for sustainable change. WHO (2021) likewise frames digital health as a system-wide strategy rather than a technology-only intervention. The House of Commons Health and Social Care Committee (2023) similarly highlighted legacy systems and shortages of digital </w:t>
      </w:r>
      <w:r w:rsidRPr="129CD36F" w:rsidR="00F42279">
        <w:rPr>
          <w:rFonts w:ascii="Arial" w:hAnsi="Arial" w:cs="Arial"/>
          <w:sz w:val="22"/>
          <w:szCs w:val="22"/>
        </w:rPr>
        <w:t>expertise</w:t>
      </w:r>
      <w:r w:rsidRPr="129CD36F" w:rsidR="00F42279">
        <w:rPr>
          <w:rFonts w:ascii="Arial" w:hAnsi="Arial" w:cs="Arial"/>
          <w:sz w:val="22"/>
          <w:szCs w:val="22"/>
        </w:rPr>
        <w:t xml:space="preserve"> as barriers to NHS transformation. These official sources </w:t>
      </w:r>
      <w:r w:rsidRPr="129CD36F" w:rsidR="00F42279">
        <w:rPr>
          <w:rFonts w:ascii="Arial" w:hAnsi="Arial" w:cs="Arial"/>
          <w:sz w:val="22"/>
          <w:szCs w:val="22"/>
        </w:rPr>
        <w:t>establish</w:t>
      </w:r>
      <w:r w:rsidRPr="129CD36F" w:rsidR="00F42279">
        <w:rPr>
          <w:rFonts w:ascii="Arial" w:hAnsi="Arial" w:cs="Arial"/>
          <w:sz w:val="22"/>
          <w:szCs w:val="22"/>
        </w:rPr>
        <w:t xml:space="preserve"> that the app </w:t>
      </w:r>
      <w:r w:rsidRPr="129CD36F" w:rsidR="00F42279">
        <w:rPr>
          <w:rFonts w:ascii="Arial" w:hAnsi="Arial" w:cs="Arial"/>
          <w:sz w:val="22"/>
          <w:szCs w:val="22"/>
        </w:rPr>
        <w:t>operates</w:t>
      </w:r>
      <w:r w:rsidRPr="129CD36F" w:rsidR="00F42279">
        <w:rPr>
          <w:rFonts w:ascii="Arial" w:hAnsi="Arial" w:cs="Arial"/>
          <w:sz w:val="22"/>
          <w:szCs w:val="22"/>
        </w:rPr>
        <w:t xml:space="preserve"> within a wider infrastructure, rather than functioning as an independent solution.</w:t>
      </w:r>
    </w:p>
    <w:p w:rsidRPr="00F36BE7" w:rsidR="00F36BE7" w:rsidP="008C675A" w:rsidRDefault="00F42279" w14:paraId="036F6BF2" w14:textId="70A6F095">
      <w:pPr>
        <w:spacing w:line="360" w:lineRule="auto"/>
        <w:jc w:val="both"/>
        <w:rPr>
          <w:rFonts w:ascii="Arial" w:hAnsi="Arial" w:cs="Arial"/>
          <w:sz w:val="22"/>
          <w:szCs w:val="22"/>
        </w:rPr>
      </w:pPr>
      <w:r w:rsidRPr="00F42279">
        <w:rPr>
          <w:rFonts w:ascii="Arial" w:hAnsi="Arial" w:cs="Arial"/>
          <w:sz w:val="22"/>
          <w:szCs w:val="22"/>
        </w:rPr>
        <w:t>Reidy et al. (2025) found that the app often acts as a gateway to general practice systems, with some functions unavailable consistently and information sometimes appearing fragmented or coded. This peer-reviewed evidence helps explain why an apparently simple patient-facing interface can create complexity behind the scenes. However, the study's five-practice setting cannot represent every organisation. The critical implication is not that the app has failed, but that its benefits are conditional: poorly integrated processes can generate duplication, while clear responsibilities and practical training may help staff use it effectively. Training should be role-specific and ongoing, with staff involved in design and evaluation rather than expected to adapt without protected time.</w:t>
      </w:r>
    </w:p>
    <w:p w:rsidRPr="00B337F5" w:rsidR="008C0ECF" w:rsidP="4F5928E5" w:rsidRDefault="008C0ECF" w14:paraId="3758E3E5" w14:textId="460D9B68">
      <w:pPr>
        <w:pStyle w:val="Heading2"/>
        <w:jc w:val="left"/>
        <w:rPr>
          <w:u w:val="none"/>
        </w:rPr>
      </w:pPr>
      <w:bookmarkStart w:name="_Toc1269630198" w:id="181672731"/>
      <w:r w:rsidR="76CA6529">
        <w:rPr>
          <w:u w:val="none"/>
        </w:rPr>
        <w:t>3.</w:t>
      </w:r>
      <w:r w:rsidR="008C0ECF">
        <w:rPr>
          <w:u w:val="none"/>
        </w:rPr>
        <w:t xml:space="preserve"> Impact on service delivery</w:t>
      </w:r>
      <w:bookmarkEnd w:id="181672731"/>
    </w:p>
    <w:p w:rsidR="1C4F91CF" w:rsidP="129CD36F" w:rsidRDefault="1C4F91CF" w14:paraId="44EF89A5" w14:textId="6548C1FA">
      <w:pPr>
        <w:pStyle w:val="Heading3"/>
        <w:rPr>
          <w:rFonts w:ascii="Arial" w:hAnsi="Arial" w:eastAsia="Arial" w:cs="Arial"/>
          <w:noProof w:val="0"/>
          <w:sz w:val="22"/>
          <w:szCs w:val="22"/>
          <w:lang w:val="en-GB"/>
        </w:rPr>
      </w:pPr>
      <w:bookmarkStart w:name="_Toc844529575" w:id="1050386760"/>
      <w:r w:rsidRPr="129CD36F" w:rsidR="1C4F91CF">
        <w:rPr>
          <w:noProof w:val="0"/>
          <w:lang w:val="en-GB"/>
        </w:rPr>
        <w:t>3.1 Convenience, uptake and meaningful access</w:t>
      </w:r>
      <w:bookmarkEnd w:id="1050386760"/>
    </w:p>
    <w:p w:rsidRPr="002F7A70" w:rsidR="002F7A70" w:rsidP="4F5928E5" w:rsidRDefault="00DF4C4F" w14:paraId="6D662C2A" w14:textId="29146B4E">
      <w:pPr>
        <w:spacing w:line="360" w:lineRule="auto"/>
        <w:jc w:val="left"/>
        <w:rPr>
          <w:rFonts w:ascii="Arial" w:hAnsi="Arial" w:cs="Arial"/>
          <w:sz w:val="22"/>
          <w:szCs w:val="22"/>
          <w:lang w:val="en-US"/>
        </w:rPr>
      </w:pPr>
      <w:r w:rsidRPr="129CD36F" w:rsidR="002F7A70">
        <w:rPr>
          <w:rFonts w:ascii="Arial" w:hAnsi="Arial" w:cs="Arial"/>
          <w:sz w:val="22"/>
          <w:szCs w:val="22"/>
          <w:lang w:val="en-US"/>
        </w:rPr>
        <w:t xml:space="preserve">The app makes selected healthcare tasks more convenient by allowing patients to complete them without a telephone call or visit, but convenience is not equivalent to improved access to clinical care. NHS England (2025a) reported more than 39 million registered users and 67.8 million repeat prescriptions ordered through the app between December 2024 and November 2025. These figures </w:t>
      </w:r>
      <w:r w:rsidRPr="129CD36F" w:rsidR="002F7A70">
        <w:rPr>
          <w:rFonts w:ascii="Arial" w:hAnsi="Arial" w:cs="Arial"/>
          <w:sz w:val="22"/>
          <w:szCs w:val="22"/>
          <w:lang w:val="en-US"/>
        </w:rPr>
        <w:t>demonstrate</w:t>
      </w:r>
      <w:r w:rsidRPr="129CD36F" w:rsidR="002F7A70">
        <w:rPr>
          <w:rFonts w:ascii="Arial" w:hAnsi="Arial" w:cs="Arial"/>
          <w:sz w:val="22"/>
          <w:szCs w:val="22"/>
          <w:lang w:val="en-US"/>
        </w:rPr>
        <w:t xml:space="preserve"> substantial reach and use of a practical function. They do not show how many people gained </w:t>
      </w:r>
      <w:r w:rsidRPr="129CD36F" w:rsidR="002F7A70">
        <w:rPr>
          <w:rFonts w:ascii="Arial" w:hAnsi="Arial" w:cs="Arial"/>
          <w:sz w:val="22"/>
          <w:szCs w:val="22"/>
          <w:lang w:val="en-US"/>
        </w:rPr>
        <w:t>timely</w:t>
      </w:r>
      <w:r w:rsidRPr="129CD36F" w:rsidR="002F7A70">
        <w:rPr>
          <w:rFonts w:ascii="Arial" w:hAnsi="Arial" w:cs="Arial"/>
          <w:sz w:val="22"/>
          <w:szCs w:val="22"/>
          <w:lang w:val="en-US"/>
        </w:rPr>
        <w:t xml:space="preserve"> appointments, avoided unmet </w:t>
      </w:r>
      <w:r w:rsidRPr="129CD36F" w:rsidR="002F7A70">
        <w:rPr>
          <w:rFonts w:ascii="Arial" w:hAnsi="Arial" w:cs="Arial"/>
          <w:sz w:val="22"/>
          <w:szCs w:val="22"/>
          <w:lang w:val="en-US"/>
        </w:rPr>
        <w:t>need</w:t>
      </w:r>
      <w:r w:rsidRPr="129CD36F" w:rsidR="002F7A70">
        <w:rPr>
          <w:rFonts w:ascii="Arial" w:hAnsi="Arial" w:cs="Arial"/>
          <w:sz w:val="22"/>
          <w:szCs w:val="22"/>
          <w:lang w:val="en-US"/>
        </w:rPr>
        <w:t xml:space="preserve"> or experienced better health outcomes.</w:t>
      </w:r>
    </w:p>
    <w:p w:rsidRPr="002F7A70" w:rsidR="002F7A70" w:rsidP="008C675A" w:rsidRDefault="002F7A70" w14:paraId="03B93F39" w14:textId="48703607">
      <w:pPr>
        <w:spacing w:line="360" w:lineRule="auto"/>
        <w:jc w:val="both"/>
        <w:rPr>
          <w:rFonts w:ascii="Arial" w:hAnsi="Arial" w:cs="Arial"/>
          <w:sz w:val="22"/>
          <w:szCs w:val="22"/>
          <w:lang w:val="en-US"/>
        </w:rPr>
      </w:pPr>
      <w:r w:rsidRPr="129CD36F" w:rsidR="002F7A70">
        <w:rPr>
          <w:rFonts w:ascii="Arial" w:hAnsi="Arial" w:cs="Arial"/>
          <w:sz w:val="22"/>
          <w:szCs w:val="22"/>
          <w:lang w:val="en-US"/>
        </w:rPr>
        <w:t>Kc et al. (2023) examined app uptake and adoption using observational data, providing a population-level perspective that complements official totals. Their work matters because adoption is not uniform and should be examined in relation to the populations and practices served.</w:t>
      </w:r>
      <w:r w:rsidRPr="129CD36F" w:rsidR="42AAAC47">
        <w:rPr>
          <w:rFonts w:ascii="Arial" w:hAnsi="Arial" w:cs="Arial"/>
          <w:sz w:val="22"/>
          <w:szCs w:val="22"/>
          <w:lang w:val="en-US"/>
        </w:rPr>
        <w:t xml:space="preserve"> </w:t>
      </w:r>
      <w:r w:rsidRPr="129CD36F" w:rsidR="002F7A70">
        <w:rPr>
          <w:rFonts w:ascii="Arial" w:hAnsi="Arial" w:cs="Arial"/>
          <w:sz w:val="22"/>
          <w:szCs w:val="22"/>
          <w:lang w:val="en-US"/>
        </w:rPr>
        <w:t xml:space="preserve">Kc et al. (2024) further investigated differences in feature use across sociodemographic groups using data from 6,386 GP practices. This design allows broad comparison, although observational associations cannot by themselves </w:t>
      </w:r>
      <w:r w:rsidRPr="129CD36F" w:rsidR="002F7A70">
        <w:rPr>
          <w:rFonts w:ascii="Arial" w:hAnsi="Arial" w:cs="Arial"/>
          <w:sz w:val="22"/>
          <w:szCs w:val="22"/>
          <w:lang w:val="en-US"/>
        </w:rPr>
        <w:t>establish</w:t>
      </w:r>
      <w:r w:rsidRPr="129CD36F" w:rsidR="002F7A70">
        <w:rPr>
          <w:rFonts w:ascii="Arial" w:hAnsi="Arial" w:cs="Arial"/>
          <w:sz w:val="22"/>
          <w:szCs w:val="22"/>
          <w:lang w:val="en-US"/>
        </w:rPr>
        <w:t xml:space="preserve"> why differences occur or whether app use </w:t>
      </w:r>
      <w:r w:rsidRPr="129CD36F" w:rsidR="4DAE32A9">
        <w:rPr>
          <w:rFonts w:ascii="Arial" w:hAnsi="Arial" w:cs="Arial"/>
          <w:sz w:val="22"/>
          <w:szCs w:val="22"/>
          <w:lang w:val="en-US"/>
        </w:rPr>
        <w:t>causes</w:t>
      </w:r>
      <w:r w:rsidRPr="129CD36F" w:rsidR="002F7A70">
        <w:rPr>
          <w:rFonts w:ascii="Arial" w:hAnsi="Arial" w:cs="Arial"/>
          <w:sz w:val="22"/>
          <w:szCs w:val="22"/>
          <w:lang w:val="en-US"/>
        </w:rPr>
        <w:t xml:space="preserve"> better outcomes. Read together, these studies </w:t>
      </w:r>
      <w:r w:rsidRPr="129CD36F" w:rsidR="002F7A70">
        <w:rPr>
          <w:rFonts w:ascii="Arial" w:hAnsi="Arial" w:cs="Arial"/>
          <w:sz w:val="22"/>
          <w:szCs w:val="22"/>
          <w:lang w:val="en-US"/>
        </w:rPr>
        <w:t>indicate</w:t>
      </w:r>
      <w:r w:rsidRPr="129CD36F" w:rsidR="002F7A70">
        <w:rPr>
          <w:rFonts w:ascii="Arial" w:hAnsi="Arial" w:cs="Arial"/>
          <w:sz w:val="22"/>
          <w:szCs w:val="22"/>
          <w:lang w:val="en-US"/>
        </w:rPr>
        <w:t xml:space="preserve"> that overall uptake is an incomplete measure of </w:t>
      </w:r>
      <w:r w:rsidRPr="129CD36F" w:rsidR="002F7A70">
        <w:rPr>
          <w:rFonts w:ascii="Arial" w:hAnsi="Arial" w:cs="Arial"/>
          <w:sz w:val="22"/>
          <w:szCs w:val="22"/>
          <w:lang w:val="en-US"/>
        </w:rPr>
        <w:t>equitable</w:t>
      </w:r>
      <w:r w:rsidRPr="129CD36F" w:rsidR="002F7A70">
        <w:rPr>
          <w:rFonts w:ascii="Arial" w:hAnsi="Arial" w:cs="Arial"/>
          <w:sz w:val="22"/>
          <w:szCs w:val="22"/>
          <w:lang w:val="en-US"/>
        </w:rPr>
        <w:t xml:space="preserve"> access: registration, logins and specific functions </w:t>
      </w:r>
      <w:r w:rsidRPr="129CD36F" w:rsidR="002F7A70">
        <w:rPr>
          <w:rFonts w:ascii="Arial" w:hAnsi="Arial" w:cs="Arial"/>
          <w:sz w:val="22"/>
          <w:szCs w:val="22"/>
          <w:lang w:val="en-US"/>
        </w:rPr>
        <w:t>represent</w:t>
      </w:r>
      <w:r w:rsidRPr="129CD36F" w:rsidR="002F7A70">
        <w:rPr>
          <w:rFonts w:ascii="Arial" w:hAnsi="Arial" w:cs="Arial"/>
          <w:sz w:val="22"/>
          <w:szCs w:val="22"/>
          <w:lang w:val="en-US"/>
        </w:rPr>
        <w:t xml:space="preserve"> </w:t>
      </w:r>
      <w:r w:rsidRPr="129CD36F" w:rsidR="002F7A70">
        <w:rPr>
          <w:rFonts w:ascii="Arial" w:hAnsi="Arial" w:cs="Arial"/>
          <w:sz w:val="22"/>
          <w:szCs w:val="22"/>
          <w:lang w:val="en-US"/>
        </w:rPr>
        <w:t>different stages</w:t>
      </w:r>
      <w:r w:rsidRPr="129CD36F" w:rsidR="002F7A70">
        <w:rPr>
          <w:rFonts w:ascii="Arial" w:hAnsi="Arial" w:cs="Arial"/>
          <w:sz w:val="22"/>
          <w:szCs w:val="22"/>
          <w:lang w:val="en-US"/>
        </w:rPr>
        <w:t xml:space="preserve"> of engagement.</w:t>
      </w:r>
    </w:p>
    <w:p w:rsidRPr="002F7A70" w:rsidR="002F7A70" w:rsidP="008C675A" w:rsidRDefault="002F7A70" w14:paraId="74BB19D6" w14:textId="496DB4A4">
      <w:pPr>
        <w:spacing w:line="360" w:lineRule="auto"/>
        <w:jc w:val="both"/>
        <w:rPr>
          <w:rFonts w:ascii="Arial" w:hAnsi="Arial" w:cs="Arial"/>
          <w:sz w:val="22"/>
          <w:szCs w:val="22"/>
          <w:lang w:val="en-US"/>
        </w:rPr>
      </w:pPr>
      <w:r w:rsidRPr="4F5928E5" w:rsidR="002F7A70">
        <w:rPr>
          <w:rFonts w:ascii="Arial" w:hAnsi="Arial" w:cs="Arial"/>
          <w:sz w:val="22"/>
          <w:szCs w:val="22"/>
          <w:lang w:val="en-US"/>
        </w:rPr>
        <w:t xml:space="preserve">The app can be particularly useful for people who prefer asynchronous communication or need to manage prescriptions around work and caring responsibilities. </w:t>
      </w:r>
      <w:r w:rsidRPr="4F5928E5" w:rsidR="002F7A70">
        <w:rPr>
          <w:rFonts w:ascii="Arial" w:hAnsi="Arial" w:cs="Arial"/>
          <w:sz w:val="22"/>
          <w:szCs w:val="22"/>
          <w:lang w:val="en-US"/>
        </w:rPr>
        <w:t>Yet it cannot create additional appointments when clinical capacity is limited.</w:t>
      </w:r>
      <w:r w:rsidRPr="4F5928E5" w:rsidR="002F7A70">
        <w:rPr>
          <w:rFonts w:ascii="Arial" w:hAnsi="Arial" w:cs="Arial"/>
          <w:sz w:val="22"/>
          <w:szCs w:val="22"/>
          <w:lang w:val="en-US"/>
        </w:rPr>
        <w:t xml:space="preserve"> A digital route may make the process of requesting care easier without shortening the wait for care itself. Evaluation should therefore distinguish administrative convenience from access to </w:t>
      </w:r>
      <w:r w:rsidRPr="4F5928E5" w:rsidR="002F7A70">
        <w:rPr>
          <w:rFonts w:ascii="Arial" w:hAnsi="Arial" w:cs="Arial"/>
          <w:sz w:val="22"/>
          <w:szCs w:val="22"/>
          <w:lang w:val="en-US"/>
        </w:rPr>
        <w:t>an appropriate clinician</w:t>
      </w:r>
      <w:r w:rsidRPr="4F5928E5" w:rsidR="002F7A70">
        <w:rPr>
          <w:rFonts w:ascii="Arial" w:hAnsi="Arial" w:cs="Arial"/>
          <w:sz w:val="22"/>
          <w:szCs w:val="22"/>
          <w:lang w:val="en-US"/>
        </w:rPr>
        <w:t xml:space="preserve">, and should examine whether digital demand is </w:t>
      </w:r>
      <w:r w:rsidRPr="4F5928E5" w:rsidR="002F7A70">
        <w:rPr>
          <w:rFonts w:ascii="Arial" w:hAnsi="Arial" w:cs="Arial"/>
          <w:sz w:val="22"/>
          <w:szCs w:val="22"/>
          <w:lang w:val="en-US"/>
        </w:rPr>
        <w:t>additional</w:t>
      </w:r>
      <w:r w:rsidRPr="4F5928E5" w:rsidR="002F7A70">
        <w:rPr>
          <w:rFonts w:ascii="Arial" w:hAnsi="Arial" w:cs="Arial"/>
          <w:sz w:val="22"/>
          <w:szCs w:val="22"/>
          <w:lang w:val="en-US"/>
        </w:rPr>
        <w:t xml:space="preserve">, substitutes for existing contacts or </w:t>
      </w:r>
      <w:r w:rsidRPr="4F5928E5" w:rsidR="347DE303">
        <w:rPr>
          <w:rFonts w:ascii="Arial" w:hAnsi="Arial" w:cs="Arial"/>
          <w:sz w:val="22"/>
          <w:szCs w:val="22"/>
          <w:lang w:val="en-US"/>
        </w:rPr>
        <w:t>shifts of</w:t>
      </w:r>
      <w:r w:rsidRPr="4F5928E5" w:rsidR="002F7A70">
        <w:rPr>
          <w:rFonts w:ascii="Arial" w:hAnsi="Arial" w:cs="Arial"/>
          <w:sz w:val="22"/>
          <w:szCs w:val="22"/>
          <w:lang w:val="en-US"/>
        </w:rPr>
        <w:t xml:space="preserve"> demand between channels.</w:t>
      </w:r>
    </w:p>
    <w:p w:rsidRPr="002F7A70" w:rsidR="002F7A70" w:rsidP="129CD36F" w:rsidRDefault="002F7A70" w14:paraId="5E99799D" w14:textId="16E77261">
      <w:pPr>
        <w:pStyle w:val="Heading3"/>
        <w:rPr>
          <w:lang w:val="en-US"/>
        </w:rPr>
      </w:pPr>
      <w:bookmarkStart w:name="_Toc1072968605" w:id="1565049308"/>
      <w:r w:rsidRPr="129CD36F" w:rsidR="64847A58">
        <w:rPr>
          <w:lang w:val="en-US"/>
        </w:rPr>
        <w:t>3.2 Efficiency</w:t>
      </w:r>
      <w:r w:rsidRPr="129CD36F" w:rsidR="64847A58">
        <w:rPr>
          <w:lang w:val="en-US"/>
        </w:rPr>
        <w:t xml:space="preserve">, </w:t>
      </w:r>
      <w:r w:rsidRPr="129CD36F" w:rsidR="64847A58">
        <w:rPr>
          <w:lang w:val="en-US"/>
        </w:rPr>
        <w:t>continuity</w:t>
      </w:r>
      <w:r w:rsidRPr="129CD36F" w:rsidR="64847A58">
        <w:rPr>
          <w:lang w:val="en-US"/>
        </w:rPr>
        <w:t xml:space="preserve"> and service quality</w:t>
      </w:r>
      <w:bookmarkEnd w:id="1565049308"/>
    </w:p>
    <w:p w:rsidRPr="002F7A70" w:rsidR="002F7A70" w:rsidP="008C675A" w:rsidRDefault="002F7A70" w14:paraId="1A5DC47E" w14:textId="20DBAD48">
      <w:pPr>
        <w:spacing w:line="360" w:lineRule="auto"/>
        <w:jc w:val="both"/>
        <w:rPr>
          <w:rFonts w:ascii="Arial" w:hAnsi="Arial" w:cs="Arial"/>
          <w:sz w:val="22"/>
          <w:szCs w:val="22"/>
          <w:lang w:val="en-US"/>
        </w:rPr>
      </w:pPr>
      <w:r w:rsidRPr="129CD36F" w:rsidR="002F7A70">
        <w:rPr>
          <w:rFonts w:ascii="Arial" w:hAnsi="Arial" w:cs="Arial"/>
          <w:sz w:val="22"/>
          <w:szCs w:val="22"/>
          <w:lang w:val="en-US"/>
        </w:rPr>
        <w:t xml:space="preserve">Digital services may support efficiency when they simplify processes without creating new costs or excluding users. NHS England's estimate of £1.1 million in messaging savings (2024a) offers a plausible benefit, but does not include the full costs of development, maintenance, cybersecurity, staff training, accessibility support and handling failed transactions. Nor does a national estimate </w:t>
      </w:r>
      <w:r w:rsidRPr="129CD36F" w:rsidR="002F7A70">
        <w:rPr>
          <w:rFonts w:ascii="Arial" w:hAnsi="Arial" w:cs="Arial"/>
          <w:sz w:val="22"/>
          <w:szCs w:val="22"/>
          <w:lang w:val="en-US"/>
        </w:rPr>
        <w:t>establish</w:t>
      </w:r>
      <w:r w:rsidRPr="129CD36F" w:rsidR="002F7A70">
        <w:rPr>
          <w:rFonts w:ascii="Arial" w:hAnsi="Arial" w:cs="Arial"/>
          <w:sz w:val="22"/>
          <w:szCs w:val="22"/>
          <w:lang w:val="en-US"/>
        </w:rPr>
        <w:t xml:space="preserve"> that savings are distributed equally across GP practices. A stronger economic assessment would compare total costs and outcomes over time.</w:t>
      </w:r>
    </w:p>
    <w:p w:rsidRPr="002F7A70" w:rsidR="002F7A70" w:rsidP="008C675A" w:rsidRDefault="002F7A70" w14:paraId="1A47E5A6" w14:textId="4D7BAC7A">
      <w:pPr>
        <w:spacing w:line="360" w:lineRule="auto"/>
        <w:jc w:val="both"/>
      </w:pPr>
      <w:r w:rsidRPr="129CD36F" w:rsidR="002F7A70">
        <w:rPr>
          <w:rFonts w:ascii="Arial" w:hAnsi="Arial" w:cs="Arial"/>
          <w:sz w:val="22"/>
          <w:szCs w:val="22"/>
          <w:lang w:val="en-US"/>
        </w:rPr>
        <w:t xml:space="preserve">The DHSC and NHS England (2022) set out an ambition for connected health and social care information, while the NHS App provides a user-facing route to selected information and services. These should not be conflated: a front-end application cannot by itself resolve incompatible records or communication problems between </w:t>
      </w:r>
      <w:r w:rsidRPr="129CD36F" w:rsidR="002F7A70">
        <w:rPr>
          <w:rFonts w:ascii="Arial" w:hAnsi="Arial" w:cs="Arial"/>
          <w:sz w:val="22"/>
          <w:szCs w:val="22"/>
          <w:lang w:val="en-US"/>
        </w:rPr>
        <w:t>organisations</w:t>
      </w:r>
      <w:r w:rsidRPr="129CD36F" w:rsidR="002F7A70">
        <w:rPr>
          <w:rFonts w:ascii="Arial" w:hAnsi="Arial" w:cs="Arial"/>
          <w:sz w:val="22"/>
          <w:szCs w:val="22"/>
          <w:lang w:val="en-US"/>
        </w:rPr>
        <w:t xml:space="preserve">. Reidy et al. (2025) </w:t>
      </w:r>
      <w:r w:rsidRPr="129CD36F" w:rsidR="002F7A70">
        <w:rPr>
          <w:rFonts w:ascii="Arial" w:hAnsi="Arial" w:cs="Arial"/>
          <w:sz w:val="22"/>
          <w:szCs w:val="22"/>
          <w:lang w:val="en-US"/>
        </w:rPr>
        <w:t xml:space="preserve">found that information could be fragmented and features varied between users, limiting the promise of a consistent experience. Their qualitative evidence explains mechanisms but does not measure the prevalence of each problem nationally. The most defensible conclusion is that the app can improve access to </w:t>
      </w:r>
      <w:r w:rsidRPr="129CD36F" w:rsidR="4D9BFE70">
        <w:rPr>
          <w:rFonts w:ascii="Arial" w:hAnsi="Arial" w:cs="Arial"/>
          <w:sz w:val="22"/>
          <w:szCs w:val="22"/>
          <w:lang w:val="en-US"/>
        </w:rPr>
        <w:t>transactions</w:t>
      </w:r>
      <w:r w:rsidRPr="129CD36F" w:rsidR="002F7A70">
        <w:rPr>
          <w:rFonts w:ascii="Arial" w:hAnsi="Arial" w:cs="Arial"/>
          <w:sz w:val="22"/>
          <w:szCs w:val="22"/>
          <w:lang w:val="en-US"/>
        </w:rPr>
        <w:t xml:space="preserve">, while wider continuity depends on interoperability, data </w:t>
      </w:r>
      <w:r w:rsidRPr="129CD36F" w:rsidR="3E3E1E62">
        <w:rPr>
          <w:rFonts w:ascii="Arial" w:hAnsi="Arial" w:cs="Arial"/>
          <w:sz w:val="22"/>
          <w:szCs w:val="22"/>
          <w:lang w:val="en-US"/>
        </w:rPr>
        <w:t>quality,</w:t>
      </w:r>
      <w:r w:rsidRPr="129CD36F" w:rsidR="002F7A70">
        <w:rPr>
          <w:rFonts w:ascii="Arial" w:hAnsi="Arial" w:cs="Arial"/>
          <w:sz w:val="22"/>
          <w:szCs w:val="22"/>
          <w:lang w:val="en-US"/>
        </w:rPr>
        <w:t xml:space="preserve"> and service redesign.</w:t>
      </w:r>
    </w:p>
    <w:p w:rsidR="63B32192" w:rsidP="129CD36F" w:rsidRDefault="63B32192" w14:paraId="0C94ADDA" w14:textId="384C704A">
      <w:pPr>
        <w:spacing w:line="360" w:lineRule="auto"/>
        <w:jc w:val="both"/>
      </w:pPr>
      <w:r w:rsidRPr="129CD36F" w:rsidR="63B32192">
        <w:rPr>
          <w:rFonts w:ascii="Arial" w:hAnsi="Arial" w:cs="Arial"/>
          <w:sz w:val="22"/>
          <w:szCs w:val="22"/>
          <w:lang w:val="en-US"/>
        </w:rPr>
        <w:t xml:space="preserve">Table 1 </w:t>
      </w:r>
      <w:r w:rsidRPr="129CD36F" w:rsidR="63B32192">
        <w:rPr>
          <w:rFonts w:ascii="Arial" w:hAnsi="Arial" w:cs="Arial"/>
          <w:sz w:val="22"/>
          <w:szCs w:val="22"/>
          <w:lang w:val="en-US"/>
        </w:rPr>
        <w:t>summarises</w:t>
      </w:r>
      <w:r w:rsidRPr="129CD36F" w:rsidR="63B32192">
        <w:rPr>
          <w:rFonts w:ascii="Arial" w:hAnsi="Arial" w:cs="Arial"/>
          <w:sz w:val="22"/>
          <w:szCs w:val="22"/>
          <w:lang w:val="en-US"/>
        </w:rPr>
        <w:t xml:space="preserve"> the contributions of different evidence sources. </w:t>
      </w:r>
      <w:r w:rsidRPr="129CD36F" w:rsidR="63B32192">
        <w:rPr>
          <w:rFonts w:ascii="Arial" w:hAnsi="Arial" w:cs="Arial"/>
          <w:sz w:val="22"/>
          <w:szCs w:val="22"/>
          <w:lang w:val="en-US"/>
        </w:rPr>
        <w:t>Official activity data demonstrate the scale of app use; observational studies identify patterns of adoption, and qualitative research explains implementation.</w:t>
      </w:r>
      <w:r w:rsidRPr="129CD36F" w:rsidR="63B32192">
        <w:rPr>
          <w:rFonts w:ascii="Arial" w:hAnsi="Arial" w:cs="Arial"/>
          <w:sz w:val="22"/>
          <w:szCs w:val="22"/>
          <w:lang w:val="en-US"/>
        </w:rPr>
        <w:t xml:space="preserve"> Greaves et al. (2026) </w:t>
      </w:r>
      <w:r w:rsidRPr="129CD36F" w:rsidR="63B32192">
        <w:rPr>
          <w:rFonts w:ascii="Arial" w:hAnsi="Arial" w:cs="Arial"/>
          <w:sz w:val="22"/>
          <w:szCs w:val="22"/>
          <w:lang w:val="en-US"/>
        </w:rPr>
        <w:t>uses</w:t>
      </w:r>
      <w:r w:rsidRPr="129CD36F" w:rsidR="63B32192">
        <w:rPr>
          <w:rFonts w:ascii="Arial" w:hAnsi="Arial" w:cs="Arial"/>
          <w:sz w:val="22"/>
          <w:szCs w:val="22"/>
          <w:lang w:val="en-US"/>
        </w:rPr>
        <w:t xml:space="preserve"> mixed methods to examine use, accessibility, and experiences of access. However, activity figures alone cannot </w:t>
      </w:r>
      <w:r w:rsidRPr="129CD36F" w:rsidR="63B32192">
        <w:rPr>
          <w:rFonts w:ascii="Arial" w:hAnsi="Arial" w:cs="Arial"/>
          <w:sz w:val="22"/>
          <w:szCs w:val="22"/>
          <w:lang w:val="en-US"/>
        </w:rPr>
        <w:t>establish</w:t>
      </w:r>
      <w:r w:rsidRPr="129CD36F" w:rsidR="63B32192">
        <w:rPr>
          <w:rFonts w:ascii="Arial" w:hAnsi="Arial" w:cs="Arial"/>
          <w:sz w:val="22"/>
          <w:szCs w:val="22"/>
          <w:lang w:val="en-US"/>
        </w:rPr>
        <w:t xml:space="preserve"> whether tasks were completed successfully; unmet need decreased or </w:t>
      </w:r>
      <w:r w:rsidRPr="129CD36F" w:rsidR="63B32192">
        <w:rPr>
          <w:rFonts w:ascii="Arial" w:hAnsi="Arial" w:cs="Arial"/>
          <w:sz w:val="22"/>
          <w:szCs w:val="22"/>
          <w:lang w:val="en-US"/>
        </w:rPr>
        <w:t>additional</w:t>
      </w:r>
      <w:r w:rsidRPr="129CD36F" w:rsidR="63B32192">
        <w:rPr>
          <w:rFonts w:ascii="Arial" w:hAnsi="Arial" w:cs="Arial"/>
          <w:sz w:val="22"/>
          <w:szCs w:val="22"/>
          <w:lang w:val="en-US"/>
        </w:rPr>
        <w:t xml:space="preserve"> support was required. Differences between local services also complicate national evaluation. Combining activity data with staff accounts and patient experiences therefore provides a stronger basis for assessing the app's impact.</w:t>
      </w:r>
    </w:p>
    <w:p w:rsidRPr="008C675A" w:rsidR="00AB4C59" w:rsidP="129CD36F" w:rsidRDefault="00AB4C59" w14:paraId="36DC9D2E" w14:textId="31324BA5">
      <w:pPr>
        <w:pStyle w:val="Heading3"/>
        <w:rPr>
          <w:rStyle w:val="Heading3Char"/>
          <w:b w:val="1"/>
          <w:bCs w:val="1"/>
        </w:rPr>
      </w:pPr>
      <w:bookmarkStart w:name="_Toc1422904233" w:id="1635819969"/>
      <w:r w:rsidR="00AB4C59">
        <w:rPr/>
        <w:t xml:space="preserve">Table 1. </w:t>
      </w:r>
      <w:r w:rsidR="00AB4C59">
        <w:rPr/>
        <w:t>What the principal evidence can and cannot establish</w:t>
      </w:r>
      <w:bookmarkEnd w:id="1635819969"/>
    </w:p>
    <w:tbl>
      <w:tblPr>
        <w:tblStyle w:val="TableGrid"/>
        <w:tblW w:w="0" w:type="auto"/>
        <w:tblLook w:val="04A0" w:firstRow="1" w:lastRow="0" w:firstColumn="1" w:lastColumn="0" w:noHBand="0" w:noVBand="1"/>
      </w:tblPr>
      <w:tblGrid>
        <w:gridCol w:w="3005"/>
        <w:gridCol w:w="3005"/>
        <w:gridCol w:w="3006"/>
      </w:tblGrid>
      <w:tr w:rsidR="002C6943" w:rsidTr="002C6943" w14:paraId="021B511A" w14:textId="77777777">
        <w:tc>
          <w:tcPr>
            <w:tcW w:w="3005" w:type="dxa"/>
          </w:tcPr>
          <w:p w:rsidR="002C6943" w:rsidP="008C675A" w:rsidRDefault="00422194" w14:paraId="78B08487" w14:textId="29B51BF8">
            <w:pPr>
              <w:spacing w:line="360" w:lineRule="auto"/>
              <w:jc w:val="both"/>
              <w:rPr>
                <w:rFonts w:ascii="Arial" w:hAnsi="Arial" w:cs="Arial"/>
                <w:sz w:val="22"/>
                <w:szCs w:val="22"/>
              </w:rPr>
            </w:pPr>
            <w:r>
              <w:rPr>
                <w:rFonts w:ascii="Arial" w:hAnsi="Arial" w:cs="Arial"/>
                <w:sz w:val="22"/>
                <w:szCs w:val="22"/>
              </w:rPr>
              <w:t>Evidence Source</w:t>
            </w:r>
          </w:p>
        </w:tc>
        <w:tc>
          <w:tcPr>
            <w:tcW w:w="3005" w:type="dxa"/>
          </w:tcPr>
          <w:p w:rsidR="002C6943" w:rsidP="008C675A" w:rsidRDefault="00D14F47" w14:paraId="26D92522" w14:textId="0342C1D3">
            <w:pPr>
              <w:spacing w:line="360" w:lineRule="auto"/>
              <w:jc w:val="both"/>
              <w:rPr>
                <w:rFonts w:ascii="Arial" w:hAnsi="Arial" w:cs="Arial"/>
                <w:sz w:val="22"/>
                <w:szCs w:val="22"/>
              </w:rPr>
            </w:pPr>
            <w:r>
              <w:rPr>
                <w:rFonts w:ascii="Arial" w:hAnsi="Arial" w:cs="Arial"/>
                <w:sz w:val="22"/>
                <w:szCs w:val="22"/>
              </w:rPr>
              <w:t>Contribution</w:t>
            </w:r>
          </w:p>
        </w:tc>
        <w:tc>
          <w:tcPr>
            <w:tcW w:w="3006" w:type="dxa"/>
          </w:tcPr>
          <w:p w:rsidR="002C6943" w:rsidP="008C675A" w:rsidRDefault="00D14F47" w14:paraId="73724704" w14:textId="3B329310">
            <w:pPr>
              <w:spacing w:line="360" w:lineRule="auto"/>
              <w:jc w:val="both"/>
              <w:rPr>
                <w:rFonts w:ascii="Arial" w:hAnsi="Arial" w:cs="Arial"/>
                <w:sz w:val="22"/>
                <w:szCs w:val="22"/>
              </w:rPr>
            </w:pPr>
            <w:r>
              <w:rPr>
                <w:rFonts w:ascii="Arial" w:hAnsi="Arial" w:cs="Arial"/>
                <w:sz w:val="22"/>
                <w:szCs w:val="22"/>
              </w:rPr>
              <w:t>Key Limitations</w:t>
            </w:r>
          </w:p>
        </w:tc>
      </w:tr>
      <w:tr w:rsidR="002C6943" w:rsidTr="002C6943" w14:paraId="4F43791E" w14:textId="77777777">
        <w:tc>
          <w:tcPr>
            <w:tcW w:w="3005" w:type="dxa"/>
          </w:tcPr>
          <w:p w:rsidRPr="004E5852" w:rsidR="002C6943" w:rsidP="008C675A" w:rsidRDefault="004E5852" w14:paraId="6D03149B" w14:textId="37EAFDC5">
            <w:pPr>
              <w:spacing w:line="360" w:lineRule="auto"/>
              <w:jc w:val="both"/>
              <w:rPr>
                <w:rFonts w:ascii="Arial" w:hAnsi="Arial" w:cs="Arial"/>
                <w:sz w:val="22"/>
                <w:szCs w:val="22"/>
              </w:rPr>
            </w:pPr>
            <w:r w:rsidRPr="004E5852">
              <w:rPr>
                <w:rFonts w:ascii="Arial" w:hAnsi="Arial" w:cs="Arial"/>
                <w:sz w:val="22"/>
                <w:szCs w:val="22"/>
              </w:rPr>
              <w:t>NHS England activity data (2024a; 2025a</w:t>
            </w:r>
          </w:p>
        </w:tc>
        <w:tc>
          <w:tcPr>
            <w:tcW w:w="3005" w:type="dxa"/>
          </w:tcPr>
          <w:p w:rsidR="002C6943" w:rsidP="008C675A" w:rsidRDefault="00280776" w14:paraId="2A3A6710" w14:textId="289B0CDA">
            <w:pPr>
              <w:spacing w:line="360" w:lineRule="auto"/>
              <w:jc w:val="both"/>
              <w:rPr>
                <w:rFonts w:ascii="Arial" w:hAnsi="Arial" w:cs="Arial"/>
                <w:sz w:val="22"/>
                <w:szCs w:val="22"/>
              </w:rPr>
            </w:pPr>
            <w:r w:rsidRPr="00280776">
              <w:rPr>
                <w:rFonts w:ascii="Arial" w:hAnsi="Arial" w:cs="Arial"/>
                <w:sz w:val="22"/>
                <w:szCs w:val="22"/>
              </w:rPr>
              <w:t>Shows scale of app messaging, registrations and prescription orders.</w:t>
            </w:r>
          </w:p>
        </w:tc>
        <w:tc>
          <w:tcPr>
            <w:tcW w:w="3006" w:type="dxa"/>
          </w:tcPr>
          <w:p w:rsidR="002C6943" w:rsidP="008C675A" w:rsidRDefault="00964851" w14:paraId="1D9098D2" w14:textId="40050095">
            <w:pPr>
              <w:spacing w:line="360" w:lineRule="auto"/>
              <w:jc w:val="both"/>
              <w:rPr>
                <w:rFonts w:ascii="Arial" w:hAnsi="Arial" w:cs="Arial"/>
                <w:sz w:val="22"/>
                <w:szCs w:val="22"/>
              </w:rPr>
            </w:pPr>
            <w:r w:rsidRPr="00964851">
              <w:rPr>
                <w:rFonts w:ascii="Arial" w:hAnsi="Arial" w:cs="Arial"/>
                <w:sz w:val="22"/>
                <w:szCs w:val="22"/>
              </w:rPr>
              <w:t>Activity and estimated savings do not prove reduced total workload or improved outcomes.</w:t>
            </w:r>
          </w:p>
        </w:tc>
      </w:tr>
      <w:tr w:rsidR="002C6943" w:rsidTr="002C6943" w14:paraId="0F0C61E1" w14:textId="77777777">
        <w:tc>
          <w:tcPr>
            <w:tcW w:w="3005" w:type="dxa"/>
          </w:tcPr>
          <w:p w:rsidR="002C6943" w:rsidP="008C675A" w:rsidRDefault="00964851" w14:paraId="6A8A6304" w14:textId="051E1E59">
            <w:pPr>
              <w:spacing w:line="360" w:lineRule="auto"/>
              <w:jc w:val="both"/>
              <w:rPr>
                <w:rFonts w:ascii="Arial" w:hAnsi="Arial" w:cs="Arial"/>
                <w:sz w:val="22"/>
                <w:szCs w:val="22"/>
              </w:rPr>
            </w:pPr>
            <w:r w:rsidRPr="00964851">
              <w:rPr>
                <w:rFonts w:ascii="Arial" w:hAnsi="Arial" w:cs="Arial"/>
                <w:sz w:val="22"/>
                <w:szCs w:val="22"/>
              </w:rPr>
              <w:t>Kc et al. (2023; 2024)</w:t>
            </w:r>
          </w:p>
        </w:tc>
        <w:tc>
          <w:tcPr>
            <w:tcW w:w="3005" w:type="dxa"/>
          </w:tcPr>
          <w:p w:rsidR="002C6943" w:rsidP="008C675A" w:rsidRDefault="00300A30" w14:paraId="5A05789A" w14:textId="60A434CB">
            <w:pPr>
              <w:spacing w:line="360" w:lineRule="auto"/>
              <w:jc w:val="both"/>
              <w:rPr>
                <w:rFonts w:ascii="Arial" w:hAnsi="Arial" w:cs="Arial"/>
                <w:sz w:val="22"/>
                <w:szCs w:val="22"/>
              </w:rPr>
            </w:pPr>
            <w:r w:rsidRPr="00300A30">
              <w:rPr>
                <w:rFonts w:ascii="Arial" w:hAnsi="Arial" w:cs="Arial"/>
                <w:sz w:val="22"/>
                <w:szCs w:val="22"/>
              </w:rPr>
              <w:t>Observational evidence on uptake and differences in feature use.</w:t>
            </w:r>
          </w:p>
        </w:tc>
        <w:tc>
          <w:tcPr>
            <w:tcW w:w="3006" w:type="dxa"/>
          </w:tcPr>
          <w:p w:rsidR="002C6943" w:rsidP="008C675A" w:rsidRDefault="00300A30" w14:paraId="1EF09838" w14:textId="4AC6307D">
            <w:pPr>
              <w:spacing w:line="360" w:lineRule="auto"/>
              <w:jc w:val="both"/>
              <w:rPr>
                <w:rFonts w:ascii="Arial" w:hAnsi="Arial" w:cs="Arial"/>
                <w:sz w:val="22"/>
                <w:szCs w:val="22"/>
              </w:rPr>
            </w:pPr>
            <w:r w:rsidRPr="00300A30">
              <w:rPr>
                <w:rFonts w:ascii="Arial" w:hAnsi="Arial" w:cs="Arial"/>
                <w:sz w:val="22"/>
                <w:szCs w:val="22"/>
              </w:rPr>
              <w:t>Associations cannot establish causality or fully explain individual non-use.</w:t>
            </w:r>
          </w:p>
        </w:tc>
      </w:tr>
      <w:tr w:rsidR="002C6943" w:rsidTr="002C6943" w14:paraId="2E29B713" w14:textId="77777777">
        <w:tc>
          <w:tcPr>
            <w:tcW w:w="3005" w:type="dxa"/>
          </w:tcPr>
          <w:p w:rsidR="002C6943" w:rsidP="008C675A" w:rsidRDefault="00300A30" w14:paraId="6913BDCB" w14:textId="315FD14E">
            <w:pPr>
              <w:spacing w:line="360" w:lineRule="auto"/>
              <w:jc w:val="both"/>
              <w:rPr>
                <w:rFonts w:ascii="Arial" w:hAnsi="Arial" w:cs="Arial"/>
                <w:sz w:val="22"/>
                <w:szCs w:val="22"/>
              </w:rPr>
            </w:pPr>
            <w:r w:rsidRPr="00300A30">
              <w:rPr>
                <w:rFonts w:ascii="Arial" w:hAnsi="Arial" w:cs="Arial"/>
                <w:sz w:val="22"/>
                <w:szCs w:val="22"/>
              </w:rPr>
              <w:t>Reidy et al. (2025)</w:t>
            </w:r>
          </w:p>
        </w:tc>
        <w:tc>
          <w:tcPr>
            <w:tcW w:w="3005" w:type="dxa"/>
          </w:tcPr>
          <w:p w:rsidR="002C6943" w:rsidP="008C675A" w:rsidRDefault="00CE02FD" w14:paraId="3564F268" w14:textId="19B166A8">
            <w:pPr>
              <w:spacing w:line="360" w:lineRule="auto"/>
              <w:jc w:val="both"/>
              <w:rPr>
                <w:rFonts w:ascii="Arial" w:hAnsi="Arial" w:cs="Arial"/>
                <w:sz w:val="22"/>
                <w:szCs w:val="22"/>
              </w:rPr>
            </w:pPr>
            <w:r w:rsidRPr="00CE02FD">
              <w:rPr>
                <w:rFonts w:ascii="Arial" w:hAnsi="Arial" w:cs="Arial"/>
                <w:sz w:val="22"/>
                <w:szCs w:val="22"/>
              </w:rPr>
              <w:t>Explains implementation experiences, organisational capacity and user concerns.</w:t>
            </w:r>
          </w:p>
        </w:tc>
        <w:tc>
          <w:tcPr>
            <w:tcW w:w="3006" w:type="dxa"/>
          </w:tcPr>
          <w:p w:rsidR="002C6943" w:rsidP="008C675A" w:rsidRDefault="00D10AD2" w14:paraId="7CB45B91" w14:textId="422F53C1">
            <w:pPr>
              <w:spacing w:line="360" w:lineRule="auto"/>
              <w:jc w:val="both"/>
              <w:rPr>
                <w:rFonts w:ascii="Arial" w:hAnsi="Arial" w:cs="Arial"/>
                <w:sz w:val="22"/>
                <w:szCs w:val="22"/>
              </w:rPr>
            </w:pPr>
            <w:r w:rsidRPr="00D10AD2">
              <w:rPr>
                <w:rFonts w:ascii="Arial" w:hAnsi="Arial" w:cs="Arial"/>
                <w:sz w:val="22"/>
                <w:szCs w:val="22"/>
              </w:rPr>
              <w:t>Qualitative findings from five practices do not quantify national prevalence.</w:t>
            </w:r>
          </w:p>
        </w:tc>
      </w:tr>
      <w:tr w:rsidR="002C6943" w:rsidTr="002C6943" w14:paraId="65987CC5" w14:textId="77777777">
        <w:tc>
          <w:tcPr>
            <w:tcW w:w="3005" w:type="dxa"/>
          </w:tcPr>
          <w:p w:rsidR="002C6943" w:rsidP="008C675A" w:rsidRDefault="00D10AD2" w14:paraId="11610EE0" w14:textId="5C2CD871">
            <w:pPr>
              <w:spacing w:line="360" w:lineRule="auto"/>
              <w:jc w:val="both"/>
              <w:rPr>
                <w:rFonts w:ascii="Arial" w:hAnsi="Arial" w:cs="Arial"/>
                <w:sz w:val="22"/>
                <w:szCs w:val="22"/>
              </w:rPr>
            </w:pPr>
            <w:r w:rsidRPr="00D10AD2">
              <w:rPr>
                <w:rFonts w:ascii="Arial" w:hAnsi="Arial" w:cs="Arial"/>
                <w:sz w:val="22"/>
                <w:szCs w:val="22"/>
              </w:rPr>
              <w:t>Greaves et al. (2026)</w:t>
            </w:r>
          </w:p>
        </w:tc>
        <w:tc>
          <w:tcPr>
            <w:tcW w:w="3005" w:type="dxa"/>
          </w:tcPr>
          <w:p w:rsidR="002C6943" w:rsidP="008C675A" w:rsidRDefault="00D10AD2" w14:paraId="538458FA" w14:textId="415204BD">
            <w:pPr>
              <w:spacing w:line="360" w:lineRule="auto"/>
              <w:jc w:val="both"/>
              <w:rPr>
                <w:rFonts w:ascii="Arial" w:hAnsi="Arial" w:cs="Arial"/>
                <w:sz w:val="22"/>
                <w:szCs w:val="22"/>
              </w:rPr>
            </w:pPr>
            <w:r w:rsidRPr="00D10AD2">
              <w:rPr>
                <w:rFonts w:ascii="Arial" w:hAnsi="Arial" w:cs="Arial"/>
                <w:sz w:val="22"/>
                <w:szCs w:val="22"/>
              </w:rPr>
              <w:t>Combines methods to examine rollout, acceptability and access.</w:t>
            </w:r>
          </w:p>
        </w:tc>
        <w:tc>
          <w:tcPr>
            <w:tcW w:w="3006" w:type="dxa"/>
          </w:tcPr>
          <w:p w:rsidR="002C6943" w:rsidP="008C675A" w:rsidRDefault="000244BF" w14:paraId="1756521A" w14:textId="03A32B2E">
            <w:pPr>
              <w:spacing w:line="360" w:lineRule="auto"/>
              <w:jc w:val="both"/>
              <w:rPr>
                <w:rFonts w:ascii="Arial" w:hAnsi="Arial" w:cs="Arial"/>
                <w:sz w:val="22"/>
                <w:szCs w:val="22"/>
              </w:rPr>
            </w:pPr>
            <w:r w:rsidRPr="000244BF">
              <w:rPr>
                <w:rFonts w:ascii="Arial" w:hAnsi="Arial" w:cs="Arial"/>
                <w:sz w:val="22"/>
                <w:szCs w:val="22"/>
              </w:rPr>
              <w:t>Findings reflect a complex programme and changing implementation context.</w:t>
            </w:r>
          </w:p>
        </w:tc>
      </w:tr>
    </w:tbl>
    <w:p w:rsidR="00AB4C59" w:rsidP="008C675A" w:rsidRDefault="003546B2" w14:paraId="524FC56B" w14:textId="22252379">
      <w:pPr>
        <w:spacing w:line="360" w:lineRule="auto"/>
        <w:jc w:val="both"/>
        <w:rPr>
          <w:rFonts w:ascii="Arial" w:hAnsi="Arial" w:cs="Arial"/>
          <w:sz w:val="22"/>
          <w:szCs w:val="22"/>
        </w:rPr>
      </w:pPr>
      <w:r w:rsidRPr="003546B2">
        <w:rPr>
          <w:rFonts w:ascii="Arial" w:hAnsi="Arial" w:cs="Arial"/>
          <w:sz w:val="22"/>
          <w:szCs w:val="22"/>
        </w:rPr>
        <w:t>Source: Kc et al. (2023; 2024); Reidy et al. (2025); Greaves et al. (2026); NHS England (2024a; 2025a).</w:t>
      </w:r>
    </w:p>
    <w:p w:rsidRPr="00DF4C4F" w:rsidR="00462476" w:rsidP="008C675A" w:rsidRDefault="00704F3E" w14:paraId="71C77B71" w14:textId="22CA0928">
      <w:pPr>
        <w:spacing w:line="360" w:lineRule="auto"/>
        <w:jc w:val="both"/>
      </w:pPr>
      <w:r w:rsidRPr="129CD36F" w:rsidR="00704F3E">
        <w:rPr>
          <w:rFonts w:ascii="Arial" w:hAnsi="Arial" w:cs="Arial"/>
          <w:sz w:val="22"/>
          <w:szCs w:val="22"/>
          <w:lang w:val="en-US"/>
        </w:rPr>
        <w:t>Critical interpretation: These sources are complementary. The strongest judgement comes from triangulating activity data with implementation evidence and population-level patterns.</w:t>
      </w:r>
    </w:p>
    <w:p w:rsidR="38B9F90A" w:rsidP="129CD36F" w:rsidRDefault="38B9F90A" w14:paraId="5E39D0D4" w14:textId="13764134">
      <w:pPr>
        <w:pStyle w:val="Heading3"/>
        <w:rPr>
          <w:noProof w:val="0"/>
          <w:lang w:val="en-US"/>
        </w:rPr>
      </w:pPr>
      <w:bookmarkStart w:name="_Toc908098974" w:id="2009984212"/>
      <w:r w:rsidRPr="129CD36F" w:rsidR="38B9F90A">
        <w:rPr>
          <w:noProof w:val="0"/>
          <w:lang w:val="en-US"/>
        </w:rPr>
        <w:t>3.3 Digital exclusion, accessibility and fairness</w:t>
      </w:r>
      <w:bookmarkEnd w:id="2009984212"/>
    </w:p>
    <w:p w:rsidR="5C609C4B" w:rsidP="129CD36F" w:rsidRDefault="5C609C4B" w14:paraId="5B00E377" w14:textId="4A21FBE1">
      <w:pPr>
        <w:pStyle w:val="Normal"/>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An app-led approach can improve convenience for some users while creating </w:t>
      </w:r>
      <w:r w:rsidRPr="129CD36F" w:rsidR="5C609C4B">
        <w:rPr>
          <w:rFonts w:ascii="Arial" w:hAnsi="Arial" w:eastAsia="Arial" w:cs="Arial"/>
          <w:noProof w:val="0"/>
          <w:sz w:val="22"/>
          <w:szCs w:val="22"/>
          <w:lang w:val="en-US"/>
        </w:rPr>
        <w:t>additional</w:t>
      </w:r>
      <w:r w:rsidRPr="129CD36F" w:rsidR="5C609C4B">
        <w:rPr>
          <w:rFonts w:ascii="Arial" w:hAnsi="Arial" w:eastAsia="Arial" w:cs="Arial"/>
          <w:noProof w:val="0"/>
          <w:sz w:val="22"/>
          <w:szCs w:val="22"/>
          <w:lang w:val="en-US"/>
        </w:rPr>
        <w:t xml:space="preserve"> barriers for others, so equity must be treated as a core measure of success. The House of Commons Health and Social Care Committee </w:t>
      </w:r>
      <w:r w:rsidRPr="129CD36F" w:rsidR="6E5B8657">
        <w:rPr>
          <w:rFonts w:ascii="Arial" w:hAnsi="Arial" w:eastAsia="Arial" w:cs="Arial"/>
          <w:noProof w:val="0"/>
          <w:sz w:val="22"/>
          <w:szCs w:val="22"/>
          <w:lang w:val="en-US"/>
        </w:rPr>
        <w:t xml:space="preserve">(UK Parliament, 2022) </w:t>
      </w:r>
      <w:r w:rsidRPr="129CD36F" w:rsidR="5C609C4B">
        <w:rPr>
          <w:rFonts w:ascii="Arial" w:hAnsi="Arial" w:eastAsia="Arial" w:cs="Arial"/>
          <w:noProof w:val="0"/>
          <w:sz w:val="22"/>
          <w:szCs w:val="22"/>
          <w:lang w:val="en-US"/>
        </w:rPr>
        <w:t>warned about uneven digital foundations and exclusion, while Kc et al. (2024) examined differences in use across sociodemographic groups. NHS England (2023a) recommends inclusive design, support with devices and skills, and continued non-digital routes; The King's Fund (2023) similarly argues that digital and in-person services should work together. The latter's large practice-level dataset strengthens the analysis of distribution, but cannot fully capture individual reasons for non-use, digital confidence or the experience of people who never register.</w:t>
      </w:r>
    </w:p>
    <w:p w:rsidR="5C609C4B" w:rsidP="129CD36F" w:rsidRDefault="5C609C4B" w14:paraId="6FE9C22D" w14:textId="4CC436B0">
      <w:pPr>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Reidy et al. (2025) also identified digital inclusion as a challenge during rollout. NHS England (2023b) advises </w:t>
      </w:r>
      <w:r w:rsidRPr="129CD36F" w:rsidR="5C609C4B">
        <w:rPr>
          <w:rFonts w:ascii="Arial" w:hAnsi="Arial" w:eastAsia="Arial" w:cs="Arial"/>
          <w:noProof w:val="0"/>
          <w:sz w:val="22"/>
          <w:szCs w:val="22"/>
          <w:lang w:val="en-US"/>
        </w:rPr>
        <w:t>general practices</w:t>
      </w:r>
      <w:r w:rsidRPr="129CD36F" w:rsidR="5C609C4B">
        <w:rPr>
          <w:rFonts w:ascii="Arial" w:hAnsi="Arial" w:eastAsia="Arial" w:cs="Arial"/>
          <w:noProof w:val="0"/>
          <w:sz w:val="22"/>
          <w:szCs w:val="22"/>
          <w:lang w:val="en-US"/>
        </w:rPr>
        <w:t xml:space="preserve"> to take practical steps to support people who face digital barriers; NHS England (2024b) also describes library-based support for people using the app. These findings qualify the assumption that a nationally available app is equally accessible to all. Barriers can include limited connectivity, device access, disability, language, low </w:t>
      </w:r>
      <w:r w:rsidRPr="129CD36F" w:rsidR="5C609C4B">
        <w:rPr>
          <w:rFonts w:ascii="Arial" w:hAnsi="Arial" w:eastAsia="Arial" w:cs="Arial"/>
          <w:noProof w:val="0"/>
          <w:sz w:val="22"/>
          <w:szCs w:val="22"/>
          <w:lang w:val="en-US"/>
        </w:rPr>
        <w:t>confidence</w:t>
      </w:r>
      <w:r w:rsidRPr="129CD36F" w:rsidR="5C609C4B">
        <w:rPr>
          <w:rFonts w:ascii="Arial" w:hAnsi="Arial" w:eastAsia="Arial" w:cs="Arial"/>
          <w:noProof w:val="0"/>
          <w:sz w:val="22"/>
          <w:szCs w:val="22"/>
          <w:lang w:val="en-US"/>
        </w:rPr>
        <w:t xml:space="preserve"> or difficulty interpreting health information; they may </w:t>
      </w:r>
      <w:r w:rsidRPr="129CD36F" w:rsidR="0B2684C4">
        <w:rPr>
          <w:rFonts w:ascii="Arial" w:hAnsi="Arial" w:eastAsia="Arial" w:cs="Arial"/>
          <w:noProof w:val="0"/>
          <w:sz w:val="22"/>
          <w:szCs w:val="22"/>
          <w:lang w:val="en-US"/>
        </w:rPr>
        <w:t>overlap</w:t>
      </w:r>
      <w:r w:rsidRPr="129CD36F" w:rsidR="5C609C4B">
        <w:rPr>
          <w:rFonts w:ascii="Arial" w:hAnsi="Arial" w:eastAsia="Arial" w:cs="Arial"/>
          <w:noProof w:val="0"/>
          <w:sz w:val="22"/>
          <w:szCs w:val="22"/>
          <w:lang w:val="en-US"/>
        </w:rPr>
        <w:t xml:space="preserve"> wider social </w:t>
      </w:r>
      <w:r w:rsidRPr="129CD36F" w:rsidR="5C609C4B">
        <w:rPr>
          <w:rFonts w:ascii="Arial" w:hAnsi="Arial" w:eastAsia="Arial" w:cs="Arial"/>
          <w:noProof w:val="0"/>
          <w:sz w:val="22"/>
          <w:szCs w:val="22"/>
          <w:lang w:val="en-US"/>
        </w:rPr>
        <w:t>disadvantage</w:t>
      </w:r>
      <w:r w:rsidRPr="129CD36F" w:rsidR="70F72375">
        <w:rPr>
          <w:rFonts w:ascii="Arial" w:hAnsi="Arial" w:eastAsia="Arial" w:cs="Arial"/>
          <w:noProof w:val="0"/>
          <w:sz w:val="22"/>
          <w:szCs w:val="22"/>
          <w:lang w:val="en-US"/>
        </w:rPr>
        <w:t>s</w:t>
      </w:r>
      <w:r w:rsidRPr="129CD36F" w:rsidR="5C609C4B">
        <w:rPr>
          <w:rFonts w:ascii="Arial" w:hAnsi="Arial" w:eastAsia="Arial" w:cs="Arial"/>
          <w:noProof w:val="0"/>
          <w:sz w:val="22"/>
          <w:szCs w:val="22"/>
          <w:lang w:val="en-US"/>
        </w:rPr>
        <w:t>. However, age alone should not be used as a proxy for digital ability, and the evidence does not justify assuming that all members of any group are unable to use the app.</w:t>
      </w:r>
    </w:p>
    <w:p w:rsidR="5C609C4B" w:rsidP="129CD36F" w:rsidRDefault="5C609C4B" w14:paraId="3212463A" w14:textId="54F48F5D">
      <w:pPr>
        <w:spacing w:before="0" w:beforeAutospacing="off" w:after="120" w:afterAutospacing="off" w:line="360" w:lineRule="auto"/>
        <w:jc w:val="both"/>
      </w:pPr>
      <w:r w:rsidRPr="129CD36F" w:rsidR="5C609C4B">
        <w:rPr>
          <w:rFonts w:ascii="Arial" w:hAnsi="Arial" w:eastAsia="Arial" w:cs="Arial"/>
          <w:noProof w:val="0"/>
          <w:sz w:val="22"/>
          <w:szCs w:val="22"/>
          <w:lang w:val="en-US"/>
        </w:rPr>
        <w:t>Patient Information Forum (2024), reporting a Digital Coalition survey of more than 600 people across England, found that respondents valued the app but also identified barriers involving access, accessibility of information, inconsistent services and digital skills. This provides useful patient-facing evidence alongside the practice-level analysis by Kc et al. (2024). However, the survey summary does not provide enough methodological detail to establish how representative respondents were of the wider population, so its findings should be treated as indicative rather than nationally representative.</w:t>
      </w:r>
    </w:p>
    <w:p w:rsidR="5C609C4B" w:rsidP="129CD36F" w:rsidRDefault="5C609C4B" w14:paraId="4AA4B78C" w14:textId="2ED9C6A1">
      <w:pPr>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Laverty et al. (2026) similarly argue that inequalities should be central to the future development of the NHS App. As a commentary rather than a new empirical study, their article helps interpret the implications of existing evidence but should not be treated as independent proof of the size of inequalities. Together, these sources support targeted </w:t>
      </w:r>
      <w:r w:rsidRPr="129CD36F" w:rsidR="5C609C4B">
        <w:rPr>
          <w:rFonts w:ascii="Arial" w:hAnsi="Arial" w:eastAsia="Arial" w:cs="Arial"/>
          <w:noProof w:val="0"/>
          <w:sz w:val="22"/>
          <w:szCs w:val="22"/>
          <w:lang w:val="en-US"/>
        </w:rPr>
        <w:t>assistance</w:t>
      </w:r>
      <w:r w:rsidRPr="129CD36F" w:rsidR="5C609C4B">
        <w:rPr>
          <w:rFonts w:ascii="Arial" w:hAnsi="Arial" w:eastAsia="Arial" w:cs="Arial"/>
          <w:noProof w:val="0"/>
          <w:sz w:val="22"/>
          <w:szCs w:val="22"/>
          <w:lang w:val="en-US"/>
        </w:rPr>
        <w:t xml:space="preserve">, accessible </w:t>
      </w:r>
      <w:r w:rsidRPr="129CD36F" w:rsidR="1B4B2FD9">
        <w:rPr>
          <w:rFonts w:ascii="Arial" w:hAnsi="Arial" w:eastAsia="Arial" w:cs="Arial"/>
          <w:noProof w:val="0"/>
          <w:sz w:val="22"/>
          <w:szCs w:val="22"/>
          <w:lang w:val="en-US"/>
        </w:rPr>
        <w:t>information,</w:t>
      </w:r>
      <w:r w:rsidRPr="129CD36F" w:rsidR="5C609C4B">
        <w:rPr>
          <w:rFonts w:ascii="Arial" w:hAnsi="Arial" w:eastAsia="Arial" w:cs="Arial"/>
          <w:noProof w:val="0"/>
          <w:sz w:val="22"/>
          <w:szCs w:val="22"/>
          <w:lang w:val="en-US"/>
        </w:rPr>
        <w:t xml:space="preserve"> and continued telephone and face-to-face options.</w:t>
      </w:r>
    </w:p>
    <w:p w:rsidR="5C609C4B" w:rsidP="129CD36F" w:rsidRDefault="5C609C4B" w14:paraId="4A1139DF" w14:textId="1FDDA144">
      <w:pPr>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The </w:t>
      </w:r>
      <w:r w:rsidRPr="129CD36F" w:rsidR="5C609C4B">
        <w:rPr>
          <w:rFonts w:ascii="Arial" w:hAnsi="Arial" w:eastAsia="Arial" w:cs="Arial"/>
          <w:noProof w:val="0"/>
          <w:sz w:val="22"/>
          <w:szCs w:val="22"/>
          <w:lang w:val="en-US"/>
        </w:rPr>
        <w:t>appropriate response</w:t>
      </w:r>
      <w:r w:rsidRPr="129CD36F" w:rsidR="5C609C4B">
        <w:rPr>
          <w:rFonts w:ascii="Arial" w:hAnsi="Arial" w:eastAsia="Arial" w:cs="Arial"/>
          <w:noProof w:val="0"/>
          <w:sz w:val="22"/>
          <w:szCs w:val="22"/>
          <w:lang w:val="en-US"/>
        </w:rPr>
        <w:t xml:space="preserve"> is a choice of channels rather than compulsory digital use. Clear accessible design, community-based </w:t>
      </w:r>
      <w:r w:rsidRPr="129CD36F" w:rsidR="1054E568">
        <w:rPr>
          <w:rFonts w:ascii="Arial" w:hAnsi="Arial" w:eastAsia="Arial" w:cs="Arial"/>
          <w:noProof w:val="0"/>
          <w:sz w:val="22"/>
          <w:szCs w:val="22"/>
          <w:lang w:val="en-US"/>
        </w:rPr>
        <w:t>support,</w:t>
      </w:r>
      <w:r w:rsidRPr="129CD36F" w:rsidR="5C609C4B">
        <w:rPr>
          <w:rFonts w:ascii="Arial" w:hAnsi="Arial" w:eastAsia="Arial" w:cs="Arial"/>
          <w:noProof w:val="0"/>
          <w:sz w:val="22"/>
          <w:szCs w:val="22"/>
          <w:lang w:val="en-US"/>
        </w:rPr>
        <w:t xml:space="preserve"> and staff </w:t>
      </w:r>
      <w:r w:rsidRPr="129CD36F" w:rsidR="5C609C4B">
        <w:rPr>
          <w:rFonts w:ascii="Arial" w:hAnsi="Arial" w:eastAsia="Arial" w:cs="Arial"/>
          <w:noProof w:val="0"/>
          <w:sz w:val="22"/>
          <w:szCs w:val="22"/>
          <w:lang w:val="en-US"/>
        </w:rPr>
        <w:t>assistance</w:t>
      </w:r>
      <w:r w:rsidRPr="129CD36F" w:rsidR="5C609C4B">
        <w:rPr>
          <w:rFonts w:ascii="Arial" w:hAnsi="Arial" w:eastAsia="Arial" w:cs="Arial"/>
          <w:noProof w:val="0"/>
          <w:sz w:val="22"/>
          <w:szCs w:val="22"/>
          <w:lang w:val="en-US"/>
        </w:rPr>
        <w:t xml:space="preserve"> can help people who want to use the app, while telephone and face-to-face routes </w:t>
      </w:r>
      <w:r w:rsidRPr="129CD36F" w:rsidR="5C609C4B">
        <w:rPr>
          <w:rFonts w:ascii="Arial" w:hAnsi="Arial" w:eastAsia="Arial" w:cs="Arial"/>
          <w:noProof w:val="0"/>
          <w:sz w:val="22"/>
          <w:szCs w:val="22"/>
          <w:lang w:val="en-US"/>
        </w:rPr>
        <w:t>remain</w:t>
      </w:r>
      <w:r w:rsidRPr="129CD36F" w:rsidR="5C609C4B">
        <w:rPr>
          <w:rFonts w:ascii="Arial" w:hAnsi="Arial" w:eastAsia="Arial" w:cs="Arial"/>
          <w:noProof w:val="0"/>
          <w:sz w:val="22"/>
          <w:szCs w:val="22"/>
          <w:lang w:val="en-US"/>
        </w:rPr>
        <w:t xml:space="preserve"> available for those who need or prefer them. </w:t>
      </w:r>
      <w:r w:rsidRPr="129CD36F" w:rsidR="5C609C4B">
        <w:rPr>
          <w:rFonts w:ascii="Arial" w:hAnsi="Arial" w:eastAsia="Arial" w:cs="Arial"/>
          <w:noProof w:val="0"/>
          <w:sz w:val="22"/>
          <w:szCs w:val="22"/>
          <w:lang w:val="en-US"/>
        </w:rPr>
        <w:t>Maintaining</w:t>
      </w:r>
      <w:r w:rsidRPr="129CD36F" w:rsidR="5C609C4B">
        <w:rPr>
          <w:rFonts w:ascii="Arial" w:hAnsi="Arial" w:eastAsia="Arial" w:cs="Arial"/>
          <w:noProof w:val="0"/>
          <w:sz w:val="22"/>
          <w:szCs w:val="22"/>
          <w:lang w:val="en-US"/>
        </w:rPr>
        <w:t xml:space="preserve"> alternatives may appear less efficient in the short </w:t>
      </w:r>
      <w:r w:rsidRPr="129CD36F" w:rsidR="27144F92">
        <w:rPr>
          <w:rFonts w:ascii="Arial" w:hAnsi="Arial" w:eastAsia="Arial" w:cs="Arial"/>
          <w:noProof w:val="0"/>
          <w:sz w:val="22"/>
          <w:szCs w:val="22"/>
          <w:lang w:val="en-US"/>
        </w:rPr>
        <w:t>term but</w:t>
      </w:r>
      <w:r w:rsidRPr="129CD36F" w:rsidR="5C609C4B">
        <w:rPr>
          <w:rFonts w:ascii="Arial" w:hAnsi="Arial" w:eastAsia="Arial" w:cs="Arial"/>
          <w:noProof w:val="0"/>
          <w:sz w:val="22"/>
          <w:szCs w:val="22"/>
          <w:lang w:val="en-US"/>
        </w:rPr>
        <w:t xml:space="preserve"> removing </w:t>
      </w:r>
      <w:r w:rsidRPr="129CD36F" w:rsidR="5C609C4B">
        <w:rPr>
          <w:rFonts w:ascii="Arial" w:hAnsi="Arial" w:eastAsia="Arial" w:cs="Arial"/>
          <w:noProof w:val="0"/>
          <w:sz w:val="22"/>
          <w:szCs w:val="22"/>
          <w:lang w:val="en-US"/>
        </w:rPr>
        <w:t>them risks</w:t>
      </w:r>
      <w:r w:rsidRPr="129CD36F" w:rsidR="5C609C4B">
        <w:rPr>
          <w:rFonts w:ascii="Arial" w:hAnsi="Arial" w:eastAsia="Arial" w:cs="Arial"/>
          <w:noProof w:val="0"/>
          <w:sz w:val="22"/>
          <w:szCs w:val="22"/>
          <w:lang w:val="en-US"/>
        </w:rPr>
        <w:t xml:space="preserve"> transferring administrative savings into greater barriers and potentially delayed care. Equity should be evaluated by comparing successful task completion and service outcomes across groups, not merely by counting registrations.</w:t>
      </w:r>
    </w:p>
    <w:p w:rsidR="3F69F5D3" w:rsidP="129CD36F" w:rsidRDefault="3F69F5D3" w14:paraId="4155942D" w14:textId="6FAB4F40">
      <w:pPr>
        <w:pStyle w:val="Heading3"/>
        <w:rPr>
          <w:noProof w:val="0"/>
          <w:lang w:val="en-US"/>
        </w:rPr>
      </w:pPr>
      <w:bookmarkStart w:name="_Toc1929688014" w:id="1291810327"/>
      <w:r w:rsidRPr="129CD36F" w:rsidR="3F69F5D3">
        <w:rPr>
          <w:noProof w:val="0"/>
          <w:lang w:val="en-US"/>
        </w:rPr>
        <w:t>3.4 Privacy, trust and information governance</w:t>
      </w:r>
      <w:bookmarkEnd w:id="1291810327"/>
    </w:p>
    <w:p w:rsidR="5C609C4B" w:rsidP="129CD36F" w:rsidRDefault="5C609C4B" w14:paraId="1A14F527" w14:textId="0CA36F89">
      <w:pPr>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Because the app provides access to sensitive health information, convenience must be balanced with confidentiality, informed </w:t>
      </w:r>
      <w:r w:rsidRPr="129CD36F" w:rsidR="2F62BB5D">
        <w:rPr>
          <w:rFonts w:ascii="Arial" w:hAnsi="Arial" w:eastAsia="Arial" w:cs="Arial"/>
          <w:noProof w:val="0"/>
          <w:sz w:val="22"/>
          <w:szCs w:val="22"/>
          <w:lang w:val="en-US"/>
        </w:rPr>
        <w:t>use,</w:t>
      </w:r>
      <w:r w:rsidRPr="129CD36F" w:rsidR="5C609C4B">
        <w:rPr>
          <w:rFonts w:ascii="Arial" w:hAnsi="Arial" w:eastAsia="Arial" w:cs="Arial"/>
          <w:noProof w:val="0"/>
          <w:sz w:val="22"/>
          <w:szCs w:val="22"/>
          <w:lang w:val="en-US"/>
        </w:rPr>
        <w:t xml:space="preserve"> and secure access. The Data Protection Act 2018 </w:t>
      </w:r>
      <w:r w:rsidRPr="129CD36F" w:rsidR="5C609C4B">
        <w:rPr>
          <w:rFonts w:ascii="Arial" w:hAnsi="Arial" w:eastAsia="Arial" w:cs="Arial"/>
          <w:noProof w:val="0"/>
          <w:sz w:val="22"/>
          <w:szCs w:val="22"/>
          <w:lang w:val="en-US"/>
        </w:rPr>
        <w:t>establishes</w:t>
      </w:r>
      <w:r w:rsidRPr="129CD36F" w:rsidR="5C609C4B">
        <w:rPr>
          <w:rFonts w:ascii="Arial" w:hAnsi="Arial" w:eastAsia="Arial" w:cs="Arial"/>
          <w:noProof w:val="0"/>
          <w:sz w:val="22"/>
          <w:szCs w:val="22"/>
          <w:lang w:val="en-US"/>
        </w:rPr>
        <w:t xml:space="preserve"> legal requirements for processing personal data, including health information (UK Government, 2018). The Caldicott Principles also </w:t>
      </w:r>
      <w:r w:rsidRPr="129CD36F" w:rsidR="5C609C4B">
        <w:rPr>
          <w:rFonts w:ascii="Arial" w:hAnsi="Arial" w:eastAsia="Arial" w:cs="Arial"/>
          <w:noProof w:val="0"/>
          <w:sz w:val="22"/>
          <w:szCs w:val="22"/>
          <w:lang w:val="en-US"/>
        </w:rPr>
        <w:t>emphasise</w:t>
      </w:r>
      <w:r w:rsidRPr="129CD36F" w:rsidR="5C609C4B">
        <w:rPr>
          <w:rFonts w:ascii="Arial" w:hAnsi="Arial" w:eastAsia="Arial" w:cs="Arial"/>
          <w:noProof w:val="0"/>
          <w:sz w:val="22"/>
          <w:szCs w:val="22"/>
          <w:lang w:val="en-US"/>
        </w:rPr>
        <w:t xml:space="preserve"> the need to protect confidential information while enabling </w:t>
      </w:r>
      <w:r w:rsidRPr="129CD36F" w:rsidR="5C609C4B">
        <w:rPr>
          <w:rFonts w:ascii="Arial" w:hAnsi="Arial" w:eastAsia="Arial" w:cs="Arial"/>
          <w:noProof w:val="0"/>
          <w:sz w:val="22"/>
          <w:szCs w:val="22"/>
          <w:lang w:val="en-US"/>
        </w:rPr>
        <w:t>appropriate information</w:t>
      </w:r>
      <w:r w:rsidRPr="129CD36F" w:rsidR="5C609C4B">
        <w:rPr>
          <w:rFonts w:ascii="Arial" w:hAnsi="Arial" w:eastAsia="Arial" w:cs="Arial"/>
          <w:noProof w:val="0"/>
          <w:sz w:val="22"/>
          <w:szCs w:val="22"/>
          <w:lang w:val="en-US"/>
        </w:rPr>
        <w:t xml:space="preserve"> sharing (National Data Guardian, 2020). These safeguards are essential, but compliance alone does not guarantee that every user understands the information displayed or feels confident using digital access.</w:t>
      </w:r>
    </w:p>
    <w:p w:rsidR="5C609C4B" w:rsidP="129CD36F" w:rsidRDefault="5C609C4B" w14:paraId="6ABAAB55" w14:textId="3AB72D9F">
      <w:pPr>
        <w:spacing w:before="0" w:beforeAutospacing="off" w:after="120" w:afterAutospacing="off" w:line="360" w:lineRule="auto"/>
        <w:jc w:val="both"/>
      </w:pPr>
      <w:r w:rsidRPr="129CD36F" w:rsidR="5C609C4B">
        <w:rPr>
          <w:rFonts w:ascii="Arial" w:hAnsi="Arial" w:eastAsia="Arial" w:cs="Arial"/>
          <w:noProof w:val="0"/>
          <w:sz w:val="22"/>
          <w:szCs w:val="22"/>
          <w:lang w:val="en-US"/>
        </w:rPr>
        <w:t xml:space="preserve">Access to records may help patients prepare for consultations and </w:t>
      </w:r>
      <w:r w:rsidRPr="129CD36F" w:rsidR="5C609C4B">
        <w:rPr>
          <w:rFonts w:ascii="Arial" w:hAnsi="Arial" w:eastAsia="Arial" w:cs="Arial"/>
          <w:noProof w:val="0"/>
          <w:sz w:val="22"/>
          <w:szCs w:val="22"/>
          <w:lang w:val="en-US"/>
        </w:rPr>
        <w:t>participate</w:t>
      </w:r>
      <w:r w:rsidRPr="129CD36F" w:rsidR="5C609C4B">
        <w:rPr>
          <w:rFonts w:ascii="Arial" w:hAnsi="Arial" w:eastAsia="Arial" w:cs="Arial"/>
          <w:noProof w:val="0"/>
          <w:sz w:val="22"/>
          <w:szCs w:val="22"/>
          <w:lang w:val="en-US"/>
        </w:rPr>
        <w:t xml:space="preserve"> in decisions; conversely, clinical codes or incomplete context can cause confusion. Reidy et al. (2025) documented concerns and variation around record access and information presentation, </w:t>
      </w:r>
      <w:r w:rsidRPr="129CD36F" w:rsidR="5C609C4B">
        <w:rPr>
          <w:rFonts w:ascii="Arial" w:hAnsi="Arial" w:eastAsia="Arial" w:cs="Arial"/>
          <w:noProof w:val="0"/>
          <w:sz w:val="22"/>
          <w:szCs w:val="22"/>
          <w:lang w:val="en-US"/>
        </w:rPr>
        <w:t>demonstrating</w:t>
      </w:r>
      <w:r w:rsidRPr="129CD36F" w:rsidR="5C609C4B">
        <w:rPr>
          <w:rFonts w:ascii="Arial" w:hAnsi="Arial" w:eastAsia="Arial" w:cs="Arial"/>
          <w:noProof w:val="0"/>
          <w:sz w:val="22"/>
          <w:szCs w:val="22"/>
          <w:lang w:val="en-US"/>
        </w:rPr>
        <w:t xml:space="preserve"> that transparency can be beneficial while still requiring careful implementation. This qualitative finding should not be misrepresented as evidence that the app is </w:t>
      </w:r>
      <w:r w:rsidRPr="129CD36F" w:rsidR="5C609C4B">
        <w:rPr>
          <w:rFonts w:ascii="Arial" w:hAnsi="Arial" w:eastAsia="Arial" w:cs="Arial"/>
          <w:noProof w:val="0"/>
          <w:sz w:val="22"/>
          <w:szCs w:val="22"/>
          <w:lang w:val="en-US"/>
        </w:rPr>
        <w:t>generally unsafe</w:t>
      </w:r>
      <w:r w:rsidRPr="129CD36F" w:rsidR="5C609C4B">
        <w:rPr>
          <w:rFonts w:ascii="Arial" w:hAnsi="Arial" w:eastAsia="Arial" w:cs="Arial"/>
          <w:noProof w:val="0"/>
          <w:sz w:val="22"/>
          <w:szCs w:val="22"/>
          <w:lang w:val="en-US"/>
        </w:rPr>
        <w:t xml:space="preserve">. Instead, services should provide clear explanations, </w:t>
      </w:r>
      <w:r w:rsidRPr="129CD36F" w:rsidR="5C609C4B">
        <w:rPr>
          <w:rFonts w:ascii="Arial" w:hAnsi="Arial" w:eastAsia="Arial" w:cs="Arial"/>
          <w:noProof w:val="0"/>
          <w:sz w:val="22"/>
          <w:szCs w:val="22"/>
          <w:lang w:val="en-US"/>
        </w:rPr>
        <w:t>appropriate identity</w:t>
      </w:r>
      <w:r w:rsidRPr="129CD36F" w:rsidR="5C609C4B">
        <w:rPr>
          <w:rFonts w:ascii="Arial" w:hAnsi="Arial" w:eastAsia="Arial" w:cs="Arial"/>
          <w:noProof w:val="0"/>
          <w:sz w:val="22"/>
          <w:szCs w:val="22"/>
          <w:lang w:val="en-US"/>
        </w:rPr>
        <w:t xml:space="preserve"> and access controls, accessible </w:t>
      </w:r>
      <w:r w:rsidRPr="129CD36F" w:rsidR="7A3B536D">
        <w:rPr>
          <w:rFonts w:ascii="Arial" w:hAnsi="Arial" w:eastAsia="Arial" w:cs="Arial"/>
          <w:noProof w:val="0"/>
          <w:sz w:val="22"/>
          <w:szCs w:val="22"/>
          <w:lang w:val="en-US"/>
        </w:rPr>
        <w:t>support,</w:t>
      </w:r>
      <w:r w:rsidRPr="129CD36F" w:rsidR="5C609C4B">
        <w:rPr>
          <w:rFonts w:ascii="Arial" w:hAnsi="Arial" w:eastAsia="Arial" w:cs="Arial"/>
          <w:noProof w:val="0"/>
          <w:sz w:val="22"/>
          <w:szCs w:val="22"/>
          <w:lang w:val="en-US"/>
        </w:rPr>
        <w:t xml:space="preserve"> and routes for reporting errors. Trust depends on both technical security and the quality of information and </w:t>
      </w:r>
      <w:r w:rsidRPr="129CD36F" w:rsidR="5C609C4B">
        <w:rPr>
          <w:rFonts w:ascii="Arial" w:hAnsi="Arial" w:eastAsia="Arial" w:cs="Arial"/>
          <w:noProof w:val="0"/>
          <w:sz w:val="22"/>
          <w:szCs w:val="22"/>
          <w:lang w:val="en-US"/>
        </w:rPr>
        <w:t>assistance</w:t>
      </w:r>
      <w:r w:rsidRPr="129CD36F" w:rsidR="5C609C4B">
        <w:rPr>
          <w:rFonts w:ascii="Arial" w:hAnsi="Arial" w:eastAsia="Arial" w:cs="Arial"/>
          <w:noProof w:val="0"/>
          <w:sz w:val="22"/>
          <w:szCs w:val="22"/>
          <w:lang w:val="en-US"/>
        </w:rPr>
        <w:t xml:space="preserve"> surrounding the technology.</w:t>
      </w:r>
    </w:p>
    <w:p w:rsidRPr="008C675A" w:rsidR="008C0ECF" w:rsidP="008C675A" w:rsidRDefault="008C0ECF" w14:paraId="5F3D1562" w14:textId="77777777">
      <w:pPr>
        <w:pStyle w:val="Heading2"/>
        <w:jc w:val="both"/>
        <w:rPr>
          <w:u w:val="none"/>
        </w:rPr>
      </w:pPr>
      <w:bookmarkStart w:name="_Toc1955758483" w:id="386981949"/>
      <w:r w:rsidR="008C0ECF">
        <w:rPr>
          <w:u w:val="none"/>
        </w:rPr>
        <w:t>4. Conclusion and recommendations</w:t>
      </w:r>
      <w:bookmarkEnd w:id="386981949"/>
    </w:p>
    <w:p w:rsidRPr="008309A0" w:rsidR="008309A0" w:rsidP="008C675A" w:rsidRDefault="008309A0" w14:paraId="500D891F" w14:textId="0B85D637">
      <w:pPr>
        <w:spacing w:line="360" w:lineRule="auto"/>
        <w:jc w:val="both"/>
        <w:rPr>
          <w:rFonts w:ascii="Arial" w:hAnsi="Arial" w:cs="Arial"/>
          <w:sz w:val="22"/>
          <w:szCs w:val="22"/>
          <w:lang w:val="en-US"/>
        </w:rPr>
      </w:pPr>
      <w:r w:rsidRPr="129CD36F" w:rsidR="008309A0">
        <w:rPr>
          <w:rFonts w:ascii="Arial" w:hAnsi="Arial" w:cs="Arial"/>
          <w:sz w:val="22"/>
          <w:szCs w:val="22"/>
          <w:lang w:val="en-US"/>
        </w:rPr>
        <w:t xml:space="preserve">The evidence supports a balanced judgement: the NHS App is an established and useful digital channel, but its success cannot be inferred from registration totals alone. Official data </w:t>
      </w:r>
      <w:r w:rsidRPr="129CD36F" w:rsidR="008309A0">
        <w:rPr>
          <w:rFonts w:ascii="Arial" w:hAnsi="Arial" w:cs="Arial"/>
          <w:sz w:val="22"/>
          <w:szCs w:val="22"/>
          <w:lang w:val="en-US"/>
        </w:rPr>
        <w:t>demonstrate</w:t>
      </w:r>
      <w:r w:rsidRPr="129CD36F" w:rsidR="008309A0">
        <w:rPr>
          <w:rFonts w:ascii="Arial" w:hAnsi="Arial" w:cs="Arial"/>
          <w:sz w:val="22"/>
          <w:szCs w:val="22"/>
          <w:lang w:val="en-US"/>
        </w:rPr>
        <w:t xml:space="preserve"> substantial use and estimated communication savings, while peer-reviewed studies show that adoption, local capacity, feature </w:t>
      </w:r>
      <w:r w:rsidRPr="129CD36F" w:rsidR="2F2FE6EB">
        <w:rPr>
          <w:rFonts w:ascii="Arial" w:hAnsi="Arial" w:cs="Arial"/>
          <w:sz w:val="22"/>
          <w:szCs w:val="22"/>
          <w:lang w:val="en-US"/>
        </w:rPr>
        <w:t>availability,</w:t>
      </w:r>
      <w:r w:rsidRPr="129CD36F" w:rsidR="008309A0">
        <w:rPr>
          <w:rFonts w:ascii="Arial" w:hAnsi="Arial" w:cs="Arial"/>
          <w:sz w:val="22"/>
          <w:szCs w:val="22"/>
          <w:lang w:val="en-US"/>
        </w:rPr>
        <w:t xml:space="preserve"> and user experience vary. The app may simplify selected tasks and redistribute administrative work, but the evidence does not justify claiming that it has consistently reduced total </w:t>
      </w:r>
      <w:r w:rsidRPr="129CD36F" w:rsidR="0245E9CF">
        <w:rPr>
          <w:rFonts w:ascii="Arial" w:hAnsi="Arial" w:cs="Arial"/>
          <w:sz w:val="22"/>
          <w:szCs w:val="22"/>
          <w:lang w:val="en-US"/>
        </w:rPr>
        <w:t>staff's</w:t>
      </w:r>
      <w:r w:rsidRPr="129CD36F" w:rsidR="008309A0">
        <w:rPr>
          <w:rFonts w:ascii="Arial" w:hAnsi="Arial" w:cs="Arial"/>
          <w:sz w:val="22"/>
          <w:szCs w:val="22"/>
          <w:lang w:val="en-US"/>
        </w:rPr>
        <w:t xml:space="preserve"> workload or improved clinical outcomes across England.</w:t>
      </w:r>
    </w:p>
    <w:p w:rsidR="0083405C" w:rsidP="008C675A" w:rsidRDefault="0083405C" w14:paraId="1B317C14" w14:textId="04D78065">
      <w:pPr>
        <w:spacing w:line="360" w:lineRule="auto"/>
        <w:jc w:val="both"/>
        <w:rPr>
          <w:rFonts w:ascii="Arial" w:hAnsi="Arial" w:cs="Arial"/>
          <w:sz w:val="22"/>
          <w:szCs w:val="22"/>
          <w:lang w:val="en-US"/>
        </w:rPr>
      </w:pPr>
      <w:r w:rsidRPr="129CD36F" w:rsidR="008309A0">
        <w:rPr>
          <w:rFonts w:ascii="Arial" w:hAnsi="Arial" w:cs="Arial"/>
          <w:sz w:val="22"/>
          <w:szCs w:val="22"/>
          <w:lang w:val="en-US"/>
        </w:rPr>
        <w:t xml:space="preserve">Three recommendations </w:t>
      </w:r>
      <w:r w:rsidRPr="129CD36F" w:rsidR="385A0359">
        <w:rPr>
          <w:rFonts w:ascii="Arial" w:hAnsi="Arial" w:cs="Arial"/>
          <w:sz w:val="22"/>
          <w:szCs w:val="22"/>
          <w:lang w:val="en-US"/>
        </w:rPr>
        <w:t>are followed</w:t>
      </w:r>
      <w:r w:rsidRPr="129CD36F" w:rsidR="008309A0">
        <w:rPr>
          <w:rFonts w:ascii="Arial" w:hAnsi="Arial" w:cs="Arial"/>
          <w:sz w:val="22"/>
          <w:szCs w:val="22"/>
          <w:lang w:val="en-US"/>
        </w:rPr>
        <w:t xml:space="preserve">. First, NHS </w:t>
      </w:r>
      <w:r w:rsidRPr="129CD36F" w:rsidR="008309A0">
        <w:rPr>
          <w:rFonts w:ascii="Arial" w:hAnsi="Arial" w:cs="Arial"/>
          <w:sz w:val="22"/>
          <w:szCs w:val="22"/>
          <w:lang w:val="en-US"/>
        </w:rPr>
        <w:t>organisations</w:t>
      </w:r>
      <w:r w:rsidRPr="129CD36F" w:rsidR="008309A0">
        <w:rPr>
          <w:rFonts w:ascii="Arial" w:hAnsi="Arial" w:cs="Arial"/>
          <w:sz w:val="22"/>
          <w:szCs w:val="22"/>
          <w:lang w:val="en-US"/>
        </w:rPr>
        <w:t xml:space="preserve"> should provide role-specific training, involve frontline staff in </w:t>
      </w:r>
      <w:r w:rsidRPr="129CD36F" w:rsidR="7D399974">
        <w:rPr>
          <w:rFonts w:ascii="Arial" w:hAnsi="Arial" w:cs="Arial"/>
          <w:sz w:val="22"/>
          <w:szCs w:val="22"/>
          <w:lang w:val="en-US"/>
        </w:rPr>
        <w:t>implementation,</w:t>
      </w:r>
      <w:r w:rsidRPr="129CD36F" w:rsidR="008309A0">
        <w:rPr>
          <w:rFonts w:ascii="Arial" w:hAnsi="Arial" w:cs="Arial"/>
          <w:sz w:val="22"/>
          <w:szCs w:val="22"/>
          <w:lang w:val="en-US"/>
        </w:rPr>
        <w:t xml:space="preserve"> and monitor whether digital tasks reduce or duplicate existing work. Second, evaluation should combine activity figures with total costs, staff time, appointment access, task completion, patient experience and outcomes, reported across relevant population groups. Third, digital access should complement rather than replace telephone and face-to-face care; accessibility support and clear information governance should be funded as core service requirements. The app's long-term value will depend on whether it is integrated into workable services and improves access fairly, not simply on whether more people download it.</w:t>
      </w:r>
    </w:p>
    <w:p w:rsidR="009B34BC" w:rsidP="008C675A" w:rsidRDefault="009B34BC" w14:paraId="3AE94454" w14:textId="77777777">
      <w:pPr>
        <w:pStyle w:val="Heading2"/>
        <w:jc w:val="both"/>
      </w:pPr>
      <w:bookmarkStart w:name="_Toc182860302" w:id="1234386184"/>
      <w:r w:rsidR="009B34BC">
        <w:rPr/>
        <w:t>References</w:t>
      </w:r>
      <w:bookmarkEnd w:id="1234386184"/>
    </w:p>
    <w:p w:rsidR="67518E46" w:rsidP="129CD36F" w:rsidRDefault="67518E46" w14:paraId="09B31A38" w14:textId="06CE5923">
      <w:pPr>
        <w:spacing w:before="0" w:beforeAutospacing="off" w:after="160" w:afterAutospacing="off" w:line="360" w:lineRule="auto"/>
        <w:jc w:val="both"/>
        <w:rPr>
          <w:rFonts w:ascii="Arial" w:hAnsi="Arial" w:eastAsia="Arial" w:cs="Arial"/>
          <w:noProof w:val="0"/>
          <w:sz w:val="22"/>
          <w:szCs w:val="22"/>
          <w:lang w:val="en-US"/>
        </w:rPr>
      </w:pPr>
      <w:r w:rsidRPr="129CD36F" w:rsidR="67518E46">
        <w:rPr>
          <w:rFonts w:ascii="Arial" w:hAnsi="Arial" w:eastAsia="Arial" w:cs="Arial"/>
          <w:noProof w:val="0"/>
          <w:sz w:val="22"/>
          <w:szCs w:val="22"/>
          <w:lang w:val="en-US"/>
        </w:rPr>
        <w:t xml:space="preserve">Department of Health and Social Care (2022). </w:t>
      </w:r>
      <w:r w:rsidRPr="129CD36F" w:rsidR="67518E46">
        <w:rPr>
          <w:rFonts w:ascii="Arial" w:hAnsi="Arial" w:eastAsia="Arial" w:cs="Arial"/>
          <w:i w:val="1"/>
          <w:iCs w:val="1"/>
          <w:noProof w:val="0"/>
          <w:sz w:val="22"/>
          <w:szCs w:val="22"/>
          <w:lang w:val="en-US"/>
        </w:rPr>
        <w:t xml:space="preserve">A plan for Digital Health and Social Care. </w:t>
      </w:r>
      <w:r w:rsidRPr="129CD36F" w:rsidR="67518E46">
        <w:rPr>
          <w:rFonts w:ascii="Arial" w:hAnsi="Arial" w:eastAsia="Arial" w:cs="Arial"/>
          <w:noProof w:val="0"/>
          <w:sz w:val="22"/>
          <w:szCs w:val="22"/>
          <w:lang w:val="en-US"/>
        </w:rPr>
        <w:t xml:space="preserve">[online] GOV.UK. Available at: </w:t>
      </w:r>
      <w:hyperlink r:id="R2aa2bcf3160e4a88">
        <w:r w:rsidRPr="129CD36F" w:rsidR="67518E46">
          <w:rPr>
            <w:rStyle w:val="Hyperlink"/>
            <w:rFonts w:ascii="Arial" w:hAnsi="Arial" w:eastAsia="Arial" w:cs="Arial"/>
            <w:strike w:val="0"/>
            <w:dstrike w:val="0"/>
            <w:noProof w:val="0"/>
            <w:color w:val="467886"/>
            <w:sz w:val="22"/>
            <w:szCs w:val="22"/>
            <w:u w:val="single"/>
            <w:lang w:val="en-US"/>
          </w:rPr>
          <w:t>https://www.gov.uk/government/publications/a-plan-for-digital-health-and-social-care/a-plan-for-digital-health-and-social-care</w:t>
        </w:r>
      </w:hyperlink>
      <w:r w:rsidRPr="129CD36F" w:rsidR="67518E46">
        <w:rPr>
          <w:rFonts w:ascii="Arial" w:hAnsi="Arial" w:eastAsia="Arial" w:cs="Arial"/>
          <w:noProof w:val="0"/>
          <w:sz w:val="22"/>
          <w:szCs w:val="22"/>
          <w:lang w:val="en-US"/>
        </w:rPr>
        <w:t xml:space="preserve"> </w:t>
      </w:r>
      <w:r w:rsidRPr="129CD36F" w:rsidR="07B65EE9">
        <w:rPr>
          <w:rFonts w:ascii="Arial" w:hAnsi="Arial" w:eastAsia="Arial" w:cs="Arial"/>
          <w:noProof w:val="0"/>
          <w:sz w:val="22"/>
          <w:szCs w:val="22"/>
          <w:lang w:val="en-US"/>
        </w:rPr>
        <w:t>(</w:t>
      </w:r>
      <w:r w:rsidRPr="129CD36F" w:rsidR="67518E46">
        <w:rPr>
          <w:rFonts w:ascii="Arial" w:hAnsi="Arial" w:eastAsia="Arial" w:cs="Arial"/>
          <w:noProof w:val="0"/>
          <w:sz w:val="22"/>
          <w:szCs w:val="22"/>
          <w:lang w:val="en-US"/>
        </w:rPr>
        <w:t>Accessed 6 Oct. 2026</w:t>
      </w:r>
      <w:r w:rsidRPr="129CD36F" w:rsidR="64F444B1">
        <w:rPr>
          <w:rFonts w:ascii="Arial" w:hAnsi="Arial" w:eastAsia="Arial" w:cs="Arial"/>
          <w:noProof w:val="0"/>
          <w:sz w:val="22"/>
          <w:szCs w:val="22"/>
          <w:lang w:val="en-US"/>
        </w:rPr>
        <w:t>)</w:t>
      </w:r>
      <w:r w:rsidRPr="129CD36F" w:rsidR="67518E46">
        <w:rPr>
          <w:rFonts w:ascii="Arial" w:hAnsi="Arial" w:eastAsia="Arial" w:cs="Arial"/>
          <w:noProof w:val="0"/>
          <w:sz w:val="22"/>
          <w:szCs w:val="22"/>
          <w:lang w:val="en-US"/>
        </w:rPr>
        <w:t>.</w:t>
      </w:r>
    </w:p>
    <w:p w:rsidR="0D19D6B2" w:rsidP="129CD36F" w:rsidRDefault="0D19D6B2" w14:paraId="61F6F322" w14:textId="259DF701">
      <w:pPr>
        <w:pStyle w:val="Normal"/>
        <w:spacing w:before="0" w:beforeAutospacing="off" w:after="160" w:afterAutospacing="off" w:line="360" w:lineRule="auto"/>
        <w:jc w:val="both"/>
        <w:rPr>
          <w:rFonts w:ascii="Arial" w:hAnsi="Arial" w:eastAsia="Arial" w:cs="Arial"/>
          <w:noProof w:val="0"/>
          <w:sz w:val="22"/>
          <w:szCs w:val="22"/>
          <w:lang w:val="en-US"/>
        </w:rPr>
      </w:pPr>
      <w:r w:rsidRPr="129CD36F" w:rsidR="0D19D6B2">
        <w:rPr>
          <w:rFonts w:ascii="Arial" w:hAnsi="Arial" w:eastAsia="Arial" w:cs="Arial"/>
          <w:noProof w:val="0"/>
          <w:sz w:val="22"/>
          <w:szCs w:val="22"/>
          <w:lang w:val="en-US"/>
        </w:rPr>
        <w:t xml:space="preserve">Greaves F, Papoutsi C, Kc S, Tewolde S, Reidy C, </w:t>
      </w:r>
      <w:r w:rsidRPr="129CD36F" w:rsidR="0D19D6B2">
        <w:rPr>
          <w:rFonts w:ascii="Arial" w:hAnsi="Arial" w:eastAsia="Arial" w:cs="Arial"/>
          <w:noProof w:val="0"/>
          <w:sz w:val="22"/>
          <w:szCs w:val="22"/>
          <w:lang w:val="en-US"/>
        </w:rPr>
        <w:t>Gudgin</w:t>
      </w:r>
      <w:r w:rsidRPr="129CD36F" w:rsidR="0D19D6B2">
        <w:rPr>
          <w:rFonts w:ascii="Arial" w:hAnsi="Arial" w:eastAsia="Arial" w:cs="Arial"/>
          <w:noProof w:val="0"/>
          <w:sz w:val="22"/>
          <w:szCs w:val="22"/>
          <w:lang w:val="en-US"/>
        </w:rPr>
        <w:t xml:space="preserve"> B, et al.</w:t>
      </w:r>
      <w:r w:rsidRPr="129CD36F" w:rsidR="0D19D6B2">
        <w:rPr>
          <w:rFonts w:ascii="Arial" w:hAnsi="Arial" w:eastAsia="Arial" w:cs="Arial"/>
          <w:i w:val="1"/>
          <w:iCs w:val="1"/>
          <w:noProof w:val="0"/>
          <w:sz w:val="22"/>
          <w:szCs w:val="22"/>
          <w:lang w:val="en-US"/>
        </w:rPr>
        <w:t xml:space="preserve"> Evaluating the national rollout of the NHS App in England using qualitative and quantitative methods. Health Soc Care Deliv Res</w:t>
      </w:r>
      <w:r w:rsidRPr="129CD36F" w:rsidR="0D19D6B2">
        <w:rPr>
          <w:rFonts w:ascii="Arial" w:hAnsi="Arial" w:eastAsia="Arial" w:cs="Arial"/>
          <w:noProof w:val="0"/>
          <w:sz w:val="22"/>
          <w:szCs w:val="22"/>
          <w:lang w:val="en-US"/>
        </w:rPr>
        <w:t xml:space="preserve"> 2026;14(15). </w:t>
      </w:r>
      <w:hyperlink r:id="R759477f722d440fd">
        <w:r w:rsidRPr="129CD36F" w:rsidR="0D19D6B2">
          <w:rPr>
            <w:rStyle w:val="Hyperlink"/>
            <w:strike w:val="0"/>
            <w:dstrike w:val="0"/>
            <w:noProof w:val="0"/>
            <w:color w:val="467886"/>
            <w:u w:val="single"/>
            <w:lang w:val="en-US"/>
          </w:rPr>
          <w:t>https://doi.org/10.3310/XYRV6485</w:t>
        </w:r>
      </w:hyperlink>
      <w:r w:rsidRPr="129CD36F" w:rsidR="3B61E291">
        <w:rPr>
          <w:strike w:val="0"/>
          <w:dstrike w:val="0"/>
          <w:noProof w:val="0"/>
          <w:color w:val="467886"/>
          <w:u w:val="single"/>
          <w:lang w:val="en-US"/>
        </w:rPr>
        <w:t xml:space="preserve">  </w:t>
      </w:r>
      <w:r w:rsidRPr="129CD36F" w:rsidR="3B61E291">
        <w:rPr>
          <w:rFonts w:ascii="Arial" w:hAnsi="Arial" w:eastAsia="Arial" w:cs="Arial"/>
          <w:noProof w:val="0"/>
          <w:sz w:val="22"/>
          <w:szCs w:val="22"/>
          <w:lang w:val="en-US"/>
        </w:rPr>
        <w:t>(Accessed 6 Oct. 2026).</w:t>
      </w:r>
    </w:p>
    <w:p w:rsidRPr="009912B4" w:rsidR="009912B4" w:rsidP="008C675A" w:rsidRDefault="009912B4" w14:paraId="53A65DDA" w14:textId="33246CC7">
      <w:pPr>
        <w:spacing w:line="360" w:lineRule="auto"/>
        <w:jc w:val="both"/>
        <w:rPr>
          <w:rFonts w:ascii="Arial" w:hAnsi="Arial" w:cs="Arial"/>
          <w:sz w:val="22"/>
          <w:szCs w:val="22"/>
          <w:lang w:val="en-US"/>
        </w:rPr>
      </w:pPr>
      <w:r w:rsidRPr="009912B4">
        <w:rPr>
          <w:rFonts w:ascii="Arial" w:hAnsi="Arial" w:cs="Arial"/>
          <w:sz w:val="22"/>
          <w:szCs w:val="22"/>
          <w:lang w:val="en-US"/>
        </w:rPr>
        <w:t>Kc, S., Tewolde, S., Laverty, A.A., Costelloe, C., Papoutsi, C., Reidy, C., Gudgin, B., Shenton, C., Majeed, A., Powell, J. and Greaves, F. (2023) ‘</w:t>
      </w:r>
      <w:r w:rsidRPr="009912B4">
        <w:rPr>
          <w:rFonts w:ascii="Arial" w:hAnsi="Arial" w:cs="Arial"/>
          <w:i/>
          <w:iCs/>
          <w:sz w:val="22"/>
          <w:szCs w:val="22"/>
          <w:lang w:val="en-US"/>
        </w:rPr>
        <w:t>Uptake and adoption of the NHS App in England: an observational study’</w:t>
      </w:r>
      <w:r w:rsidRPr="009912B4">
        <w:rPr>
          <w:rFonts w:ascii="Arial" w:hAnsi="Arial" w:cs="Arial"/>
          <w:sz w:val="22"/>
          <w:szCs w:val="22"/>
          <w:lang w:val="en-US"/>
        </w:rPr>
        <w:t xml:space="preserve">, </w:t>
      </w:r>
      <w:r w:rsidRPr="009912B4">
        <w:rPr>
          <w:rFonts w:ascii="Arial" w:hAnsi="Arial" w:cs="Arial"/>
          <w:i/>
          <w:sz w:val="22"/>
          <w:szCs w:val="22"/>
          <w:lang w:val="en-US"/>
        </w:rPr>
        <w:t>British Journal of General Practice</w:t>
      </w:r>
      <w:r w:rsidRPr="009912B4">
        <w:rPr>
          <w:rFonts w:ascii="Arial" w:hAnsi="Arial" w:cs="Arial"/>
          <w:sz w:val="22"/>
          <w:szCs w:val="22"/>
          <w:lang w:val="en-US"/>
        </w:rPr>
        <w:t xml:space="preserve">, 73(737), pp. e932–e940. Available at: </w:t>
      </w:r>
      <w:hyperlink w:history="1" r:id="rId13">
        <w:r w:rsidRPr="009912B4">
          <w:rPr>
            <w:rStyle w:val="Hyperlink"/>
            <w:rFonts w:ascii="Arial" w:hAnsi="Arial" w:cs="Arial"/>
            <w:sz w:val="22"/>
            <w:szCs w:val="22"/>
            <w:lang w:val="en-US"/>
          </w:rPr>
          <w:t>https://doi.org/10.3399/BJGP.2022.0150.</w:t>
        </w:r>
      </w:hyperlink>
    </w:p>
    <w:p w:rsidR="009912B4" w:rsidP="129CD36F" w:rsidRDefault="009912B4" w14:paraId="4852D586" w14:textId="1DE114D9">
      <w:pPr>
        <w:spacing w:before="0" w:beforeAutospacing="off" w:after="160" w:afterAutospacing="off" w:line="360" w:lineRule="auto"/>
        <w:jc w:val="both"/>
      </w:pPr>
      <w:r w:rsidRPr="129CD36F" w:rsidR="009912B4">
        <w:rPr>
          <w:rFonts w:ascii="Arial" w:hAnsi="Arial" w:cs="Arial"/>
          <w:sz w:val="22"/>
          <w:szCs w:val="22"/>
          <w:lang w:val="en-US"/>
        </w:rPr>
        <w:t xml:space="preserve">Kc, S., Papoutsi, C., Reidy, C., </w:t>
      </w:r>
      <w:r w:rsidRPr="129CD36F" w:rsidR="009912B4">
        <w:rPr>
          <w:rFonts w:ascii="Arial" w:hAnsi="Arial" w:cs="Arial"/>
          <w:sz w:val="22"/>
          <w:szCs w:val="22"/>
          <w:lang w:val="en-US"/>
        </w:rPr>
        <w:t>Gudgin</w:t>
      </w:r>
      <w:r w:rsidRPr="129CD36F" w:rsidR="009912B4">
        <w:rPr>
          <w:rFonts w:ascii="Arial" w:hAnsi="Arial" w:cs="Arial"/>
          <w:sz w:val="22"/>
          <w:szCs w:val="22"/>
          <w:lang w:val="en-US"/>
        </w:rPr>
        <w:t>, B., Powell, J., Majeed, A., Greaves, F. and Laverty, A.A. (2024) ‘</w:t>
      </w:r>
      <w:r w:rsidRPr="129CD36F" w:rsidR="009912B4">
        <w:rPr>
          <w:rFonts w:ascii="Arial" w:hAnsi="Arial" w:cs="Arial"/>
          <w:i w:val="1"/>
          <w:iCs w:val="1"/>
          <w:sz w:val="22"/>
          <w:szCs w:val="22"/>
          <w:lang w:val="en-US"/>
        </w:rPr>
        <w:t>Differences in use of a patient portal across sociodemographic groups: observational study of the NHS App in England</w:t>
      </w:r>
      <w:r w:rsidRPr="129CD36F" w:rsidR="009912B4">
        <w:rPr>
          <w:rFonts w:ascii="Arial" w:hAnsi="Arial" w:cs="Arial"/>
          <w:sz w:val="22"/>
          <w:szCs w:val="22"/>
          <w:lang w:val="en-US"/>
        </w:rPr>
        <w:t xml:space="preserve">’, </w:t>
      </w:r>
      <w:r w:rsidRPr="129CD36F" w:rsidR="009912B4">
        <w:rPr>
          <w:rFonts w:ascii="Arial" w:hAnsi="Arial" w:cs="Arial"/>
          <w:i w:val="1"/>
          <w:iCs w:val="1"/>
          <w:sz w:val="22"/>
          <w:szCs w:val="22"/>
          <w:lang w:val="en-US"/>
        </w:rPr>
        <w:t>Journal of Medical Internet Research</w:t>
      </w:r>
      <w:r w:rsidRPr="129CD36F" w:rsidR="009912B4">
        <w:rPr>
          <w:rFonts w:ascii="Arial" w:hAnsi="Arial" w:cs="Arial"/>
          <w:sz w:val="22"/>
          <w:szCs w:val="22"/>
          <w:lang w:val="en-US"/>
        </w:rPr>
        <w:t xml:space="preserve">, 26, e56320. Available at: </w:t>
      </w:r>
      <w:hyperlink r:id="Rab006cf3324c4706">
        <w:r w:rsidRPr="129CD36F" w:rsidR="16909730">
          <w:rPr>
            <w:rStyle w:val="Hyperlink"/>
            <w:strike w:val="0"/>
            <w:dstrike w:val="0"/>
            <w:noProof w:val="0"/>
            <w:color w:val="467886"/>
            <w:u w:val="single"/>
            <w:lang w:val="en-US"/>
          </w:rPr>
          <w:t>https://pubmed.ncbi.nlm.nih.gov/39536310/</w:t>
        </w:r>
      </w:hyperlink>
    </w:p>
    <w:p w:rsidRPr="009912B4" w:rsidR="009912B4" w:rsidP="008C675A" w:rsidRDefault="009912B4" w14:paraId="222163F9" w14:textId="3CEB0BBD">
      <w:pPr>
        <w:spacing w:line="360" w:lineRule="auto"/>
        <w:jc w:val="both"/>
        <w:rPr>
          <w:rFonts w:ascii="Arial" w:hAnsi="Arial" w:cs="Arial"/>
          <w:sz w:val="22"/>
          <w:szCs w:val="22"/>
          <w:lang w:val="en-US"/>
        </w:rPr>
      </w:pPr>
      <w:r w:rsidRPr="009912B4">
        <w:rPr>
          <w:rFonts w:ascii="Arial" w:hAnsi="Arial" w:cs="Arial"/>
          <w:sz w:val="22"/>
          <w:szCs w:val="22"/>
          <w:lang w:val="en-US"/>
        </w:rPr>
        <w:t>Laverty, A.A., Reidy, C., Kc, S., Papoutsi, C., Gudgin, B., Majeed, A. and Powell, J. (2026) ‘</w:t>
      </w:r>
      <w:r w:rsidRPr="009912B4">
        <w:rPr>
          <w:rFonts w:ascii="Arial" w:hAnsi="Arial" w:cs="Arial"/>
          <w:i/>
          <w:iCs/>
          <w:sz w:val="22"/>
          <w:szCs w:val="22"/>
          <w:lang w:val="en-US"/>
        </w:rPr>
        <w:t>The NHS App should focus on inequalities to improve population health</w:t>
      </w:r>
      <w:r w:rsidRPr="009912B4">
        <w:rPr>
          <w:rFonts w:ascii="Arial" w:hAnsi="Arial" w:cs="Arial"/>
          <w:sz w:val="22"/>
          <w:szCs w:val="22"/>
          <w:lang w:val="en-US"/>
        </w:rPr>
        <w:t xml:space="preserve">’, </w:t>
      </w:r>
      <w:r w:rsidRPr="009912B4">
        <w:rPr>
          <w:rFonts w:ascii="Arial" w:hAnsi="Arial" w:cs="Arial"/>
          <w:iCs/>
          <w:sz w:val="22"/>
          <w:szCs w:val="22"/>
          <w:lang w:val="en-US"/>
        </w:rPr>
        <w:t>Journal of the Royal Society of Medicine</w:t>
      </w:r>
      <w:r w:rsidRPr="009912B4">
        <w:rPr>
          <w:rFonts w:ascii="Arial" w:hAnsi="Arial" w:cs="Arial"/>
          <w:sz w:val="22"/>
          <w:szCs w:val="22"/>
          <w:lang w:val="en-US"/>
        </w:rPr>
        <w:t xml:space="preserve">, 119(2), pp. 37–41. Available at: </w:t>
      </w:r>
      <w:hyperlink w:history="1" r:id="rId15">
        <w:r w:rsidRPr="009912B4">
          <w:rPr>
            <w:rStyle w:val="Hyperlink"/>
            <w:rFonts w:ascii="Arial" w:hAnsi="Arial" w:cs="Arial"/>
            <w:sz w:val="22"/>
            <w:szCs w:val="22"/>
            <w:lang w:val="en-US"/>
          </w:rPr>
          <w:t>https://doi.org/10.1177/01410768261421427</w:t>
        </w:r>
      </w:hyperlink>
      <w:r w:rsidRPr="009912B4">
        <w:rPr>
          <w:rFonts w:ascii="Arial" w:hAnsi="Arial" w:cs="Arial"/>
          <w:sz w:val="22"/>
          <w:szCs w:val="22"/>
          <w:lang w:val="en-US"/>
        </w:rPr>
        <w:t>.</w:t>
      </w:r>
    </w:p>
    <w:p w:rsidRPr="009912B4" w:rsidR="009912B4" w:rsidP="008C675A" w:rsidRDefault="009912B4" w14:paraId="76051E72" w14:textId="0A44908D">
      <w:pPr>
        <w:spacing w:line="360" w:lineRule="auto"/>
        <w:jc w:val="both"/>
        <w:rPr>
          <w:rFonts w:ascii="Arial" w:hAnsi="Arial" w:cs="Arial"/>
          <w:sz w:val="22"/>
          <w:szCs w:val="22"/>
          <w:lang w:val="en-US"/>
        </w:rPr>
      </w:pPr>
      <w:r w:rsidRPr="009912B4">
        <w:rPr>
          <w:rFonts w:ascii="Arial" w:hAnsi="Arial" w:cs="Arial"/>
          <w:sz w:val="22"/>
          <w:szCs w:val="22"/>
          <w:lang w:val="en-US"/>
        </w:rPr>
        <w:t xml:space="preserve">National Data Guardian (2020) </w:t>
      </w:r>
      <w:r w:rsidRPr="009912B4">
        <w:rPr>
          <w:rFonts w:ascii="Arial" w:hAnsi="Arial" w:cs="Arial"/>
          <w:i/>
          <w:sz w:val="22"/>
          <w:szCs w:val="22"/>
          <w:lang w:val="en-US"/>
        </w:rPr>
        <w:t>The Caldicott Principles</w:t>
      </w:r>
      <w:r w:rsidRPr="009912B4">
        <w:rPr>
          <w:rFonts w:ascii="Arial" w:hAnsi="Arial" w:cs="Arial"/>
          <w:sz w:val="22"/>
          <w:szCs w:val="22"/>
          <w:lang w:val="en-US"/>
        </w:rPr>
        <w:t xml:space="preserve">. Available at: </w:t>
      </w:r>
      <w:hyperlink w:history="1" r:id="rId16">
        <w:r w:rsidRPr="009912B4">
          <w:rPr>
            <w:rStyle w:val="Hyperlink"/>
            <w:rFonts w:ascii="Arial" w:hAnsi="Arial" w:cs="Arial"/>
            <w:sz w:val="22"/>
            <w:szCs w:val="22"/>
            <w:lang w:val="en-US"/>
          </w:rPr>
          <w:t>https://www.gov.uk/government/publications/the-caldicott-principles</w:t>
        </w:r>
      </w:hyperlink>
      <w:r w:rsidRPr="009912B4">
        <w:rPr>
          <w:rFonts w:ascii="Arial" w:hAnsi="Arial" w:cs="Arial"/>
          <w:sz w:val="22"/>
          <w:szCs w:val="22"/>
          <w:lang w:val="en-US"/>
        </w:rPr>
        <w:t xml:space="preserve"> (Accessed: </w:t>
      </w:r>
      <w:r w:rsidRPr="0083405C" w:rsidR="00347510">
        <w:rPr>
          <w:rFonts w:ascii="Arial" w:hAnsi="Arial" w:cs="Arial"/>
          <w:sz w:val="22"/>
          <w:szCs w:val="22"/>
          <w:lang w:val="en-US"/>
        </w:rPr>
        <w:t xml:space="preserve">8 </w:t>
      </w:r>
      <w:r w:rsidRPr="009912B4">
        <w:rPr>
          <w:rFonts w:ascii="Arial" w:hAnsi="Arial" w:cs="Arial"/>
          <w:sz w:val="22"/>
          <w:szCs w:val="22"/>
          <w:lang w:val="en-US"/>
        </w:rPr>
        <w:t>October 2026).</w:t>
      </w:r>
    </w:p>
    <w:p w:rsidRPr="009912B4" w:rsidR="009912B4" w:rsidP="008C675A" w:rsidRDefault="009912B4" w14:paraId="4832EC45" w14:textId="12D019BD">
      <w:pPr>
        <w:spacing w:line="360" w:lineRule="auto"/>
        <w:jc w:val="both"/>
      </w:pPr>
      <w:r w:rsidRPr="129CD36F" w:rsidR="009912B4">
        <w:rPr>
          <w:rFonts w:ascii="Arial" w:hAnsi="Arial" w:cs="Arial"/>
          <w:sz w:val="22"/>
          <w:szCs w:val="22"/>
          <w:lang w:val="en-US"/>
        </w:rPr>
        <w:t>NHS England (2023</w:t>
      </w:r>
      <w:r w:rsidRPr="129CD36F" w:rsidR="009912B4">
        <w:rPr>
          <w:rFonts w:ascii="Arial" w:hAnsi="Arial" w:cs="Arial"/>
          <w:sz w:val="22"/>
          <w:szCs w:val="22"/>
          <w:lang w:val="en-US"/>
        </w:rPr>
        <w:t>a)</w:t>
      </w:r>
      <w:r w:rsidRPr="129CD36F" w:rsidR="009912B4">
        <w:rPr>
          <w:rFonts w:ascii="Arial" w:hAnsi="Arial" w:cs="Arial"/>
          <w:sz w:val="22"/>
          <w:szCs w:val="22"/>
          <w:lang w:val="en-US"/>
        </w:rPr>
        <w:t xml:space="preserve"> ‘</w:t>
      </w:r>
      <w:r w:rsidRPr="129CD36F" w:rsidR="009912B4">
        <w:rPr>
          <w:rFonts w:ascii="Arial" w:hAnsi="Arial" w:cs="Arial"/>
          <w:i w:val="1"/>
          <w:iCs w:val="1"/>
          <w:sz w:val="22"/>
          <w:szCs w:val="22"/>
          <w:lang w:val="en-US"/>
        </w:rPr>
        <w:t>Inclusive digital healthcare: a framework for NHS action on digital inclusion</w:t>
      </w:r>
      <w:r w:rsidRPr="129CD36F" w:rsidR="009912B4">
        <w:rPr>
          <w:rFonts w:ascii="Arial" w:hAnsi="Arial" w:cs="Arial"/>
          <w:sz w:val="22"/>
          <w:szCs w:val="22"/>
          <w:lang w:val="en-US"/>
        </w:rPr>
        <w:t xml:space="preserve">’, 28 September. Available at: </w:t>
      </w:r>
      <w:hyperlink r:id="Rcada7beda2344da7">
        <w:r w:rsidRPr="129CD36F" w:rsidR="009912B4">
          <w:rPr>
            <w:rStyle w:val="Hyperlink"/>
            <w:rFonts w:ascii="Arial" w:hAnsi="Arial" w:cs="Arial"/>
            <w:sz w:val="22"/>
            <w:szCs w:val="22"/>
            <w:lang w:val="en-US"/>
          </w:rPr>
          <w:t>https://www.england.nhs.uk/long-read/inclusive-digital-healthcare-a-framework-for-nhs-action-on-digital-inclusion/</w:t>
        </w:r>
      </w:hyperlink>
      <w:r w:rsidRPr="129CD36F" w:rsidR="009912B4">
        <w:rPr>
          <w:rFonts w:ascii="Arial" w:hAnsi="Arial" w:cs="Arial"/>
          <w:sz w:val="22"/>
          <w:szCs w:val="22"/>
          <w:lang w:val="en-US"/>
        </w:rPr>
        <w:t xml:space="preserve"> (Accessed: </w:t>
      </w:r>
      <w:r w:rsidRPr="129CD36F" w:rsidR="00900D70">
        <w:rPr>
          <w:rFonts w:ascii="Arial" w:hAnsi="Arial" w:cs="Arial"/>
          <w:sz w:val="22"/>
          <w:szCs w:val="22"/>
          <w:lang w:val="en-US"/>
        </w:rPr>
        <w:t xml:space="preserve">6 </w:t>
      </w:r>
      <w:r w:rsidRPr="129CD36F" w:rsidR="009912B4">
        <w:rPr>
          <w:rFonts w:ascii="Arial" w:hAnsi="Arial" w:cs="Arial"/>
          <w:sz w:val="22"/>
          <w:szCs w:val="22"/>
          <w:lang w:val="en-US"/>
        </w:rPr>
        <w:t>October 2026).</w:t>
      </w:r>
    </w:p>
    <w:p w:rsidRPr="009912B4" w:rsidR="009912B4" w:rsidP="008C675A" w:rsidRDefault="009912B4" w14:paraId="3EB115B3" w14:textId="37831BF5">
      <w:pPr>
        <w:spacing w:line="360" w:lineRule="auto"/>
        <w:jc w:val="both"/>
        <w:rPr>
          <w:rFonts w:ascii="Arial" w:hAnsi="Arial" w:cs="Arial"/>
          <w:sz w:val="22"/>
          <w:szCs w:val="22"/>
          <w:lang w:val="en-US"/>
        </w:rPr>
      </w:pPr>
      <w:r w:rsidRPr="129CD36F" w:rsidR="009912B4">
        <w:rPr>
          <w:rFonts w:ascii="Arial" w:hAnsi="Arial" w:cs="Arial"/>
          <w:sz w:val="22"/>
          <w:szCs w:val="22"/>
          <w:lang w:val="en-US"/>
        </w:rPr>
        <w:t>NHS England (2023b) ‘</w:t>
      </w:r>
      <w:r w:rsidRPr="129CD36F" w:rsidR="009912B4">
        <w:rPr>
          <w:rFonts w:ascii="Arial" w:hAnsi="Arial" w:cs="Arial"/>
          <w:i w:val="1"/>
          <w:iCs w:val="1"/>
          <w:sz w:val="22"/>
          <w:szCs w:val="22"/>
          <w:lang w:val="en-US"/>
        </w:rPr>
        <w:t>Supporting digital inclusion in general practice: 10 top tips</w:t>
      </w:r>
      <w:r w:rsidRPr="129CD36F" w:rsidR="009912B4">
        <w:rPr>
          <w:rFonts w:ascii="Arial" w:hAnsi="Arial" w:cs="Arial"/>
          <w:sz w:val="22"/>
          <w:szCs w:val="22"/>
          <w:lang w:val="en-US"/>
        </w:rPr>
        <w:t xml:space="preserve">’, 11 July. Available at: </w:t>
      </w:r>
      <w:hyperlink r:id="R28bb4a43641e46e7">
        <w:r w:rsidRPr="129CD36F" w:rsidR="009912B4">
          <w:rPr>
            <w:rStyle w:val="Hyperlink"/>
            <w:rFonts w:ascii="Arial" w:hAnsi="Arial" w:cs="Arial"/>
            <w:sz w:val="22"/>
            <w:szCs w:val="22"/>
            <w:lang w:val="en-US"/>
          </w:rPr>
          <w:t>https://www.england.nhs.uk/publication/supporting-digital-inclusion-in-general-practice-10-top-tips/</w:t>
        </w:r>
      </w:hyperlink>
      <w:r w:rsidRPr="129CD36F" w:rsidR="009912B4">
        <w:rPr>
          <w:rFonts w:ascii="Arial" w:hAnsi="Arial" w:cs="Arial"/>
          <w:sz w:val="22"/>
          <w:szCs w:val="22"/>
          <w:lang w:val="en-US"/>
        </w:rPr>
        <w:t xml:space="preserve"> (Accessed:</w:t>
      </w:r>
      <w:r w:rsidRPr="129CD36F" w:rsidR="00CA1E56">
        <w:rPr>
          <w:rFonts w:ascii="Arial" w:hAnsi="Arial" w:cs="Arial"/>
          <w:sz w:val="22"/>
          <w:szCs w:val="22"/>
          <w:lang w:val="en-US"/>
        </w:rPr>
        <w:t xml:space="preserve"> 6</w:t>
      </w:r>
      <w:r w:rsidRPr="129CD36F" w:rsidR="009912B4">
        <w:rPr>
          <w:rFonts w:ascii="Arial" w:hAnsi="Arial" w:cs="Arial"/>
          <w:sz w:val="22"/>
          <w:szCs w:val="22"/>
          <w:lang w:val="en-US"/>
        </w:rPr>
        <w:t xml:space="preserve"> October 2026).</w:t>
      </w:r>
    </w:p>
    <w:p w:rsidRPr="009912B4" w:rsidR="009912B4" w:rsidP="008C675A" w:rsidRDefault="009912B4" w14:paraId="2A9A5A62" w14:textId="0F245E43">
      <w:pPr>
        <w:spacing w:line="360" w:lineRule="auto"/>
        <w:jc w:val="both"/>
        <w:rPr>
          <w:rFonts w:ascii="Arial" w:hAnsi="Arial" w:cs="Arial"/>
          <w:sz w:val="22"/>
          <w:szCs w:val="22"/>
          <w:lang w:val="en-US"/>
        </w:rPr>
      </w:pPr>
      <w:r w:rsidRPr="009912B4">
        <w:rPr>
          <w:rFonts w:ascii="Arial" w:hAnsi="Arial" w:cs="Arial"/>
          <w:sz w:val="22"/>
          <w:szCs w:val="22"/>
          <w:lang w:val="en-US"/>
        </w:rPr>
        <w:t>NHS England (2024a) ‘</w:t>
      </w:r>
      <w:r w:rsidRPr="009912B4">
        <w:rPr>
          <w:rFonts w:ascii="Arial" w:hAnsi="Arial" w:cs="Arial"/>
          <w:i/>
          <w:iCs/>
          <w:sz w:val="22"/>
          <w:szCs w:val="22"/>
          <w:lang w:val="en-US"/>
        </w:rPr>
        <w:t>NHS App messaging saved NHS more than £1 million in last year’</w:t>
      </w:r>
      <w:r w:rsidRPr="009912B4">
        <w:rPr>
          <w:rFonts w:ascii="Arial" w:hAnsi="Arial" w:cs="Arial"/>
          <w:sz w:val="22"/>
          <w:szCs w:val="22"/>
          <w:lang w:val="en-US"/>
        </w:rPr>
        <w:t>, 7 May. Available at</w:t>
      </w:r>
      <w:hyperlink w:history="1" r:id="rId19">
        <w:r w:rsidRPr="009912B4">
          <w:rPr>
            <w:rStyle w:val="Hyperlink"/>
            <w:rFonts w:ascii="Arial" w:hAnsi="Arial" w:cs="Arial"/>
            <w:sz w:val="22"/>
            <w:szCs w:val="22"/>
            <w:lang w:val="en-US"/>
          </w:rPr>
          <w:t>: https://www.england.nhs.uk/2024/05/nhs-app-messaging-saved-nhs-more-than-1-million-in-last-year/</w:t>
        </w:r>
      </w:hyperlink>
      <w:r w:rsidRPr="009912B4">
        <w:rPr>
          <w:rFonts w:ascii="Arial" w:hAnsi="Arial" w:cs="Arial"/>
          <w:sz w:val="22"/>
          <w:szCs w:val="22"/>
          <w:lang w:val="en-US"/>
        </w:rPr>
        <w:t xml:space="preserve"> (Accessed: </w:t>
      </w:r>
      <w:r w:rsidR="005A29EE">
        <w:rPr>
          <w:rFonts w:ascii="Arial" w:hAnsi="Arial" w:cs="Arial"/>
          <w:sz w:val="22"/>
          <w:szCs w:val="22"/>
          <w:lang w:val="en-US"/>
        </w:rPr>
        <w:t xml:space="preserve">2 </w:t>
      </w:r>
      <w:r w:rsidRPr="009912B4">
        <w:rPr>
          <w:rFonts w:ascii="Arial" w:hAnsi="Arial" w:cs="Arial"/>
          <w:sz w:val="22"/>
          <w:szCs w:val="22"/>
          <w:lang w:val="en-US"/>
        </w:rPr>
        <w:t>October 2026).</w:t>
      </w:r>
    </w:p>
    <w:p w:rsidRPr="009912B4" w:rsidR="009912B4" w:rsidP="008C675A" w:rsidRDefault="009912B4" w14:paraId="7E8A19B8" w14:textId="34A9957B">
      <w:pPr>
        <w:spacing w:line="360" w:lineRule="auto"/>
        <w:jc w:val="both"/>
        <w:rPr>
          <w:rFonts w:ascii="Arial" w:hAnsi="Arial" w:cs="Arial"/>
          <w:sz w:val="22"/>
          <w:szCs w:val="22"/>
          <w:lang w:val="en-US"/>
        </w:rPr>
      </w:pPr>
      <w:r w:rsidRPr="009912B4">
        <w:rPr>
          <w:rFonts w:ascii="Arial" w:hAnsi="Arial" w:cs="Arial"/>
          <w:sz w:val="22"/>
          <w:szCs w:val="22"/>
          <w:lang w:val="en-US"/>
        </w:rPr>
        <w:t>NHS England (2024b) ‘</w:t>
      </w:r>
      <w:r w:rsidRPr="009912B4">
        <w:rPr>
          <w:rFonts w:ascii="Arial" w:hAnsi="Arial" w:cs="Arial"/>
          <w:i/>
          <w:iCs/>
          <w:sz w:val="22"/>
          <w:szCs w:val="22"/>
          <w:lang w:val="en-US"/>
        </w:rPr>
        <w:t>Libraries supporting more people to use NHS App’</w:t>
      </w:r>
      <w:r w:rsidRPr="009912B4">
        <w:rPr>
          <w:rFonts w:ascii="Arial" w:hAnsi="Arial" w:cs="Arial"/>
          <w:sz w:val="22"/>
          <w:szCs w:val="22"/>
          <w:lang w:val="en-US"/>
        </w:rPr>
        <w:t xml:space="preserve">, 26 August. Available at: </w:t>
      </w:r>
      <w:hyperlink w:history="1" r:id="rId20">
        <w:r w:rsidRPr="009912B4">
          <w:rPr>
            <w:rStyle w:val="Hyperlink"/>
            <w:rFonts w:ascii="Arial" w:hAnsi="Arial" w:cs="Arial"/>
            <w:sz w:val="22"/>
            <w:szCs w:val="22"/>
            <w:lang w:val="en-US"/>
          </w:rPr>
          <w:t>https://www.england.nhs.uk/2024/08/libraries-supporting-more-people-to-use-nhs-app/</w:t>
        </w:r>
      </w:hyperlink>
      <w:r w:rsidRPr="009912B4">
        <w:rPr>
          <w:rFonts w:ascii="Arial" w:hAnsi="Arial" w:cs="Arial"/>
          <w:sz w:val="22"/>
          <w:szCs w:val="22"/>
          <w:lang w:val="en-US"/>
        </w:rPr>
        <w:t xml:space="preserve"> (Accessed: </w:t>
      </w:r>
      <w:r w:rsidR="005A29EE">
        <w:rPr>
          <w:rFonts w:ascii="Arial" w:hAnsi="Arial" w:cs="Arial"/>
          <w:sz w:val="22"/>
          <w:szCs w:val="22"/>
          <w:lang w:val="en-US"/>
        </w:rPr>
        <w:t>2</w:t>
      </w:r>
      <w:r w:rsidRPr="0083405C" w:rsidR="005B2796">
        <w:rPr>
          <w:rFonts w:ascii="Arial" w:hAnsi="Arial" w:cs="Arial"/>
          <w:sz w:val="22"/>
          <w:szCs w:val="22"/>
          <w:lang w:val="en-US"/>
        </w:rPr>
        <w:t xml:space="preserve"> </w:t>
      </w:r>
      <w:r w:rsidRPr="009912B4">
        <w:rPr>
          <w:rFonts w:ascii="Arial" w:hAnsi="Arial" w:cs="Arial"/>
          <w:sz w:val="22"/>
          <w:szCs w:val="22"/>
          <w:lang w:val="en-US"/>
        </w:rPr>
        <w:t>October 2026).</w:t>
      </w:r>
    </w:p>
    <w:p w:rsidRPr="009912B4" w:rsidR="009912B4" w:rsidP="008C675A" w:rsidRDefault="009912B4" w14:paraId="1309A9EC" w14:textId="4D4AC5B7">
      <w:pPr>
        <w:spacing w:line="360" w:lineRule="auto"/>
        <w:jc w:val="both"/>
        <w:rPr>
          <w:rFonts w:ascii="Arial" w:hAnsi="Arial" w:cs="Arial"/>
          <w:sz w:val="22"/>
          <w:szCs w:val="22"/>
          <w:lang w:val="en-US"/>
        </w:rPr>
      </w:pPr>
      <w:r w:rsidRPr="009912B4">
        <w:rPr>
          <w:rFonts w:ascii="Arial" w:hAnsi="Arial" w:cs="Arial"/>
          <w:sz w:val="22"/>
          <w:szCs w:val="22"/>
          <w:lang w:val="en-US"/>
        </w:rPr>
        <w:t>NHS England (2025a) ‘</w:t>
      </w:r>
      <w:r w:rsidRPr="009912B4">
        <w:rPr>
          <w:rFonts w:ascii="Arial" w:hAnsi="Arial" w:cs="Arial"/>
          <w:i/>
          <w:iCs/>
          <w:sz w:val="22"/>
          <w:szCs w:val="22"/>
          <w:lang w:val="en-US"/>
        </w:rPr>
        <w:t>Record numbers using NHS App to manage health</w:t>
      </w:r>
      <w:r w:rsidRPr="009912B4">
        <w:rPr>
          <w:rFonts w:ascii="Arial" w:hAnsi="Arial" w:cs="Arial"/>
          <w:sz w:val="22"/>
          <w:szCs w:val="22"/>
          <w:lang w:val="en-US"/>
        </w:rPr>
        <w:t xml:space="preserve">’, 24 December. Available at: </w:t>
      </w:r>
      <w:hyperlink w:history="1" r:id="rId21">
        <w:r w:rsidRPr="009912B4">
          <w:rPr>
            <w:rStyle w:val="Hyperlink"/>
            <w:rFonts w:ascii="Arial" w:hAnsi="Arial" w:cs="Arial"/>
            <w:sz w:val="22"/>
            <w:szCs w:val="22"/>
            <w:lang w:val="en-US"/>
          </w:rPr>
          <w:t>https://www.england.nhs.uk/2025/12/record-numbers-using-nhs-app-to-manage-health/</w:t>
        </w:r>
      </w:hyperlink>
      <w:r w:rsidRPr="009912B4">
        <w:rPr>
          <w:rFonts w:ascii="Arial" w:hAnsi="Arial" w:cs="Arial"/>
          <w:sz w:val="22"/>
          <w:szCs w:val="22"/>
          <w:lang w:val="en-US"/>
        </w:rPr>
        <w:t xml:space="preserve"> (Accessed: </w:t>
      </w:r>
      <w:r w:rsidR="00FB7C63">
        <w:rPr>
          <w:rFonts w:ascii="Arial" w:hAnsi="Arial" w:cs="Arial"/>
          <w:sz w:val="22"/>
          <w:szCs w:val="22"/>
          <w:lang w:val="en-US"/>
        </w:rPr>
        <w:t>2</w:t>
      </w:r>
      <w:r w:rsidRPr="0083405C" w:rsidR="00793B2C">
        <w:rPr>
          <w:rFonts w:ascii="Arial" w:hAnsi="Arial" w:cs="Arial"/>
          <w:sz w:val="22"/>
          <w:szCs w:val="22"/>
          <w:lang w:val="en-US"/>
        </w:rPr>
        <w:t xml:space="preserve"> </w:t>
      </w:r>
      <w:r w:rsidRPr="009912B4">
        <w:rPr>
          <w:rFonts w:ascii="Arial" w:hAnsi="Arial" w:cs="Arial"/>
          <w:sz w:val="22"/>
          <w:szCs w:val="22"/>
          <w:lang w:val="en-US"/>
        </w:rPr>
        <w:t>October 2026).</w:t>
      </w:r>
    </w:p>
    <w:p w:rsidRPr="009912B4" w:rsidR="009912B4" w:rsidP="008C675A" w:rsidRDefault="009912B4" w14:paraId="74C882CC" w14:textId="2D635625">
      <w:pPr>
        <w:spacing w:line="360" w:lineRule="auto"/>
        <w:jc w:val="both"/>
        <w:rPr>
          <w:rFonts w:ascii="Arial" w:hAnsi="Arial" w:cs="Arial"/>
          <w:sz w:val="22"/>
          <w:szCs w:val="22"/>
          <w:lang w:val="en-US"/>
        </w:rPr>
      </w:pPr>
      <w:r w:rsidRPr="009912B4">
        <w:rPr>
          <w:rFonts w:ascii="Arial" w:hAnsi="Arial" w:cs="Arial"/>
          <w:sz w:val="22"/>
          <w:szCs w:val="22"/>
          <w:lang w:val="en-US"/>
        </w:rPr>
        <w:t>Patient Information Forum (2024) ‘</w:t>
      </w:r>
      <w:r w:rsidRPr="009912B4">
        <w:rPr>
          <w:rFonts w:ascii="Arial" w:hAnsi="Arial" w:cs="Arial"/>
          <w:i/>
          <w:iCs/>
          <w:sz w:val="22"/>
          <w:szCs w:val="22"/>
          <w:lang w:val="en-US"/>
        </w:rPr>
        <w:t>Public and patient experience of the NHS App’</w:t>
      </w:r>
      <w:r w:rsidRPr="009912B4">
        <w:rPr>
          <w:rFonts w:ascii="Arial" w:hAnsi="Arial" w:cs="Arial"/>
          <w:sz w:val="22"/>
          <w:szCs w:val="22"/>
          <w:lang w:val="en-US"/>
        </w:rPr>
        <w:t xml:space="preserve">, 27 March. Available at: </w:t>
      </w:r>
      <w:hyperlink w:history="1" r:id="rId22">
        <w:r w:rsidRPr="009912B4">
          <w:rPr>
            <w:rStyle w:val="Hyperlink"/>
            <w:rFonts w:ascii="Arial" w:hAnsi="Arial" w:cs="Arial"/>
            <w:sz w:val="22"/>
            <w:szCs w:val="22"/>
            <w:lang w:val="en-US"/>
          </w:rPr>
          <w:t>https://pifonline.org.uk/news/public-patient-experience-nhs-app/</w:t>
        </w:r>
      </w:hyperlink>
      <w:r w:rsidRPr="009912B4">
        <w:rPr>
          <w:rFonts w:ascii="Arial" w:hAnsi="Arial" w:cs="Arial"/>
          <w:sz w:val="22"/>
          <w:szCs w:val="22"/>
          <w:lang w:val="en-US"/>
        </w:rPr>
        <w:t xml:space="preserve"> (Accessed: </w:t>
      </w:r>
      <w:r w:rsidRPr="0083405C" w:rsidR="00793B2C">
        <w:rPr>
          <w:rFonts w:ascii="Arial" w:hAnsi="Arial" w:cs="Arial"/>
          <w:sz w:val="22"/>
          <w:szCs w:val="22"/>
          <w:lang w:val="en-US"/>
        </w:rPr>
        <w:t xml:space="preserve">9 </w:t>
      </w:r>
      <w:r w:rsidRPr="009912B4">
        <w:rPr>
          <w:rFonts w:ascii="Arial" w:hAnsi="Arial" w:cs="Arial"/>
          <w:sz w:val="22"/>
          <w:szCs w:val="22"/>
          <w:lang w:val="en-US"/>
        </w:rPr>
        <w:t>October 2026).</w:t>
      </w:r>
    </w:p>
    <w:p w:rsidRPr="009912B4" w:rsidR="009912B4" w:rsidP="008C675A" w:rsidRDefault="009912B4" w14:paraId="4B4EB190" w14:textId="547FA1BB">
      <w:pPr>
        <w:spacing w:line="360" w:lineRule="auto"/>
        <w:jc w:val="both"/>
        <w:rPr>
          <w:rFonts w:ascii="Arial" w:hAnsi="Arial" w:cs="Arial"/>
          <w:sz w:val="22"/>
          <w:szCs w:val="22"/>
          <w:lang w:val="en-US"/>
        </w:rPr>
      </w:pPr>
      <w:r w:rsidRPr="009912B4">
        <w:rPr>
          <w:rFonts w:ascii="Arial" w:hAnsi="Arial" w:cs="Arial"/>
          <w:sz w:val="22"/>
          <w:szCs w:val="22"/>
          <w:lang w:val="en-US"/>
        </w:rPr>
        <w:t>Reidy, C., Papoutsi, C., Kc, S., Gudgin, B., Laverty, A.A., Greaves, F. and Powell, J. (2025) ‘</w:t>
      </w:r>
      <w:r w:rsidRPr="009912B4">
        <w:rPr>
          <w:rFonts w:ascii="Arial" w:hAnsi="Arial" w:cs="Arial"/>
          <w:i/>
          <w:iCs/>
          <w:sz w:val="22"/>
          <w:szCs w:val="22"/>
          <w:lang w:val="en-US"/>
        </w:rPr>
        <w:t>Qualitative evaluation of the implementation and national roll-out of the NHS App in England</w:t>
      </w:r>
      <w:r w:rsidRPr="009912B4">
        <w:rPr>
          <w:rFonts w:ascii="Arial" w:hAnsi="Arial" w:cs="Arial"/>
          <w:sz w:val="22"/>
          <w:szCs w:val="22"/>
          <w:lang w:val="en-US"/>
        </w:rPr>
        <w:t xml:space="preserve">’, </w:t>
      </w:r>
      <w:r w:rsidRPr="009912B4">
        <w:rPr>
          <w:rFonts w:ascii="Arial" w:hAnsi="Arial" w:cs="Arial"/>
          <w:i/>
          <w:sz w:val="22"/>
          <w:szCs w:val="22"/>
          <w:lang w:val="en-US"/>
        </w:rPr>
        <w:t>BMC Medicine</w:t>
      </w:r>
      <w:r w:rsidRPr="009912B4">
        <w:rPr>
          <w:rFonts w:ascii="Arial" w:hAnsi="Arial" w:cs="Arial"/>
          <w:sz w:val="22"/>
          <w:szCs w:val="22"/>
          <w:lang w:val="en-US"/>
        </w:rPr>
        <w:t xml:space="preserve">, 23, article 20. Available at: </w:t>
      </w:r>
      <w:hyperlink w:history="1" r:id="rId23">
        <w:r w:rsidRPr="009912B4">
          <w:rPr>
            <w:rStyle w:val="Hyperlink"/>
            <w:rFonts w:ascii="Arial" w:hAnsi="Arial" w:cs="Arial"/>
            <w:sz w:val="22"/>
            <w:szCs w:val="22"/>
            <w:lang w:val="en-US"/>
          </w:rPr>
          <w:t>https://doi.org/10.1186/s12916-024-03842-w.</w:t>
        </w:r>
      </w:hyperlink>
    </w:p>
    <w:p w:rsidRPr="009912B4" w:rsidR="009912B4" w:rsidP="008C675A" w:rsidRDefault="009912B4" w14:paraId="24FEB90E" w14:textId="4BF0CD21">
      <w:pPr>
        <w:spacing w:line="360" w:lineRule="auto"/>
        <w:jc w:val="both"/>
        <w:rPr>
          <w:rFonts w:ascii="Arial" w:hAnsi="Arial" w:cs="Arial"/>
          <w:sz w:val="22"/>
          <w:szCs w:val="22"/>
          <w:lang w:val="en-US"/>
        </w:rPr>
      </w:pPr>
      <w:r w:rsidRPr="009912B4">
        <w:rPr>
          <w:rFonts w:ascii="Arial" w:hAnsi="Arial" w:cs="Arial"/>
          <w:sz w:val="22"/>
          <w:szCs w:val="22"/>
          <w:lang w:val="en-US"/>
        </w:rPr>
        <w:t>The King’s Fund (2023) ‘</w:t>
      </w:r>
      <w:r w:rsidRPr="009912B4">
        <w:rPr>
          <w:rFonts w:ascii="Arial" w:hAnsi="Arial" w:cs="Arial"/>
          <w:i/>
          <w:iCs/>
          <w:sz w:val="22"/>
          <w:szCs w:val="22"/>
          <w:lang w:val="en-US"/>
        </w:rPr>
        <w:t>Ensuring digitally enabled health care is equitable and effective for all’</w:t>
      </w:r>
      <w:r w:rsidRPr="009912B4">
        <w:rPr>
          <w:rFonts w:ascii="Arial" w:hAnsi="Arial" w:cs="Arial"/>
          <w:sz w:val="22"/>
          <w:szCs w:val="22"/>
          <w:lang w:val="en-US"/>
        </w:rPr>
        <w:t xml:space="preserve">, 7 March. Available at: </w:t>
      </w:r>
      <w:hyperlink w:history="1" r:id="rId24">
        <w:r w:rsidRPr="009912B4">
          <w:rPr>
            <w:rStyle w:val="Hyperlink"/>
            <w:rFonts w:ascii="Arial" w:hAnsi="Arial" w:cs="Arial"/>
            <w:sz w:val="22"/>
            <w:szCs w:val="22"/>
            <w:lang w:val="en-US"/>
          </w:rPr>
          <w:t>https://www.kingsfund.org.uk/insight-and-analysis/evidence-and-consultations/ensuring-digitally-enabled-health-care-equitable-effective-for-all</w:t>
        </w:r>
      </w:hyperlink>
      <w:r w:rsidRPr="009912B4">
        <w:rPr>
          <w:rFonts w:ascii="Arial" w:hAnsi="Arial" w:cs="Arial"/>
          <w:sz w:val="22"/>
          <w:szCs w:val="22"/>
          <w:lang w:val="en-US"/>
        </w:rPr>
        <w:t xml:space="preserve"> (Accessed: </w:t>
      </w:r>
      <w:r w:rsidRPr="0083405C" w:rsidR="00793B2C">
        <w:rPr>
          <w:rFonts w:ascii="Arial" w:hAnsi="Arial" w:cs="Arial"/>
          <w:sz w:val="22"/>
          <w:szCs w:val="22"/>
          <w:lang w:val="en-US"/>
        </w:rPr>
        <w:t xml:space="preserve">6 </w:t>
      </w:r>
      <w:r w:rsidRPr="009912B4">
        <w:rPr>
          <w:rFonts w:ascii="Arial" w:hAnsi="Arial" w:cs="Arial"/>
          <w:sz w:val="22"/>
          <w:szCs w:val="22"/>
          <w:lang w:val="en-US"/>
        </w:rPr>
        <w:t>October 2026).</w:t>
      </w:r>
    </w:p>
    <w:p w:rsidRPr="009912B4" w:rsidR="009912B4" w:rsidP="008C675A" w:rsidRDefault="009912B4" w14:paraId="5B0E1C76" w14:textId="06611D7C">
      <w:pPr>
        <w:spacing w:line="360" w:lineRule="auto"/>
        <w:jc w:val="both"/>
      </w:pPr>
      <w:r w:rsidRPr="129CD36F" w:rsidR="009912B4">
        <w:rPr>
          <w:rFonts w:ascii="Arial" w:hAnsi="Arial" w:cs="Arial"/>
          <w:sz w:val="22"/>
          <w:szCs w:val="22"/>
          <w:lang w:val="en-US"/>
        </w:rPr>
        <w:t xml:space="preserve">UK Government (2018) </w:t>
      </w:r>
      <w:r w:rsidRPr="129CD36F" w:rsidR="009912B4">
        <w:rPr>
          <w:rFonts w:ascii="Arial" w:hAnsi="Arial" w:cs="Arial"/>
          <w:i w:val="1"/>
          <w:iCs w:val="1"/>
          <w:sz w:val="22"/>
          <w:szCs w:val="22"/>
          <w:lang w:val="en-US"/>
        </w:rPr>
        <w:t>Data Protection Act 2018</w:t>
      </w:r>
      <w:r w:rsidRPr="129CD36F" w:rsidR="009912B4">
        <w:rPr>
          <w:rFonts w:ascii="Arial" w:hAnsi="Arial" w:cs="Arial"/>
          <w:sz w:val="22"/>
          <w:szCs w:val="22"/>
          <w:lang w:val="en-US"/>
        </w:rPr>
        <w:t xml:space="preserve">. Available at: </w:t>
      </w:r>
      <w:hyperlink r:id="Rfe03be9fb4b04980">
        <w:r w:rsidRPr="129CD36F" w:rsidR="009912B4">
          <w:rPr>
            <w:rStyle w:val="Hyperlink"/>
            <w:rFonts w:ascii="Arial" w:hAnsi="Arial" w:cs="Arial"/>
            <w:sz w:val="22"/>
            <w:szCs w:val="22"/>
            <w:lang w:val="en-US"/>
          </w:rPr>
          <w:t>https://www.legislation.gov.uk/ukpga/2018/12/contents</w:t>
        </w:r>
      </w:hyperlink>
      <w:r w:rsidRPr="129CD36F" w:rsidR="009912B4">
        <w:rPr>
          <w:rFonts w:ascii="Arial" w:hAnsi="Arial" w:cs="Arial"/>
          <w:sz w:val="22"/>
          <w:szCs w:val="22"/>
          <w:lang w:val="en-US"/>
        </w:rPr>
        <w:t xml:space="preserve"> (Accessed: </w:t>
      </w:r>
      <w:r w:rsidRPr="129CD36F" w:rsidR="008D1DC3">
        <w:rPr>
          <w:rFonts w:ascii="Arial" w:hAnsi="Arial" w:cs="Arial"/>
          <w:sz w:val="22"/>
          <w:szCs w:val="22"/>
          <w:lang w:val="en-US"/>
        </w:rPr>
        <w:t xml:space="preserve">6 </w:t>
      </w:r>
      <w:r w:rsidRPr="129CD36F" w:rsidR="009912B4">
        <w:rPr>
          <w:rFonts w:ascii="Arial" w:hAnsi="Arial" w:cs="Arial"/>
          <w:sz w:val="22"/>
          <w:szCs w:val="22"/>
          <w:lang w:val="en-US"/>
        </w:rPr>
        <w:t>October 2026).</w:t>
      </w:r>
    </w:p>
    <w:p w:rsidR="0C5C13B7" w:rsidP="129CD36F" w:rsidRDefault="0C5C13B7" w14:paraId="768C979E" w14:textId="485B4524">
      <w:pPr>
        <w:spacing w:before="0" w:beforeAutospacing="off" w:after="160" w:afterAutospacing="off" w:line="360" w:lineRule="auto"/>
        <w:jc w:val="both"/>
        <w:rPr>
          <w:rFonts w:ascii="Arial" w:hAnsi="Arial" w:eastAsia="Arial" w:cs="Arial"/>
          <w:noProof w:val="0"/>
          <w:sz w:val="22"/>
          <w:szCs w:val="22"/>
          <w:lang w:val="en-US"/>
        </w:rPr>
      </w:pPr>
      <w:r w:rsidRPr="129CD36F" w:rsidR="0C5C13B7">
        <w:rPr>
          <w:rFonts w:ascii="Arial" w:hAnsi="Arial" w:eastAsia="Arial" w:cs="Arial"/>
          <w:noProof w:val="0"/>
          <w:sz w:val="22"/>
          <w:szCs w:val="22"/>
          <w:lang w:val="en-US"/>
        </w:rPr>
        <w:t>UK Parliament (2022</w:t>
      </w:r>
      <w:r w:rsidRPr="129CD36F" w:rsidR="0C5C13B7">
        <w:rPr>
          <w:rFonts w:ascii="Arial" w:hAnsi="Arial" w:eastAsia="Arial" w:cs="Arial"/>
          <w:noProof w:val="0"/>
          <w:sz w:val="22"/>
          <w:szCs w:val="22"/>
          <w:lang w:val="en-US"/>
        </w:rPr>
        <w:t>)</w:t>
      </w:r>
      <w:r w:rsidRPr="129CD36F" w:rsidR="0C5C13B7">
        <w:rPr>
          <w:rFonts w:ascii="Arial" w:hAnsi="Arial" w:eastAsia="Arial" w:cs="Arial"/>
          <w:noProof w:val="0"/>
          <w:sz w:val="22"/>
          <w:szCs w:val="22"/>
          <w:lang w:val="en-US"/>
        </w:rPr>
        <w:t xml:space="preserve">. </w:t>
      </w:r>
      <w:r w:rsidRPr="129CD36F" w:rsidR="0C5C13B7">
        <w:rPr>
          <w:rFonts w:ascii="Arial" w:hAnsi="Arial" w:eastAsia="Arial" w:cs="Arial"/>
          <w:i w:val="1"/>
          <w:iCs w:val="1"/>
          <w:noProof w:val="0"/>
          <w:sz w:val="22"/>
          <w:szCs w:val="22"/>
          <w:lang w:val="en-US"/>
        </w:rPr>
        <w:t>Digital transformation in the NHS - health and Social Care Committee</w:t>
      </w:r>
      <w:r w:rsidRPr="129CD36F" w:rsidR="0C5C13B7">
        <w:rPr>
          <w:rFonts w:ascii="Arial" w:hAnsi="Arial" w:eastAsia="Arial" w:cs="Arial"/>
          <w:noProof w:val="0"/>
          <w:sz w:val="22"/>
          <w:szCs w:val="22"/>
          <w:lang w:val="en-US"/>
        </w:rPr>
        <w:t xml:space="preserve">. [online] Parliament.uk. Available at: </w:t>
      </w:r>
      <w:hyperlink r:id="Rfedf4cad0d354309">
        <w:r w:rsidRPr="129CD36F" w:rsidR="0C5C13B7">
          <w:rPr>
            <w:rStyle w:val="Hyperlink"/>
            <w:rFonts w:ascii="Arial" w:hAnsi="Arial" w:eastAsia="Arial" w:cs="Arial"/>
            <w:strike w:val="0"/>
            <w:dstrike w:val="0"/>
            <w:noProof w:val="0"/>
            <w:color w:val="467886"/>
            <w:sz w:val="22"/>
            <w:szCs w:val="22"/>
            <w:u w:val="single"/>
            <w:lang w:val="en-US"/>
          </w:rPr>
          <w:t>https://publications.parliament.uk/pa/cm5803/cmselect/cmhealth/223/report.html</w:t>
        </w:r>
      </w:hyperlink>
      <w:r w:rsidRPr="129CD36F" w:rsidR="0C5C13B7">
        <w:rPr>
          <w:rFonts w:ascii="Arial" w:hAnsi="Arial" w:eastAsia="Arial" w:cs="Arial"/>
          <w:noProof w:val="0"/>
          <w:sz w:val="22"/>
          <w:szCs w:val="22"/>
          <w:lang w:val="en-US"/>
        </w:rPr>
        <w:t xml:space="preserve"> (Accessed 2 Oct. 2026).</w:t>
      </w:r>
    </w:p>
    <w:p w:rsidRPr="009912B4" w:rsidR="009912B4" w:rsidP="008C675A" w:rsidRDefault="009912B4" w14:paraId="4766B48E" w14:textId="1358F430">
      <w:pPr>
        <w:spacing w:line="360" w:lineRule="auto"/>
        <w:jc w:val="both"/>
        <w:rPr>
          <w:rFonts w:ascii="Arial" w:hAnsi="Arial" w:cs="Arial"/>
          <w:sz w:val="22"/>
          <w:szCs w:val="22"/>
          <w:lang w:val="en-US"/>
        </w:rPr>
      </w:pPr>
      <w:r w:rsidRPr="009912B4">
        <w:rPr>
          <w:rFonts w:ascii="Arial" w:hAnsi="Arial" w:cs="Arial"/>
          <w:sz w:val="22"/>
          <w:szCs w:val="22"/>
          <w:lang w:val="en-US"/>
        </w:rPr>
        <w:t xml:space="preserve">World Health Organization (2021) </w:t>
      </w:r>
      <w:r w:rsidRPr="009912B4">
        <w:rPr>
          <w:rFonts w:ascii="Arial" w:hAnsi="Arial" w:cs="Arial"/>
          <w:i/>
          <w:sz w:val="22"/>
          <w:szCs w:val="22"/>
          <w:lang w:val="en-US"/>
        </w:rPr>
        <w:t>Global strategy on digital health 2020–2025</w:t>
      </w:r>
      <w:r w:rsidRPr="009912B4">
        <w:rPr>
          <w:rFonts w:ascii="Arial" w:hAnsi="Arial" w:cs="Arial"/>
          <w:sz w:val="22"/>
          <w:szCs w:val="22"/>
          <w:lang w:val="en-US"/>
        </w:rPr>
        <w:t xml:space="preserve">. Geneva: World Health Organization. Available at: </w:t>
      </w:r>
      <w:hyperlink w:history="1" r:id="rId26">
        <w:r w:rsidRPr="009912B4">
          <w:rPr>
            <w:rStyle w:val="Hyperlink"/>
            <w:rFonts w:ascii="Arial" w:hAnsi="Arial" w:cs="Arial"/>
            <w:sz w:val="22"/>
            <w:szCs w:val="22"/>
            <w:lang w:val="en-US"/>
          </w:rPr>
          <w:t>https://www.who.int/publications/i/item/9789240020924</w:t>
        </w:r>
      </w:hyperlink>
      <w:r w:rsidRPr="009912B4">
        <w:rPr>
          <w:rFonts w:ascii="Arial" w:hAnsi="Arial" w:cs="Arial"/>
          <w:sz w:val="22"/>
          <w:szCs w:val="22"/>
          <w:lang w:val="en-US"/>
        </w:rPr>
        <w:t xml:space="preserve"> (Accessed: </w:t>
      </w:r>
      <w:r w:rsidR="00FB7C63">
        <w:rPr>
          <w:rFonts w:ascii="Arial" w:hAnsi="Arial" w:cs="Arial"/>
          <w:sz w:val="22"/>
          <w:szCs w:val="22"/>
          <w:lang w:val="en-US"/>
        </w:rPr>
        <w:t xml:space="preserve">4 </w:t>
      </w:r>
      <w:r w:rsidRPr="009912B4">
        <w:rPr>
          <w:rFonts w:ascii="Arial" w:hAnsi="Arial" w:cs="Arial"/>
          <w:sz w:val="22"/>
          <w:szCs w:val="22"/>
          <w:lang w:val="en-US"/>
        </w:rPr>
        <w:t>October 2026).</w:t>
      </w:r>
    </w:p>
    <w:p w:rsidRPr="0083405C" w:rsidR="009912B4" w:rsidP="008C675A" w:rsidRDefault="009912B4" w14:paraId="7145A35B" w14:textId="32A5AD95">
      <w:pPr>
        <w:spacing w:line="360" w:lineRule="auto"/>
        <w:jc w:val="both"/>
      </w:pPr>
      <w:r w:rsidRPr="129CD36F" w:rsidR="39227E1E">
        <w:rPr>
          <w:rFonts w:ascii="Arial" w:hAnsi="Arial" w:cs="Arial"/>
          <w:sz w:val="22"/>
          <w:szCs w:val="22"/>
        </w:rPr>
        <w:t>(</w:t>
      </w:r>
      <w:r w:rsidRPr="129CD36F" w:rsidR="39227E1E">
        <w:rPr>
          <w:rFonts w:ascii="Arial" w:hAnsi="Arial" w:cs="Arial"/>
          <w:sz w:val="16"/>
          <w:szCs w:val="16"/>
        </w:rPr>
        <w:t>Note; Total</w:t>
      </w:r>
      <w:r w:rsidRPr="129CD36F" w:rsidR="494CBCB4">
        <w:rPr>
          <w:rFonts w:ascii="Arial" w:hAnsi="Arial" w:cs="Arial"/>
          <w:sz w:val="16"/>
          <w:szCs w:val="16"/>
        </w:rPr>
        <w:t xml:space="preserve"> words 2155 excluding references, cover page, table of content and all the he</w:t>
      </w:r>
      <w:r w:rsidRPr="129CD36F" w:rsidR="660F0D8B">
        <w:rPr>
          <w:rFonts w:ascii="Arial" w:hAnsi="Arial" w:cs="Arial"/>
          <w:sz w:val="16"/>
          <w:szCs w:val="16"/>
        </w:rPr>
        <w:t>adings).</w:t>
      </w:r>
    </w:p>
    <w:sectPr w:rsidRPr="0083405C" w:rsidR="009912B4">
      <w:footerReference w:type="default" r:id="rId27"/>
      <w:pgSz w:w="11906" w:h="16838" w:orient="portrait"/>
      <w:pgMar w:top="1440" w:right="1440" w:bottom="1440" w:left="1440" w:header="708" w:footer="708" w:gutter="0"/>
      <w:cols w:space="708"/>
      <w:docGrid w:linePitch="360"/>
      <w:headerReference w:type="default" r:id="Rbffa6880b7204f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74FC" w:rsidP="00EC5594" w:rsidRDefault="00DF74FC" w14:paraId="1921B906" w14:textId="77777777">
      <w:pPr>
        <w:spacing w:after="0" w:line="240" w:lineRule="auto"/>
      </w:pPr>
      <w:r>
        <w:separator/>
      </w:r>
    </w:p>
  </w:endnote>
  <w:endnote w:type="continuationSeparator" w:id="0">
    <w:p w:rsidR="00DF74FC" w:rsidP="00EC5594" w:rsidRDefault="00DF74FC" w14:paraId="1B7A19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29CD36F" w:rsidP="129CD36F" w:rsidRDefault="129CD36F" w14:paraId="15D4A318" w14:textId="38D4DFD7">
    <w:pPr>
      <w:pStyle w:val="Footer"/>
      <w:jc w:val="right"/>
    </w:pPr>
    <w:r>
      <w:fldChar w:fldCharType="begin"/>
    </w:r>
    <w:r>
      <w:instrText xml:space="preserve">PAGE</w:instrText>
    </w:r>
    <w:r>
      <w:fldChar w:fldCharType="separate"/>
    </w:r>
    <w:r>
      <w:fldChar w:fldCharType="end"/>
    </w:r>
  </w:p>
  <w:sdt>
    <w:sdtPr>
      <w:id w:val="-1984296852"/>
      <w:docPartObj>
        <w:docPartGallery w:val="Page Numbers (Bottom of Page)"/>
        <w:docPartUnique/>
      </w:docPartObj>
      <w:showingPlcHdr/>
    </w:sdtPr>
    <w:sdtEndPr>
      <w:rPr>
        <w:noProof/>
      </w:rPr>
    </w:sdtEndPr>
    <w:sdtContent>
      <w:p w:rsidR="00427569" w:rsidP="129CD36F" w:rsidRDefault="00427569" w14:paraId="4DC9AFD0" w14:textId="3C73BCC4">
        <w:pPr>
          <w:pStyle w:val="Footer"/>
          <w:rPr>
            <w:noProof/>
          </w:rPr>
        </w:pPr>
        <w:r w:rsidRPr="129CD36F" w:rsidR="129CD36F">
          <w:rPr>
            <w:rStyle w:val="PlaceholderText"/>
          </w:rPr>
          <w:t xml:space="preserve">     </w:t>
        </w:r>
      </w:p>
    </w:sdtContent>
  </w:sdt>
  <w:p w:rsidR="00EC5594" w:rsidRDefault="00EC5594" w14:paraId="7F237813"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74FC" w:rsidP="00EC5594" w:rsidRDefault="00DF74FC" w14:paraId="2EB7C624" w14:textId="77777777">
      <w:pPr>
        <w:spacing w:after="0" w:line="240" w:lineRule="auto"/>
      </w:pPr>
      <w:r>
        <w:separator/>
      </w:r>
    </w:p>
  </w:footnote>
  <w:footnote w:type="continuationSeparator" w:id="0">
    <w:p w:rsidR="00DF74FC" w:rsidP="00EC5594" w:rsidRDefault="00DF74FC" w14:paraId="39FBD66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9CD36F" w:rsidTr="129CD36F" w14:paraId="76F39F99">
      <w:trPr>
        <w:trHeight w:val="300"/>
      </w:trPr>
      <w:tc>
        <w:tcPr>
          <w:tcW w:w="3005" w:type="dxa"/>
          <w:tcMar/>
        </w:tcPr>
        <w:p w:rsidR="129CD36F" w:rsidP="129CD36F" w:rsidRDefault="129CD36F" w14:paraId="2A903643" w14:textId="5DBAB84D">
          <w:pPr>
            <w:pStyle w:val="Header"/>
            <w:bidi w:val="0"/>
            <w:ind w:left="-115"/>
            <w:jc w:val="left"/>
          </w:pPr>
        </w:p>
      </w:tc>
      <w:tc>
        <w:tcPr>
          <w:tcW w:w="3005" w:type="dxa"/>
          <w:tcMar/>
        </w:tcPr>
        <w:p w:rsidR="129CD36F" w:rsidP="129CD36F" w:rsidRDefault="129CD36F" w14:paraId="28CC0B9F" w14:textId="03D3AC97">
          <w:pPr>
            <w:pStyle w:val="Header"/>
            <w:bidi w:val="0"/>
            <w:jc w:val="center"/>
          </w:pPr>
        </w:p>
      </w:tc>
      <w:tc>
        <w:tcPr>
          <w:tcW w:w="3005" w:type="dxa"/>
          <w:tcMar/>
        </w:tcPr>
        <w:p w:rsidR="129CD36F" w:rsidP="129CD36F" w:rsidRDefault="129CD36F" w14:paraId="534CA8DC" w14:textId="75D2F608">
          <w:pPr>
            <w:pStyle w:val="Header"/>
            <w:bidi w:val="0"/>
            <w:ind w:right="-115"/>
            <w:jc w:val="right"/>
          </w:pPr>
        </w:p>
      </w:tc>
    </w:tr>
  </w:tbl>
  <w:p w:rsidR="129CD36F" w:rsidP="129CD36F" w:rsidRDefault="129CD36F" w14:paraId="2F332E43" w14:textId="7F0EACB8">
    <w:pPr>
      <w:pStyle w:val="Header"/>
      <w:bidi w:val="0"/>
    </w:pPr>
  </w:p>
</w:hdr>
</file>

<file path=word/intelligence2.xml><?xml version="1.0" encoding="utf-8"?>
<int2:intelligence xmlns:int2="http://schemas.microsoft.com/office/intelligence/2020/intelligence">
  <int2:observations>
    <int2:textHash int2:hashCode="7OmYag+MLKaTRs" int2:id="HjOMzTJh">
      <int2:state int2:type="spell" int2:value="Rejected"/>
    </int2:textHash>
    <int2:textHash int2:hashCode="BMR3P8r5Lc8ski" int2:id="OAJK6Grn">
      <int2:state int2:type="spell" int2:value="Rejected"/>
    </int2:textHash>
    <int2:textHash int2:hashCode="/rBDe6vi0fRERP" int2:id="dKauHAjs">
      <int2:state int2:type="spell" int2:value="Rejected"/>
    </int2:textHash>
    <int2:textHash int2:hashCode="kByidkXaRxGvMx" int2:id="8AlLcVZf">
      <int2:state int2:type="spell" int2:value="Rejected"/>
    </int2:textHash>
    <int2:textHash int2:hashCode="U/UiEUV3poM8s7" int2:id="v8UW6VB2">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C1021"/>
    <w:multiLevelType w:val="hybridMultilevel"/>
    <w:tmpl w:val="EF149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DD4E96"/>
    <w:multiLevelType w:val="hybridMultilevel"/>
    <w:tmpl w:val="747EA366"/>
    <w:lvl w:ilvl="0" w:tplc="FAC4B75A">
      <w:start w:val="1"/>
      <w:numFmt w:val="decimal"/>
      <w:lvlText w:val="%1."/>
      <w:lvlJc w:val="left"/>
      <w:pPr>
        <w:ind w:left="720" w:hanging="360"/>
      </w:pPr>
      <w:rPr>
        <w:rFonts w:hint="default" w:cs="Arial"/>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1217753">
    <w:abstractNumId w:val="0"/>
  </w:num>
  <w:num w:numId="2" w16cid:durableId="106877172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ECF"/>
    <w:rsid w:val="000244BF"/>
    <w:rsid w:val="00027F30"/>
    <w:rsid w:val="00034441"/>
    <w:rsid w:val="000377BE"/>
    <w:rsid w:val="00050C8E"/>
    <w:rsid w:val="000652F3"/>
    <w:rsid w:val="000674B4"/>
    <w:rsid w:val="00082C36"/>
    <w:rsid w:val="000847D7"/>
    <w:rsid w:val="000D4DE2"/>
    <w:rsid w:val="000D7451"/>
    <w:rsid w:val="000F0CEA"/>
    <w:rsid w:val="00196996"/>
    <w:rsid w:val="001C34F5"/>
    <w:rsid w:val="001C5E34"/>
    <w:rsid w:val="001D5F3F"/>
    <w:rsid w:val="001F2E8C"/>
    <w:rsid w:val="002003EB"/>
    <w:rsid w:val="00203CBF"/>
    <w:rsid w:val="00244E59"/>
    <w:rsid w:val="00271B05"/>
    <w:rsid w:val="00280776"/>
    <w:rsid w:val="002A237A"/>
    <w:rsid w:val="002C6943"/>
    <w:rsid w:val="002F7A70"/>
    <w:rsid w:val="00300A30"/>
    <w:rsid w:val="00302700"/>
    <w:rsid w:val="003455CC"/>
    <w:rsid w:val="00347510"/>
    <w:rsid w:val="003546B2"/>
    <w:rsid w:val="003B7B62"/>
    <w:rsid w:val="003F69A9"/>
    <w:rsid w:val="00422194"/>
    <w:rsid w:val="00427569"/>
    <w:rsid w:val="0043468B"/>
    <w:rsid w:val="00462476"/>
    <w:rsid w:val="0048267C"/>
    <w:rsid w:val="00485DD5"/>
    <w:rsid w:val="004A1BCC"/>
    <w:rsid w:val="004A2094"/>
    <w:rsid w:val="004D2B5A"/>
    <w:rsid w:val="004E5852"/>
    <w:rsid w:val="004F04E6"/>
    <w:rsid w:val="0052698D"/>
    <w:rsid w:val="0053758A"/>
    <w:rsid w:val="0057471B"/>
    <w:rsid w:val="00574F41"/>
    <w:rsid w:val="0058593B"/>
    <w:rsid w:val="005A29EE"/>
    <w:rsid w:val="005B2796"/>
    <w:rsid w:val="005D1D72"/>
    <w:rsid w:val="005E007B"/>
    <w:rsid w:val="00622932"/>
    <w:rsid w:val="00632682"/>
    <w:rsid w:val="00646C57"/>
    <w:rsid w:val="00653AAF"/>
    <w:rsid w:val="00673609"/>
    <w:rsid w:val="00691B01"/>
    <w:rsid w:val="006B77A8"/>
    <w:rsid w:val="006C22A3"/>
    <w:rsid w:val="006C3EA6"/>
    <w:rsid w:val="006C4AA6"/>
    <w:rsid w:val="00704F3E"/>
    <w:rsid w:val="00720304"/>
    <w:rsid w:val="00726F5B"/>
    <w:rsid w:val="007730A2"/>
    <w:rsid w:val="00793B2C"/>
    <w:rsid w:val="007A79F8"/>
    <w:rsid w:val="007B51D8"/>
    <w:rsid w:val="008158B4"/>
    <w:rsid w:val="008309A0"/>
    <w:rsid w:val="0083405C"/>
    <w:rsid w:val="00863333"/>
    <w:rsid w:val="00871F3A"/>
    <w:rsid w:val="008C0ECF"/>
    <w:rsid w:val="008C675A"/>
    <w:rsid w:val="008D1DC3"/>
    <w:rsid w:val="008E59D4"/>
    <w:rsid w:val="008F25AE"/>
    <w:rsid w:val="008F5FCF"/>
    <w:rsid w:val="00900D70"/>
    <w:rsid w:val="00925580"/>
    <w:rsid w:val="00930830"/>
    <w:rsid w:val="00964851"/>
    <w:rsid w:val="00976B9C"/>
    <w:rsid w:val="009912B4"/>
    <w:rsid w:val="009B34BC"/>
    <w:rsid w:val="009F27B3"/>
    <w:rsid w:val="009F5BBA"/>
    <w:rsid w:val="00A000F2"/>
    <w:rsid w:val="00A36989"/>
    <w:rsid w:val="00A633C8"/>
    <w:rsid w:val="00AB4C59"/>
    <w:rsid w:val="00AE435A"/>
    <w:rsid w:val="00AE6404"/>
    <w:rsid w:val="00B21395"/>
    <w:rsid w:val="00B2740F"/>
    <w:rsid w:val="00B337F5"/>
    <w:rsid w:val="00B46C6A"/>
    <w:rsid w:val="00B67433"/>
    <w:rsid w:val="00B67A35"/>
    <w:rsid w:val="00B91AFA"/>
    <w:rsid w:val="00BD56C7"/>
    <w:rsid w:val="00BF5E5B"/>
    <w:rsid w:val="00C35D44"/>
    <w:rsid w:val="00C54676"/>
    <w:rsid w:val="00C56D09"/>
    <w:rsid w:val="00C74EA7"/>
    <w:rsid w:val="00CA1E56"/>
    <w:rsid w:val="00CD3FE0"/>
    <w:rsid w:val="00CD40E3"/>
    <w:rsid w:val="00CE02FD"/>
    <w:rsid w:val="00CF1B63"/>
    <w:rsid w:val="00D0776F"/>
    <w:rsid w:val="00D10AD2"/>
    <w:rsid w:val="00D14F47"/>
    <w:rsid w:val="00D1512C"/>
    <w:rsid w:val="00D173F0"/>
    <w:rsid w:val="00D2037A"/>
    <w:rsid w:val="00D318CA"/>
    <w:rsid w:val="00D649DC"/>
    <w:rsid w:val="00D731A5"/>
    <w:rsid w:val="00D952BB"/>
    <w:rsid w:val="00DA17AA"/>
    <w:rsid w:val="00DE07E4"/>
    <w:rsid w:val="00DE4B4C"/>
    <w:rsid w:val="00DF4C4F"/>
    <w:rsid w:val="00DF5078"/>
    <w:rsid w:val="00DF6256"/>
    <w:rsid w:val="00DF74FC"/>
    <w:rsid w:val="00E33FD1"/>
    <w:rsid w:val="00E7623E"/>
    <w:rsid w:val="00EC5594"/>
    <w:rsid w:val="00ED3ECD"/>
    <w:rsid w:val="00ED58F1"/>
    <w:rsid w:val="00EF6B9F"/>
    <w:rsid w:val="00F279FC"/>
    <w:rsid w:val="00F36BE7"/>
    <w:rsid w:val="00F42279"/>
    <w:rsid w:val="00F47523"/>
    <w:rsid w:val="00F478F8"/>
    <w:rsid w:val="00F67B25"/>
    <w:rsid w:val="00F700B6"/>
    <w:rsid w:val="00F9166B"/>
    <w:rsid w:val="00FB0E66"/>
    <w:rsid w:val="00FB2CEB"/>
    <w:rsid w:val="00FB7C63"/>
    <w:rsid w:val="00FC4001"/>
    <w:rsid w:val="00FD418C"/>
    <w:rsid w:val="00FF00DD"/>
    <w:rsid w:val="00FF773F"/>
    <w:rsid w:val="01DC4590"/>
    <w:rsid w:val="0234CE9B"/>
    <w:rsid w:val="0245E9CF"/>
    <w:rsid w:val="0275D99C"/>
    <w:rsid w:val="037894CE"/>
    <w:rsid w:val="03AEEB20"/>
    <w:rsid w:val="0479AF54"/>
    <w:rsid w:val="0491707D"/>
    <w:rsid w:val="062D4A2B"/>
    <w:rsid w:val="07B65EE9"/>
    <w:rsid w:val="083EADE3"/>
    <w:rsid w:val="094CD6FA"/>
    <w:rsid w:val="0969F803"/>
    <w:rsid w:val="09A9D742"/>
    <w:rsid w:val="0B2684C4"/>
    <w:rsid w:val="0C5C13B7"/>
    <w:rsid w:val="0CA943B1"/>
    <w:rsid w:val="0D19D6B2"/>
    <w:rsid w:val="0EC3E0CC"/>
    <w:rsid w:val="0ECC0829"/>
    <w:rsid w:val="1054E568"/>
    <w:rsid w:val="11CAC6C3"/>
    <w:rsid w:val="127407DA"/>
    <w:rsid w:val="129CD36F"/>
    <w:rsid w:val="13486ADC"/>
    <w:rsid w:val="135225E7"/>
    <w:rsid w:val="141161E9"/>
    <w:rsid w:val="155D355E"/>
    <w:rsid w:val="16909730"/>
    <w:rsid w:val="17FFE64D"/>
    <w:rsid w:val="1855621A"/>
    <w:rsid w:val="18B203FE"/>
    <w:rsid w:val="1A48A48A"/>
    <w:rsid w:val="1B37BD6C"/>
    <w:rsid w:val="1B4B2FD9"/>
    <w:rsid w:val="1C4F91CF"/>
    <w:rsid w:val="1CB10103"/>
    <w:rsid w:val="1CCA3C50"/>
    <w:rsid w:val="1D528844"/>
    <w:rsid w:val="2096BD3B"/>
    <w:rsid w:val="234C834E"/>
    <w:rsid w:val="23787238"/>
    <w:rsid w:val="23DED9C4"/>
    <w:rsid w:val="27144F92"/>
    <w:rsid w:val="2A68500E"/>
    <w:rsid w:val="2A6D9CDB"/>
    <w:rsid w:val="2B3CA6BC"/>
    <w:rsid w:val="2BBE17B4"/>
    <w:rsid w:val="2C1C23BC"/>
    <w:rsid w:val="2F25EA73"/>
    <w:rsid w:val="2F2FE6EB"/>
    <w:rsid w:val="2F62BB5D"/>
    <w:rsid w:val="30BA20E1"/>
    <w:rsid w:val="3214B9A8"/>
    <w:rsid w:val="3256AC24"/>
    <w:rsid w:val="347DE303"/>
    <w:rsid w:val="349C4873"/>
    <w:rsid w:val="3511824E"/>
    <w:rsid w:val="373EC6AF"/>
    <w:rsid w:val="375855B1"/>
    <w:rsid w:val="3835BB80"/>
    <w:rsid w:val="385641BC"/>
    <w:rsid w:val="385A0359"/>
    <w:rsid w:val="388B58EC"/>
    <w:rsid w:val="38B9F90A"/>
    <w:rsid w:val="39227E1E"/>
    <w:rsid w:val="393A6294"/>
    <w:rsid w:val="3989CC72"/>
    <w:rsid w:val="3A0DC15E"/>
    <w:rsid w:val="3A68EA17"/>
    <w:rsid w:val="3B61E291"/>
    <w:rsid w:val="3BCEAB41"/>
    <w:rsid w:val="3C0AE3D6"/>
    <w:rsid w:val="3E3E1E62"/>
    <w:rsid w:val="3E6BA23D"/>
    <w:rsid w:val="3EBA2F9F"/>
    <w:rsid w:val="3EC61006"/>
    <w:rsid w:val="3F3A7ADA"/>
    <w:rsid w:val="3F69F5D3"/>
    <w:rsid w:val="41C11C4F"/>
    <w:rsid w:val="41D8F312"/>
    <w:rsid w:val="4261797C"/>
    <w:rsid w:val="42AAAC47"/>
    <w:rsid w:val="4335DC92"/>
    <w:rsid w:val="43367546"/>
    <w:rsid w:val="44562566"/>
    <w:rsid w:val="46F01829"/>
    <w:rsid w:val="4887F41B"/>
    <w:rsid w:val="4896CA39"/>
    <w:rsid w:val="494CBCB4"/>
    <w:rsid w:val="4A3D3E00"/>
    <w:rsid w:val="4A9386C6"/>
    <w:rsid w:val="4B24E015"/>
    <w:rsid w:val="4C3FF487"/>
    <w:rsid w:val="4C5E8FAF"/>
    <w:rsid w:val="4C99EF28"/>
    <w:rsid w:val="4D9BFE70"/>
    <w:rsid w:val="4DAE32A9"/>
    <w:rsid w:val="4E8AB8F7"/>
    <w:rsid w:val="4F5928E5"/>
    <w:rsid w:val="5066ECD2"/>
    <w:rsid w:val="51361923"/>
    <w:rsid w:val="514F8D70"/>
    <w:rsid w:val="51D8148E"/>
    <w:rsid w:val="53088FE3"/>
    <w:rsid w:val="53DA4AC4"/>
    <w:rsid w:val="5403026E"/>
    <w:rsid w:val="5656AF37"/>
    <w:rsid w:val="56A2E73A"/>
    <w:rsid w:val="56FE0211"/>
    <w:rsid w:val="57981D34"/>
    <w:rsid w:val="57BC3236"/>
    <w:rsid w:val="5993D513"/>
    <w:rsid w:val="59B72ED2"/>
    <w:rsid w:val="59C4144D"/>
    <w:rsid w:val="5C609C4B"/>
    <w:rsid w:val="600F39DC"/>
    <w:rsid w:val="601BC01F"/>
    <w:rsid w:val="6077ABF9"/>
    <w:rsid w:val="61BB6A2D"/>
    <w:rsid w:val="621D00EC"/>
    <w:rsid w:val="63B32192"/>
    <w:rsid w:val="643289AF"/>
    <w:rsid w:val="64847A58"/>
    <w:rsid w:val="64F444B1"/>
    <w:rsid w:val="65C12568"/>
    <w:rsid w:val="660F0D8B"/>
    <w:rsid w:val="66DD0B0A"/>
    <w:rsid w:val="67518E46"/>
    <w:rsid w:val="676A6591"/>
    <w:rsid w:val="69829390"/>
    <w:rsid w:val="6AA22C87"/>
    <w:rsid w:val="6E16749E"/>
    <w:rsid w:val="6E5B8657"/>
    <w:rsid w:val="6FCB7298"/>
    <w:rsid w:val="70F72375"/>
    <w:rsid w:val="714A7D26"/>
    <w:rsid w:val="729D8BF4"/>
    <w:rsid w:val="73869403"/>
    <w:rsid w:val="741CF34B"/>
    <w:rsid w:val="75D59F53"/>
    <w:rsid w:val="76CA5D3D"/>
    <w:rsid w:val="76CA6529"/>
    <w:rsid w:val="7798D6A3"/>
    <w:rsid w:val="78DA2D8B"/>
    <w:rsid w:val="7A3B536D"/>
    <w:rsid w:val="7B325D25"/>
    <w:rsid w:val="7D399974"/>
    <w:rsid w:val="7EEFE584"/>
    <w:rsid w:val="7F0B6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72059"/>
  <w15:chartTrackingRefBased/>
  <w15:docId w15:val="{65A9F301-9EB0-425B-A1B7-27D898E635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C0EC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5594"/>
    <w:pPr>
      <w:keepNext/>
      <w:keepLines/>
      <w:spacing w:before="160" w:after="80"/>
      <w:outlineLvl w:val="1"/>
    </w:pPr>
    <w:rPr>
      <w:rFonts w:ascii="Arial" w:hAnsi="Arial" w:eastAsiaTheme="majorEastAsia" w:cstheme="majorBidi"/>
      <w:b/>
      <w:color w:val="000000" w:themeColor="text1"/>
      <w:sz w:val="32"/>
      <w:szCs w:val="32"/>
      <w:u w:val="single"/>
    </w:rPr>
  </w:style>
  <w:style w:type="paragraph" w:styleId="Heading3">
    <w:name w:val="heading 3"/>
    <w:basedOn w:val="Normal"/>
    <w:next w:val="Normal"/>
    <w:link w:val="Heading3Char"/>
    <w:uiPriority w:val="9"/>
    <w:unhideWhenUsed/>
    <w:qFormat/>
    <w:rsid w:val="00D2037A"/>
    <w:pPr>
      <w:keepNext/>
      <w:keepLines/>
      <w:spacing w:before="160" w:after="80"/>
      <w:outlineLvl w:val="2"/>
    </w:pPr>
    <w:rPr>
      <w:rFonts w:ascii="Arial" w:hAnsi="Arial" w:eastAsiaTheme="majorEastAsia" w:cstheme="majorBidi"/>
      <w:b/>
      <w:szCs w:val="28"/>
    </w:rPr>
  </w:style>
  <w:style w:type="paragraph" w:styleId="Heading4">
    <w:name w:val="heading 4"/>
    <w:basedOn w:val="Normal"/>
    <w:next w:val="Normal"/>
    <w:link w:val="Heading4Char"/>
    <w:uiPriority w:val="9"/>
    <w:semiHidden/>
    <w:unhideWhenUsed/>
    <w:qFormat/>
    <w:rsid w:val="008C0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EC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C0EC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C5594"/>
    <w:rPr>
      <w:rFonts w:ascii="Arial" w:hAnsi="Arial" w:eastAsiaTheme="majorEastAsia" w:cstheme="majorBidi"/>
      <w:b/>
      <w:color w:val="000000" w:themeColor="text1"/>
      <w:sz w:val="32"/>
      <w:szCs w:val="32"/>
      <w:u w:val="single"/>
    </w:rPr>
  </w:style>
  <w:style w:type="character" w:styleId="Heading3Char" w:customStyle="1">
    <w:name w:val="Heading 3 Char"/>
    <w:basedOn w:val="DefaultParagraphFont"/>
    <w:link w:val="Heading3"/>
    <w:uiPriority w:val="9"/>
    <w:rsid w:val="00D2037A"/>
    <w:rPr>
      <w:rFonts w:ascii="Arial" w:hAnsi="Arial" w:eastAsiaTheme="majorEastAsia" w:cstheme="majorBidi"/>
      <w:b/>
      <w:szCs w:val="28"/>
    </w:rPr>
  </w:style>
  <w:style w:type="character" w:styleId="Heading4Char" w:customStyle="1">
    <w:name w:val="Heading 4 Char"/>
    <w:basedOn w:val="DefaultParagraphFont"/>
    <w:link w:val="Heading4"/>
    <w:uiPriority w:val="9"/>
    <w:semiHidden/>
    <w:rsid w:val="008C0EC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C0EC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C0EC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C0EC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C0EC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C0ECF"/>
    <w:rPr>
      <w:rFonts w:eastAsiaTheme="majorEastAsia" w:cstheme="majorBidi"/>
      <w:color w:val="272727" w:themeColor="text1" w:themeTint="D8"/>
    </w:rPr>
  </w:style>
  <w:style w:type="paragraph" w:styleId="Title">
    <w:name w:val="Title"/>
    <w:basedOn w:val="Normal"/>
    <w:next w:val="Normal"/>
    <w:link w:val="TitleChar"/>
    <w:uiPriority w:val="10"/>
    <w:qFormat/>
    <w:rsid w:val="008C0EC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C0EC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C0EC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C0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ECF"/>
    <w:pPr>
      <w:spacing w:before="160"/>
      <w:jc w:val="center"/>
    </w:pPr>
    <w:rPr>
      <w:i/>
      <w:iCs/>
      <w:color w:val="404040" w:themeColor="text1" w:themeTint="BF"/>
    </w:rPr>
  </w:style>
  <w:style w:type="character" w:styleId="QuoteChar" w:customStyle="1">
    <w:name w:val="Quote Char"/>
    <w:basedOn w:val="DefaultParagraphFont"/>
    <w:link w:val="Quote"/>
    <w:uiPriority w:val="29"/>
    <w:rsid w:val="008C0ECF"/>
    <w:rPr>
      <w:i/>
      <w:iCs/>
      <w:color w:val="404040" w:themeColor="text1" w:themeTint="BF"/>
    </w:rPr>
  </w:style>
  <w:style w:type="paragraph" w:styleId="ListParagraph">
    <w:name w:val="List Paragraph"/>
    <w:basedOn w:val="Normal"/>
    <w:uiPriority w:val="34"/>
    <w:qFormat/>
    <w:rsid w:val="008C0ECF"/>
    <w:pPr>
      <w:ind w:left="720"/>
      <w:contextualSpacing/>
    </w:pPr>
  </w:style>
  <w:style w:type="character" w:styleId="IntenseEmphasis">
    <w:name w:val="Intense Emphasis"/>
    <w:basedOn w:val="DefaultParagraphFont"/>
    <w:uiPriority w:val="21"/>
    <w:qFormat/>
    <w:rsid w:val="008C0ECF"/>
    <w:rPr>
      <w:i/>
      <w:iCs/>
      <w:color w:val="0F4761" w:themeColor="accent1" w:themeShade="BF"/>
    </w:rPr>
  </w:style>
  <w:style w:type="paragraph" w:styleId="IntenseQuote">
    <w:name w:val="Intense Quote"/>
    <w:basedOn w:val="Normal"/>
    <w:next w:val="Normal"/>
    <w:link w:val="IntenseQuoteChar"/>
    <w:uiPriority w:val="30"/>
    <w:qFormat/>
    <w:rsid w:val="008C0EC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C0ECF"/>
    <w:rPr>
      <w:i/>
      <w:iCs/>
      <w:color w:val="0F4761" w:themeColor="accent1" w:themeShade="BF"/>
    </w:rPr>
  </w:style>
  <w:style w:type="character" w:styleId="IntenseReference">
    <w:name w:val="Intense Reference"/>
    <w:basedOn w:val="DefaultParagraphFont"/>
    <w:uiPriority w:val="32"/>
    <w:qFormat/>
    <w:rsid w:val="008C0ECF"/>
    <w:rPr>
      <w:b/>
      <w:bCs/>
      <w:smallCaps/>
      <w:color w:val="0F4761" w:themeColor="accent1" w:themeShade="BF"/>
      <w:spacing w:val="5"/>
    </w:rPr>
  </w:style>
  <w:style w:type="paragraph" w:styleId="TOCHeading">
    <w:name w:val="TOC Heading"/>
    <w:basedOn w:val="Heading1"/>
    <w:next w:val="Normal"/>
    <w:uiPriority w:val="39"/>
    <w:unhideWhenUsed/>
    <w:qFormat/>
    <w:rsid w:val="00D2037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33FD1"/>
    <w:pPr>
      <w:spacing w:after="100"/>
    </w:pPr>
  </w:style>
  <w:style w:type="paragraph" w:styleId="TOC2">
    <w:name w:val="toc 2"/>
    <w:basedOn w:val="Normal"/>
    <w:next w:val="Normal"/>
    <w:autoRedefine/>
    <w:uiPriority w:val="39"/>
    <w:unhideWhenUsed/>
    <w:rsid w:val="00E33FD1"/>
    <w:pPr>
      <w:spacing w:after="100"/>
      <w:ind w:left="240"/>
    </w:pPr>
  </w:style>
  <w:style w:type="paragraph" w:styleId="TOC3">
    <w:name w:val="toc 3"/>
    <w:basedOn w:val="Normal"/>
    <w:next w:val="Normal"/>
    <w:autoRedefine/>
    <w:uiPriority w:val="39"/>
    <w:unhideWhenUsed/>
    <w:rsid w:val="00E33FD1"/>
    <w:pPr>
      <w:spacing w:after="100"/>
      <w:ind w:left="480"/>
    </w:pPr>
  </w:style>
  <w:style w:type="character" w:styleId="Hyperlink">
    <w:name w:val="Hyperlink"/>
    <w:basedOn w:val="DefaultParagraphFont"/>
    <w:uiPriority w:val="99"/>
    <w:unhideWhenUsed/>
    <w:rsid w:val="00E33FD1"/>
    <w:rPr>
      <w:color w:val="467886" w:themeColor="hyperlink"/>
      <w:u w:val="single"/>
    </w:rPr>
  </w:style>
  <w:style w:type="paragraph" w:styleId="NormalWeb">
    <w:name w:val="Normal (Web)"/>
    <w:basedOn w:val="Normal"/>
    <w:uiPriority w:val="99"/>
    <w:semiHidden/>
    <w:unhideWhenUsed/>
    <w:rsid w:val="006C22A3"/>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Footer">
    <w:name w:val="footer"/>
    <w:basedOn w:val="Normal"/>
    <w:link w:val="FooterChar"/>
    <w:uiPriority w:val="99"/>
    <w:unhideWhenUsed/>
    <w:rsid w:val="00427569"/>
    <w:pPr>
      <w:tabs>
        <w:tab w:val="center" w:pos="4680"/>
        <w:tab w:val="right" w:pos="9360"/>
      </w:tabs>
      <w:spacing w:after="0" w:line="240" w:lineRule="auto"/>
    </w:pPr>
    <w:rPr>
      <w:rFonts w:cs="Times New Roman" w:eastAsiaTheme="minorEastAsia"/>
      <w:kern w:val="0"/>
      <w:sz w:val="22"/>
      <w:szCs w:val="22"/>
      <w:lang w:val="en-US"/>
      <w14:ligatures w14:val="none"/>
    </w:rPr>
  </w:style>
  <w:style w:type="character" w:styleId="FooterChar" w:customStyle="1">
    <w:name w:val="Footer Char"/>
    <w:basedOn w:val="DefaultParagraphFont"/>
    <w:link w:val="Footer"/>
    <w:uiPriority w:val="99"/>
    <w:rsid w:val="00427569"/>
    <w:rPr>
      <w:rFonts w:cs="Times New Roman" w:eastAsiaTheme="minorEastAsia"/>
      <w:kern w:val="0"/>
      <w:sz w:val="22"/>
      <w:szCs w:val="22"/>
      <w:lang w:val="en-US"/>
      <w14:ligatures w14:val="none"/>
    </w:rPr>
  </w:style>
  <w:style w:type="paragraph" w:styleId="Header">
    <w:name w:val="header"/>
    <w:basedOn w:val="Normal"/>
    <w:link w:val="HeaderChar"/>
    <w:uiPriority w:val="99"/>
    <w:unhideWhenUsed/>
    <w:rsid w:val="001C5E3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C5E34"/>
  </w:style>
  <w:style w:type="table" w:styleId="TableGrid">
    <w:name w:val="Table Grid"/>
    <w:basedOn w:val="TableNormal"/>
    <w:uiPriority w:val="39"/>
    <w:rsid w:val="002C69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C35D44"/>
    <w:rPr>
      <w:color w:val="605E5C"/>
      <w:shd w:val="clear" w:color="auto" w:fill="E1DFDD"/>
    </w:rPr>
  </w:style>
  <w:style w:type="character" w:styleId="FollowedHyperlink">
    <w:name w:val="FollowedHyperlink"/>
    <w:basedOn w:val="DefaultParagraphFont"/>
    <w:uiPriority w:val="99"/>
    <w:semiHidden/>
    <w:unhideWhenUsed/>
    <w:rsid w:val="005E007B"/>
    <w:rPr>
      <w:color w:val="96607D" w:themeColor="followedHyperlink"/>
      <w:u w:val="single"/>
    </w:rPr>
  </w:style>
  <w:style w:type="character" w:styleId="PlaceholderText">
    <w:uiPriority w:val="99"/>
    <w:name w:val="Placeholder Text"/>
    <w:basedOn w:val="DefaultParagraphFont"/>
    <w:semiHidden/>
    <w:rsid w:val="129CD36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90803">
      <w:bodyDiv w:val="1"/>
      <w:marLeft w:val="0"/>
      <w:marRight w:val="0"/>
      <w:marTop w:val="0"/>
      <w:marBottom w:val="0"/>
      <w:divBdr>
        <w:top w:val="none" w:sz="0" w:space="0" w:color="auto"/>
        <w:left w:val="none" w:sz="0" w:space="0" w:color="auto"/>
        <w:bottom w:val="none" w:sz="0" w:space="0" w:color="auto"/>
        <w:right w:val="none" w:sz="0" w:space="0" w:color="auto"/>
      </w:divBdr>
    </w:div>
    <w:div w:id="313687388">
      <w:bodyDiv w:val="1"/>
      <w:marLeft w:val="0"/>
      <w:marRight w:val="0"/>
      <w:marTop w:val="0"/>
      <w:marBottom w:val="0"/>
      <w:divBdr>
        <w:top w:val="none" w:sz="0" w:space="0" w:color="auto"/>
        <w:left w:val="none" w:sz="0" w:space="0" w:color="auto"/>
        <w:bottom w:val="none" w:sz="0" w:space="0" w:color="auto"/>
        <w:right w:val="none" w:sz="0" w:space="0" w:color="auto"/>
      </w:divBdr>
    </w:div>
    <w:div w:id="504591201">
      <w:bodyDiv w:val="1"/>
      <w:marLeft w:val="0"/>
      <w:marRight w:val="0"/>
      <w:marTop w:val="0"/>
      <w:marBottom w:val="0"/>
      <w:divBdr>
        <w:top w:val="none" w:sz="0" w:space="0" w:color="auto"/>
        <w:left w:val="none" w:sz="0" w:space="0" w:color="auto"/>
        <w:bottom w:val="none" w:sz="0" w:space="0" w:color="auto"/>
        <w:right w:val="none" w:sz="0" w:space="0" w:color="auto"/>
      </w:divBdr>
    </w:div>
    <w:div w:id="740491267">
      <w:bodyDiv w:val="1"/>
      <w:marLeft w:val="0"/>
      <w:marRight w:val="0"/>
      <w:marTop w:val="0"/>
      <w:marBottom w:val="0"/>
      <w:divBdr>
        <w:top w:val="none" w:sz="0" w:space="0" w:color="auto"/>
        <w:left w:val="none" w:sz="0" w:space="0" w:color="auto"/>
        <w:bottom w:val="none" w:sz="0" w:space="0" w:color="auto"/>
        <w:right w:val="none" w:sz="0" w:space="0" w:color="auto"/>
      </w:divBdr>
      <w:divsChild>
        <w:div w:id="746415689">
          <w:marLeft w:val="0"/>
          <w:marRight w:val="0"/>
          <w:marTop w:val="0"/>
          <w:marBottom w:val="0"/>
          <w:divBdr>
            <w:top w:val="none" w:sz="0" w:space="0" w:color="auto"/>
            <w:left w:val="none" w:sz="0" w:space="0" w:color="auto"/>
            <w:bottom w:val="none" w:sz="0" w:space="0" w:color="auto"/>
            <w:right w:val="none" w:sz="0" w:space="0" w:color="auto"/>
          </w:divBdr>
        </w:div>
      </w:divsChild>
    </w:div>
    <w:div w:id="887567421">
      <w:bodyDiv w:val="1"/>
      <w:marLeft w:val="0"/>
      <w:marRight w:val="0"/>
      <w:marTop w:val="0"/>
      <w:marBottom w:val="0"/>
      <w:divBdr>
        <w:top w:val="none" w:sz="0" w:space="0" w:color="auto"/>
        <w:left w:val="none" w:sz="0" w:space="0" w:color="auto"/>
        <w:bottom w:val="none" w:sz="0" w:space="0" w:color="auto"/>
        <w:right w:val="none" w:sz="0" w:space="0" w:color="auto"/>
      </w:divBdr>
      <w:divsChild>
        <w:div w:id="1411387541">
          <w:marLeft w:val="0"/>
          <w:marRight w:val="0"/>
          <w:marTop w:val="0"/>
          <w:marBottom w:val="0"/>
          <w:divBdr>
            <w:top w:val="none" w:sz="0" w:space="0" w:color="auto"/>
            <w:left w:val="none" w:sz="0" w:space="0" w:color="auto"/>
            <w:bottom w:val="none" w:sz="0" w:space="0" w:color="auto"/>
            <w:right w:val="none" w:sz="0" w:space="0" w:color="auto"/>
          </w:divBdr>
        </w:div>
      </w:divsChild>
    </w:div>
    <w:div w:id="1036807378">
      <w:bodyDiv w:val="1"/>
      <w:marLeft w:val="0"/>
      <w:marRight w:val="0"/>
      <w:marTop w:val="0"/>
      <w:marBottom w:val="0"/>
      <w:divBdr>
        <w:top w:val="none" w:sz="0" w:space="0" w:color="auto"/>
        <w:left w:val="none" w:sz="0" w:space="0" w:color="auto"/>
        <w:bottom w:val="none" w:sz="0" w:space="0" w:color="auto"/>
        <w:right w:val="none" w:sz="0" w:space="0" w:color="auto"/>
      </w:divBdr>
    </w:div>
    <w:div w:id="1058868598">
      <w:bodyDiv w:val="1"/>
      <w:marLeft w:val="0"/>
      <w:marRight w:val="0"/>
      <w:marTop w:val="0"/>
      <w:marBottom w:val="0"/>
      <w:divBdr>
        <w:top w:val="none" w:sz="0" w:space="0" w:color="auto"/>
        <w:left w:val="none" w:sz="0" w:space="0" w:color="auto"/>
        <w:bottom w:val="none" w:sz="0" w:space="0" w:color="auto"/>
        <w:right w:val="none" w:sz="0" w:space="0" w:color="auto"/>
      </w:divBdr>
    </w:div>
    <w:div w:id="1272709528">
      <w:bodyDiv w:val="1"/>
      <w:marLeft w:val="0"/>
      <w:marRight w:val="0"/>
      <w:marTop w:val="0"/>
      <w:marBottom w:val="0"/>
      <w:divBdr>
        <w:top w:val="none" w:sz="0" w:space="0" w:color="auto"/>
        <w:left w:val="none" w:sz="0" w:space="0" w:color="auto"/>
        <w:bottom w:val="none" w:sz="0" w:space="0" w:color="auto"/>
        <w:right w:val="none" w:sz="0" w:space="0" w:color="auto"/>
      </w:divBdr>
    </w:div>
    <w:div w:id="1333333174">
      <w:bodyDiv w:val="1"/>
      <w:marLeft w:val="0"/>
      <w:marRight w:val="0"/>
      <w:marTop w:val="0"/>
      <w:marBottom w:val="0"/>
      <w:divBdr>
        <w:top w:val="none" w:sz="0" w:space="0" w:color="auto"/>
        <w:left w:val="none" w:sz="0" w:space="0" w:color="auto"/>
        <w:bottom w:val="none" w:sz="0" w:space="0" w:color="auto"/>
        <w:right w:val="none" w:sz="0" w:space="0" w:color="auto"/>
      </w:divBdr>
      <w:divsChild>
        <w:div w:id="1515874270">
          <w:marLeft w:val="0"/>
          <w:marRight w:val="0"/>
          <w:marTop w:val="0"/>
          <w:marBottom w:val="0"/>
          <w:divBdr>
            <w:top w:val="none" w:sz="0" w:space="0" w:color="auto"/>
            <w:left w:val="none" w:sz="0" w:space="0" w:color="auto"/>
            <w:bottom w:val="none" w:sz="0" w:space="0" w:color="auto"/>
            <w:right w:val="none" w:sz="0" w:space="0" w:color="auto"/>
          </w:divBdr>
        </w:div>
      </w:divsChild>
    </w:div>
    <w:div w:id="1512646347">
      <w:bodyDiv w:val="1"/>
      <w:marLeft w:val="0"/>
      <w:marRight w:val="0"/>
      <w:marTop w:val="0"/>
      <w:marBottom w:val="0"/>
      <w:divBdr>
        <w:top w:val="none" w:sz="0" w:space="0" w:color="auto"/>
        <w:left w:val="none" w:sz="0" w:space="0" w:color="auto"/>
        <w:bottom w:val="none" w:sz="0" w:space="0" w:color="auto"/>
        <w:right w:val="none" w:sz="0" w:space="0" w:color="auto"/>
      </w:divBdr>
    </w:div>
    <w:div w:id="1558393057">
      <w:bodyDiv w:val="1"/>
      <w:marLeft w:val="0"/>
      <w:marRight w:val="0"/>
      <w:marTop w:val="0"/>
      <w:marBottom w:val="0"/>
      <w:divBdr>
        <w:top w:val="none" w:sz="0" w:space="0" w:color="auto"/>
        <w:left w:val="none" w:sz="0" w:space="0" w:color="auto"/>
        <w:bottom w:val="none" w:sz="0" w:space="0" w:color="auto"/>
        <w:right w:val="none" w:sz="0" w:space="0" w:color="auto"/>
      </w:divBdr>
    </w:div>
    <w:div w:id="1568951011">
      <w:bodyDiv w:val="1"/>
      <w:marLeft w:val="0"/>
      <w:marRight w:val="0"/>
      <w:marTop w:val="0"/>
      <w:marBottom w:val="0"/>
      <w:divBdr>
        <w:top w:val="none" w:sz="0" w:space="0" w:color="auto"/>
        <w:left w:val="none" w:sz="0" w:space="0" w:color="auto"/>
        <w:bottom w:val="none" w:sz="0" w:space="0" w:color="auto"/>
        <w:right w:val="none" w:sz="0" w:space="0" w:color="auto"/>
      </w:divBdr>
    </w:div>
    <w:div w:id="1584534574">
      <w:bodyDiv w:val="1"/>
      <w:marLeft w:val="0"/>
      <w:marRight w:val="0"/>
      <w:marTop w:val="0"/>
      <w:marBottom w:val="0"/>
      <w:divBdr>
        <w:top w:val="none" w:sz="0" w:space="0" w:color="auto"/>
        <w:left w:val="none" w:sz="0" w:space="0" w:color="auto"/>
        <w:bottom w:val="none" w:sz="0" w:space="0" w:color="auto"/>
        <w:right w:val="none" w:sz="0" w:space="0" w:color="auto"/>
      </w:divBdr>
      <w:divsChild>
        <w:div w:id="1041395592">
          <w:marLeft w:val="0"/>
          <w:marRight w:val="0"/>
          <w:marTop w:val="0"/>
          <w:marBottom w:val="0"/>
          <w:divBdr>
            <w:top w:val="none" w:sz="0" w:space="0" w:color="auto"/>
            <w:left w:val="none" w:sz="0" w:space="0" w:color="auto"/>
            <w:bottom w:val="none" w:sz="0" w:space="0" w:color="auto"/>
            <w:right w:val="none" w:sz="0" w:space="0" w:color="auto"/>
          </w:divBdr>
        </w:div>
      </w:divsChild>
    </w:div>
    <w:div w:id="1612586172">
      <w:bodyDiv w:val="1"/>
      <w:marLeft w:val="0"/>
      <w:marRight w:val="0"/>
      <w:marTop w:val="0"/>
      <w:marBottom w:val="0"/>
      <w:divBdr>
        <w:top w:val="none" w:sz="0" w:space="0" w:color="auto"/>
        <w:left w:val="none" w:sz="0" w:space="0" w:color="auto"/>
        <w:bottom w:val="none" w:sz="0" w:space="0" w:color="auto"/>
        <w:right w:val="none" w:sz="0" w:space="0" w:color="auto"/>
      </w:divBdr>
      <w:divsChild>
        <w:div w:id="1552383491">
          <w:marLeft w:val="0"/>
          <w:marRight w:val="0"/>
          <w:marTop w:val="0"/>
          <w:marBottom w:val="0"/>
          <w:divBdr>
            <w:top w:val="none" w:sz="0" w:space="0" w:color="auto"/>
            <w:left w:val="none" w:sz="0" w:space="0" w:color="auto"/>
            <w:bottom w:val="none" w:sz="0" w:space="0" w:color="auto"/>
            <w:right w:val="none" w:sz="0" w:space="0" w:color="auto"/>
          </w:divBdr>
        </w:div>
      </w:divsChild>
    </w:div>
    <w:div w:id="172367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doi.org/10.3399/BJGP.2022.0150." TargetMode="External" Id="rId13" /><Relationship Type="http://schemas.openxmlformats.org/officeDocument/2006/relationships/hyperlink" Target="https://www.who.int/publications/i/item/9789240020924%20" TargetMode="External" Id="rId26" /><Relationship Type="http://schemas.openxmlformats.org/officeDocument/2006/relationships/styles" Target="styles.xml" Id="rId3" /><Relationship Type="http://schemas.openxmlformats.org/officeDocument/2006/relationships/hyperlink" Target="https://www.england.nhs.uk/2025/12/record-numbers-using-nhs-app-to-manage-health/" TargetMode="Externa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gov.uk/government/publications/the-caldicott-principles%20" TargetMode="External" Id="rId16" /><Relationship Type="http://schemas.openxmlformats.org/officeDocument/2006/relationships/hyperlink" Target="https://www.england.nhs.uk/2024/08/libraries-supporting-more-people-to-use-nhs-app/%20"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kingsfund.org.uk/insight-and-analysis/evidence-and-consultations/ensuring-digitally-enabled-health-care-equitable-effective-for-all%20" TargetMode="External" Id="rId24" /><Relationship Type="http://schemas.openxmlformats.org/officeDocument/2006/relationships/webSettings" Target="webSettings.xml" Id="rId5" /><Relationship Type="http://schemas.openxmlformats.org/officeDocument/2006/relationships/hyperlink" Target="https://doi.org/10.1177/01410768261421427" TargetMode="External" Id="rId15" /><Relationship Type="http://schemas.openxmlformats.org/officeDocument/2006/relationships/hyperlink" Target="https://doi.org/10.1186/s12916-024-03842-w." TargetMode="External" Id="rId23" /><Relationship Type="http://schemas.openxmlformats.org/officeDocument/2006/relationships/fontTable" Target="fontTable.xml" Id="rId28" /><Relationship Type="http://schemas.openxmlformats.org/officeDocument/2006/relationships/hyperlink" Target=":%20https:/www.england.nhs.uk/2024/05/nhs-app-messaging-saved-nhs-more-than-1-million-in-last-year/%20" TargetMode="Externa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pifonline.org.uk/news/public-patient-experience-nhs-app/%20" TargetMode="External" Id="rId22" /><Relationship Type="http://schemas.openxmlformats.org/officeDocument/2006/relationships/footer" Target="footer1.xml" Id="rId27" /><Relationship Type="http://schemas.microsoft.com/office/2020/10/relationships/intelligence" Target="intelligence2.xml" Id="R4a5ececb620942bc" /><Relationship Type="http://schemas.openxmlformats.org/officeDocument/2006/relationships/hyperlink" Target="https://www.gov.uk/government/publications/a-plan-for-digital-health-and-social-care/a-plan-for-digital-health-and-social-care" TargetMode="External" Id="R2aa2bcf3160e4a88" /><Relationship Type="http://schemas.openxmlformats.org/officeDocument/2006/relationships/hyperlink" Target="https://doi.org/10.3310/XYRV6485" TargetMode="External" Id="R759477f722d440fd" /><Relationship Type="http://schemas.openxmlformats.org/officeDocument/2006/relationships/hyperlink" Target="https://pubmed.ncbi.nlm.nih.gov/39536310/" TargetMode="External" Id="Rab006cf3324c4706" /><Relationship Type="http://schemas.openxmlformats.org/officeDocument/2006/relationships/hyperlink" Target="https://www.england.nhs.uk/long-read/inclusive-digital-healthcare-a-framework-for-nhs-action-on-digital-inclusion/%20" TargetMode="External" Id="Rcada7beda2344da7" /><Relationship Type="http://schemas.openxmlformats.org/officeDocument/2006/relationships/hyperlink" Target="https://www.england.nhs.uk/publication/supporting-digital-inclusion-in-general-practice-10-top-tips/" TargetMode="External" Id="R28bb4a43641e46e7" /><Relationship Type="http://schemas.openxmlformats.org/officeDocument/2006/relationships/hyperlink" Target="https://www.legislation.gov.uk/ukpga/2018/12/contents%20" TargetMode="External" Id="Rfe03be9fb4b04980" /><Relationship Type="http://schemas.openxmlformats.org/officeDocument/2006/relationships/hyperlink" Target="https://publications.parliament.uk/pa/cm5803/cmselect/cmhealth/223/report.html" TargetMode="External" Id="Rfedf4cad0d354309" /><Relationship Type="http://schemas.openxmlformats.org/officeDocument/2006/relationships/header" Target="header.xml" Id="Rbffa6880b7204f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56BE5-676C-4EFD-B5CF-F71647174E6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Khan</dc:creator>
  <keywords/>
  <dc:description/>
  <lastModifiedBy>Saima Khan (2407142)</lastModifiedBy>
  <revision>137</revision>
  <dcterms:created xsi:type="dcterms:W3CDTF">2026-10-10T17:32:00.0000000Z</dcterms:created>
  <dcterms:modified xsi:type="dcterms:W3CDTF">2026-10-18T18:56:39.3152099Z</dcterms:modified>
</coreProperties>
</file>