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5E275" w14:textId="50F5D38F" w:rsidR="00C6330E" w:rsidRPr="0045647D" w:rsidRDefault="00B73731" w:rsidP="0045647D">
      <w:pPr>
        <w:spacing w:line="360" w:lineRule="auto"/>
        <w:rPr>
          <w:rFonts w:ascii="Arial" w:hAnsi="Arial" w:cs="Arial"/>
          <w:sz w:val="24"/>
          <w:szCs w:val="24"/>
        </w:rPr>
      </w:pPr>
      <w:r w:rsidRPr="000D342A">
        <w:rPr>
          <w:rFonts w:ascii="Arial" w:hAnsi="Arial" w:cs="Arial"/>
          <w:noProof/>
        </w:rPr>
        <w:drawing>
          <wp:inline distT="0" distB="0" distL="0" distR="0" wp14:anchorId="01C1F16A" wp14:editId="08572888">
            <wp:extent cx="1914792" cy="714475"/>
            <wp:effectExtent l="0" t="0" r="0" b="9525"/>
            <wp:docPr id="133066918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669187" name="Picture 1" descr="A black text on a white background&#10;&#10;AI-generated content may be incorrect."/>
                    <pic:cNvPicPr/>
                  </pic:nvPicPr>
                  <pic:blipFill>
                    <a:blip r:embed="rId8"/>
                    <a:stretch>
                      <a:fillRect/>
                    </a:stretch>
                  </pic:blipFill>
                  <pic:spPr>
                    <a:xfrm>
                      <a:off x="0" y="0"/>
                      <a:ext cx="1914792" cy="714475"/>
                    </a:xfrm>
                    <a:prstGeom prst="rect">
                      <a:avLst/>
                    </a:prstGeom>
                  </pic:spPr>
                </pic:pic>
              </a:graphicData>
            </a:graphic>
          </wp:inline>
        </w:drawing>
      </w:r>
      <w:r w:rsidR="00C6330E" w:rsidRPr="0045647D">
        <w:rPr>
          <w:rFonts w:ascii="Arial" w:hAnsi="Arial" w:cs="Arial"/>
          <w:sz w:val="24"/>
          <w:szCs w:val="24"/>
        </w:rPr>
        <w:br/>
      </w:r>
    </w:p>
    <w:p w14:paraId="10A7E7CE" w14:textId="77777777" w:rsidR="00B73731" w:rsidRDefault="00B73731" w:rsidP="00B73731">
      <w:pPr>
        <w:spacing w:line="276" w:lineRule="auto"/>
        <w:jc w:val="center"/>
        <w:rPr>
          <w:rFonts w:ascii="Arial" w:hAnsi="Arial" w:cs="Arial"/>
          <w:b/>
          <w:bCs/>
          <w:sz w:val="120"/>
          <w:szCs w:val="120"/>
        </w:rPr>
      </w:pPr>
    </w:p>
    <w:p w14:paraId="6B843450" w14:textId="7D0672F8" w:rsidR="00B73731" w:rsidRPr="00B73731" w:rsidRDefault="00B73731" w:rsidP="00B73731">
      <w:pPr>
        <w:spacing w:line="276" w:lineRule="auto"/>
        <w:jc w:val="center"/>
        <w:rPr>
          <w:rFonts w:ascii="Arial" w:hAnsi="Arial" w:cs="Arial"/>
          <w:b/>
          <w:bCs/>
          <w:sz w:val="24"/>
          <w:szCs w:val="24"/>
        </w:rPr>
      </w:pPr>
      <w:r w:rsidRPr="00B73731">
        <w:rPr>
          <w:rFonts w:ascii="Arial" w:hAnsi="Arial" w:cs="Arial"/>
          <w:b/>
          <w:bCs/>
          <w:sz w:val="120"/>
          <w:szCs w:val="120"/>
        </w:rPr>
        <w:t>Management Accounting in DP World</w:t>
      </w:r>
    </w:p>
    <w:p w14:paraId="53FDF77A" w14:textId="77777777" w:rsidR="00B73731" w:rsidRDefault="00B73731" w:rsidP="00B73731">
      <w:pPr>
        <w:rPr>
          <w:rFonts w:ascii="Arial" w:hAnsi="Arial" w:cs="Arial"/>
          <w:b/>
          <w:bCs/>
        </w:rPr>
      </w:pPr>
    </w:p>
    <w:p w14:paraId="4DE2CE91" w14:textId="77777777" w:rsidR="00B73731" w:rsidRDefault="00B73731" w:rsidP="00B73731">
      <w:pPr>
        <w:rPr>
          <w:rFonts w:ascii="Arial" w:hAnsi="Arial" w:cs="Arial"/>
          <w:b/>
          <w:bCs/>
        </w:rPr>
      </w:pPr>
    </w:p>
    <w:p w14:paraId="66673DE1" w14:textId="77777777" w:rsidR="00B73731" w:rsidRDefault="00B73731" w:rsidP="00B73731">
      <w:pPr>
        <w:rPr>
          <w:rFonts w:ascii="Arial" w:hAnsi="Arial" w:cs="Arial"/>
          <w:b/>
          <w:bCs/>
        </w:rPr>
      </w:pPr>
    </w:p>
    <w:p w14:paraId="08497ED1" w14:textId="77777777" w:rsidR="00B73731" w:rsidRDefault="00B73731" w:rsidP="00B73731">
      <w:pPr>
        <w:rPr>
          <w:rFonts w:ascii="Arial" w:hAnsi="Arial" w:cs="Arial"/>
          <w:b/>
          <w:bCs/>
        </w:rPr>
      </w:pPr>
    </w:p>
    <w:p w14:paraId="4B8E9DB0" w14:textId="77777777" w:rsidR="00B73731" w:rsidRDefault="00B73731" w:rsidP="00B73731">
      <w:pPr>
        <w:rPr>
          <w:rFonts w:ascii="Arial" w:hAnsi="Arial" w:cs="Arial"/>
          <w:b/>
          <w:bCs/>
        </w:rPr>
      </w:pPr>
    </w:p>
    <w:p w14:paraId="09D91E77" w14:textId="77777777" w:rsidR="00B73731" w:rsidRDefault="00B73731" w:rsidP="00B73731">
      <w:pPr>
        <w:rPr>
          <w:rFonts w:ascii="Arial" w:hAnsi="Arial" w:cs="Arial"/>
          <w:b/>
          <w:bCs/>
        </w:rPr>
      </w:pPr>
    </w:p>
    <w:p w14:paraId="65309162" w14:textId="77777777" w:rsidR="00B73731" w:rsidRDefault="00B73731" w:rsidP="00B73731">
      <w:pPr>
        <w:rPr>
          <w:rFonts w:ascii="Arial" w:hAnsi="Arial" w:cs="Arial"/>
          <w:b/>
          <w:bCs/>
        </w:rPr>
      </w:pPr>
    </w:p>
    <w:p w14:paraId="72DD3EC6" w14:textId="77777777" w:rsidR="00B73731" w:rsidRDefault="00B73731" w:rsidP="00B73731">
      <w:pPr>
        <w:rPr>
          <w:rFonts w:ascii="Arial" w:hAnsi="Arial" w:cs="Arial"/>
          <w:b/>
          <w:bCs/>
        </w:rPr>
      </w:pPr>
    </w:p>
    <w:p w14:paraId="018DC814" w14:textId="77777777" w:rsidR="00B73731" w:rsidRDefault="00B73731" w:rsidP="00B73731">
      <w:pPr>
        <w:rPr>
          <w:rFonts w:ascii="Arial" w:hAnsi="Arial" w:cs="Arial"/>
          <w:b/>
          <w:bCs/>
        </w:rPr>
      </w:pPr>
      <w:r w:rsidRPr="00784B78">
        <w:rPr>
          <w:rFonts w:ascii="Arial" w:hAnsi="Arial" w:cs="Arial"/>
          <w:b/>
          <w:bCs/>
        </w:rPr>
        <w:t xml:space="preserve">Module Code: </w:t>
      </w:r>
      <w:r w:rsidRPr="00B73731">
        <w:rPr>
          <w:rFonts w:ascii="Arial" w:hAnsi="Arial" w:cs="Arial"/>
          <w:b/>
          <w:bCs/>
        </w:rPr>
        <w:t>LCBB5010</w:t>
      </w:r>
    </w:p>
    <w:p w14:paraId="338F2204" w14:textId="77777777" w:rsidR="00B73731" w:rsidRDefault="00B73731" w:rsidP="00B73731">
      <w:pPr>
        <w:rPr>
          <w:rFonts w:ascii="Arial" w:hAnsi="Arial" w:cs="Arial"/>
          <w:b/>
          <w:bCs/>
        </w:rPr>
      </w:pPr>
      <w:r w:rsidRPr="00784B78">
        <w:rPr>
          <w:rFonts w:ascii="Arial" w:hAnsi="Arial" w:cs="Arial"/>
          <w:b/>
          <w:bCs/>
        </w:rPr>
        <w:t xml:space="preserve">Module: </w:t>
      </w:r>
      <w:r w:rsidRPr="00B73731">
        <w:rPr>
          <w:rFonts w:ascii="Arial" w:hAnsi="Arial" w:cs="Arial"/>
          <w:b/>
          <w:bCs/>
        </w:rPr>
        <w:t>Management Accounting for Managers</w:t>
      </w:r>
    </w:p>
    <w:p w14:paraId="7A6FF1BA" w14:textId="3601CB1E" w:rsidR="00B73731" w:rsidRDefault="00B73731" w:rsidP="00B73731">
      <w:pPr>
        <w:rPr>
          <w:rFonts w:ascii="Arial" w:hAnsi="Arial" w:cs="Arial"/>
          <w:b/>
          <w:bCs/>
        </w:rPr>
      </w:pPr>
      <w:r w:rsidRPr="00784B78">
        <w:rPr>
          <w:rFonts w:ascii="Arial" w:hAnsi="Arial" w:cs="Arial"/>
          <w:b/>
          <w:bCs/>
        </w:rPr>
        <w:t xml:space="preserve">Module Lecturer: </w:t>
      </w:r>
      <w:r w:rsidRPr="00B73731">
        <w:rPr>
          <w:rFonts w:ascii="Arial" w:hAnsi="Arial" w:cs="Arial"/>
          <w:b/>
          <w:bCs/>
        </w:rPr>
        <w:t>Zainab Atta</w:t>
      </w:r>
    </w:p>
    <w:p w14:paraId="33995E3D" w14:textId="77777777" w:rsidR="00B73731" w:rsidRDefault="00B73731" w:rsidP="00B73731">
      <w:pPr>
        <w:rPr>
          <w:rFonts w:ascii="Arial" w:hAnsi="Arial" w:cs="Arial"/>
          <w:b/>
          <w:bCs/>
        </w:rPr>
      </w:pPr>
      <w:r w:rsidRPr="00784B78">
        <w:rPr>
          <w:rFonts w:ascii="Arial" w:hAnsi="Arial" w:cs="Arial"/>
          <w:b/>
          <w:bCs/>
        </w:rPr>
        <w:t>Student Name</w:t>
      </w:r>
      <w:r>
        <w:rPr>
          <w:rFonts w:ascii="Arial" w:hAnsi="Arial" w:cs="Arial"/>
          <w:b/>
          <w:bCs/>
        </w:rPr>
        <w:t>:</w:t>
      </w:r>
      <w:r w:rsidRPr="001D4A9C">
        <w:rPr>
          <w:rFonts w:ascii="Arial" w:hAnsi="Arial" w:cs="Arial"/>
          <w:b/>
          <w:bCs/>
        </w:rPr>
        <w:t xml:space="preserve"> </w:t>
      </w:r>
      <w:r w:rsidRPr="00784B78">
        <w:rPr>
          <w:rFonts w:ascii="Arial" w:hAnsi="Arial" w:cs="Arial"/>
          <w:b/>
          <w:bCs/>
        </w:rPr>
        <w:t>Mihai-George Santa</w:t>
      </w:r>
    </w:p>
    <w:p w14:paraId="6826C02B" w14:textId="714FC0EA" w:rsidR="00B73731" w:rsidRPr="00B73731" w:rsidRDefault="00B73731" w:rsidP="00B73731">
      <w:pPr>
        <w:rPr>
          <w:rFonts w:ascii="Arial" w:hAnsi="Arial" w:cs="Arial"/>
          <w:b/>
          <w:bCs/>
        </w:rPr>
      </w:pPr>
      <w:r w:rsidRPr="00784B78">
        <w:rPr>
          <w:rFonts w:ascii="Arial" w:hAnsi="Arial" w:cs="Arial"/>
          <w:b/>
          <w:bCs/>
        </w:rPr>
        <w:t>Student ID</w:t>
      </w:r>
      <w:r>
        <w:rPr>
          <w:rFonts w:ascii="Arial" w:hAnsi="Arial" w:cs="Arial"/>
          <w:b/>
          <w:bCs/>
        </w:rPr>
        <w:t xml:space="preserve">: </w:t>
      </w:r>
      <w:r w:rsidRPr="00784B78">
        <w:rPr>
          <w:rFonts w:ascii="Arial" w:hAnsi="Arial" w:cs="Arial"/>
          <w:b/>
          <w:bCs/>
        </w:rPr>
        <w:t>2030796</w:t>
      </w:r>
    </w:p>
    <w:sdt>
      <w:sdtPr>
        <w:rPr>
          <w:rFonts w:ascii="Arial" w:eastAsiaTheme="minorHAnsi" w:hAnsi="Arial" w:cs="Arial"/>
          <w:color w:val="auto"/>
          <w:kern w:val="2"/>
          <w:sz w:val="24"/>
          <w:szCs w:val="24"/>
          <w:lang w:val="en-GB"/>
          <w14:ligatures w14:val="standardContextual"/>
        </w:rPr>
        <w:id w:val="-1017226335"/>
        <w:docPartObj>
          <w:docPartGallery w:val="Table of Contents"/>
          <w:docPartUnique/>
        </w:docPartObj>
      </w:sdtPr>
      <w:sdtEndPr>
        <w:rPr>
          <w:b/>
          <w:bCs/>
          <w:noProof/>
        </w:rPr>
      </w:sdtEndPr>
      <w:sdtContent>
        <w:p w14:paraId="08CAEA7F" w14:textId="0116F0F6" w:rsidR="0045647D" w:rsidRPr="0045647D" w:rsidRDefault="0045647D" w:rsidP="00B73731">
          <w:pPr>
            <w:pStyle w:val="TOCHeading"/>
            <w:spacing w:line="360" w:lineRule="auto"/>
            <w:rPr>
              <w:rFonts w:ascii="Arial" w:hAnsi="Arial" w:cs="Arial"/>
              <w:sz w:val="24"/>
              <w:szCs w:val="24"/>
            </w:rPr>
          </w:pPr>
          <w:r w:rsidRPr="0045647D">
            <w:rPr>
              <w:rFonts w:ascii="Arial" w:hAnsi="Arial" w:cs="Arial"/>
              <w:sz w:val="24"/>
              <w:szCs w:val="24"/>
            </w:rPr>
            <w:t>Contents</w:t>
          </w:r>
        </w:p>
        <w:p w14:paraId="2A7EF049" w14:textId="77820E81" w:rsidR="00C809F0" w:rsidRDefault="0045647D">
          <w:pPr>
            <w:pStyle w:val="TOC1"/>
            <w:tabs>
              <w:tab w:val="right" w:leader="dot" w:pos="9016"/>
            </w:tabs>
            <w:rPr>
              <w:rFonts w:eastAsiaTheme="minorEastAsia"/>
              <w:noProof/>
              <w:sz w:val="24"/>
              <w:szCs w:val="24"/>
              <w:lang w:eastAsia="en-GB"/>
            </w:rPr>
          </w:pPr>
          <w:r w:rsidRPr="0045647D">
            <w:rPr>
              <w:rFonts w:ascii="Arial" w:hAnsi="Arial" w:cs="Arial"/>
              <w:sz w:val="24"/>
              <w:szCs w:val="24"/>
            </w:rPr>
            <w:fldChar w:fldCharType="begin"/>
          </w:r>
          <w:r w:rsidRPr="0045647D">
            <w:rPr>
              <w:rFonts w:ascii="Arial" w:hAnsi="Arial" w:cs="Arial"/>
              <w:sz w:val="24"/>
              <w:szCs w:val="24"/>
            </w:rPr>
            <w:instrText xml:space="preserve"> TOC \o "1-3" \h \z \u </w:instrText>
          </w:r>
          <w:r w:rsidRPr="0045647D">
            <w:rPr>
              <w:rFonts w:ascii="Arial" w:hAnsi="Arial" w:cs="Arial"/>
              <w:sz w:val="24"/>
              <w:szCs w:val="24"/>
            </w:rPr>
            <w:fldChar w:fldCharType="separate"/>
          </w:r>
          <w:hyperlink w:anchor="_Toc225559996" w:history="1">
            <w:r w:rsidR="00C809F0" w:rsidRPr="002E31A5">
              <w:rPr>
                <w:rStyle w:val="Hyperlink"/>
                <w:rFonts w:ascii="Arial" w:hAnsi="Arial" w:cs="Arial"/>
                <w:noProof/>
              </w:rPr>
              <w:t>1. Introduction</w:t>
            </w:r>
            <w:r w:rsidR="00C809F0">
              <w:rPr>
                <w:noProof/>
                <w:webHidden/>
              </w:rPr>
              <w:tab/>
            </w:r>
            <w:r w:rsidR="00C809F0">
              <w:rPr>
                <w:noProof/>
                <w:webHidden/>
              </w:rPr>
              <w:fldChar w:fldCharType="begin"/>
            </w:r>
            <w:r w:rsidR="00C809F0">
              <w:rPr>
                <w:noProof/>
                <w:webHidden/>
              </w:rPr>
              <w:instrText xml:space="preserve"> PAGEREF _Toc225559996 \h </w:instrText>
            </w:r>
            <w:r w:rsidR="00C809F0">
              <w:rPr>
                <w:noProof/>
                <w:webHidden/>
              </w:rPr>
            </w:r>
            <w:r w:rsidR="00C809F0">
              <w:rPr>
                <w:noProof/>
                <w:webHidden/>
              </w:rPr>
              <w:fldChar w:fldCharType="separate"/>
            </w:r>
            <w:r w:rsidR="00C809F0">
              <w:rPr>
                <w:noProof/>
                <w:webHidden/>
              </w:rPr>
              <w:t>3</w:t>
            </w:r>
            <w:r w:rsidR="00C809F0">
              <w:rPr>
                <w:noProof/>
                <w:webHidden/>
              </w:rPr>
              <w:fldChar w:fldCharType="end"/>
            </w:r>
          </w:hyperlink>
        </w:p>
        <w:p w14:paraId="62D4DB56" w14:textId="09E88AA7" w:rsidR="00C809F0" w:rsidRDefault="00C809F0">
          <w:pPr>
            <w:pStyle w:val="TOC1"/>
            <w:tabs>
              <w:tab w:val="right" w:leader="dot" w:pos="9016"/>
            </w:tabs>
            <w:rPr>
              <w:rFonts w:eastAsiaTheme="minorEastAsia"/>
              <w:noProof/>
              <w:sz w:val="24"/>
              <w:szCs w:val="24"/>
              <w:lang w:eastAsia="en-GB"/>
            </w:rPr>
          </w:pPr>
          <w:hyperlink w:anchor="_Toc225559997" w:history="1">
            <w:r w:rsidRPr="002E31A5">
              <w:rPr>
                <w:rStyle w:val="Hyperlink"/>
                <w:rFonts w:ascii="Arial" w:hAnsi="Arial" w:cs="Arial"/>
                <w:noProof/>
              </w:rPr>
              <w:t>2. Cost Analysis and Business Model (400 words)</w:t>
            </w:r>
            <w:r>
              <w:rPr>
                <w:noProof/>
                <w:webHidden/>
              </w:rPr>
              <w:tab/>
            </w:r>
            <w:r>
              <w:rPr>
                <w:noProof/>
                <w:webHidden/>
              </w:rPr>
              <w:fldChar w:fldCharType="begin"/>
            </w:r>
            <w:r>
              <w:rPr>
                <w:noProof/>
                <w:webHidden/>
              </w:rPr>
              <w:instrText xml:space="preserve"> PAGEREF _Toc225559997 \h </w:instrText>
            </w:r>
            <w:r>
              <w:rPr>
                <w:noProof/>
                <w:webHidden/>
              </w:rPr>
            </w:r>
            <w:r>
              <w:rPr>
                <w:noProof/>
                <w:webHidden/>
              </w:rPr>
              <w:fldChar w:fldCharType="separate"/>
            </w:r>
            <w:r>
              <w:rPr>
                <w:noProof/>
                <w:webHidden/>
              </w:rPr>
              <w:t>4</w:t>
            </w:r>
            <w:r>
              <w:rPr>
                <w:noProof/>
                <w:webHidden/>
              </w:rPr>
              <w:fldChar w:fldCharType="end"/>
            </w:r>
          </w:hyperlink>
        </w:p>
        <w:p w14:paraId="1AEF62A3" w14:textId="7E68D722" w:rsidR="00C809F0" w:rsidRDefault="00C809F0">
          <w:pPr>
            <w:pStyle w:val="TOC2"/>
            <w:tabs>
              <w:tab w:val="right" w:leader="dot" w:pos="9016"/>
            </w:tabs>
            <w:rPr>
              <w:rFonts w:eastAsiaTheme="minorEastAsia"/>
              <w:noProof/>
              <w:sz w:val="24"/>
              <w:szCs w:val="24"/>
              <w:lang w:eastAsia="en-GB"/>
            </w:rPr>
          </w:pPr>
          <w:hyperlink w:anchor="_Toc225559998" w:history="1">
            <w:r w:rsidRPr="002E31A5">
              <w:rPr>
                <w:rStyle w:val="Hyperlink"/>
                <w:rFonts w:ascii="Arial" w:hAnsi="Arial" w:cs="Arial"/>
                <w:noProof/>
              </w:rPr>
              <w:t>2.1 Revenue Model</w:t>
            </w:r>
            <w:r>
              <w:rPr>
                <w:noProof/>
                <w:webHidden/>
              </w:rPr>
              <w:tab/>
            </w:r>
            <w:r>
              <w:rPr>
                <w:noProof/>
                <w:webHidden/>
              </w:rPr>
              <w:fldChar w:fldCharType="begin"/>
            </w:r>
            <w:r>
              <w:rPr>
                <w:noProof/>
                <w:webHidden/>
              </w:rPr>
              <w:instrText xml:space="preserve"> PAGEREF _Toc225559998 \h </w:instrText>
            </w:r>
            <w:r>
              <w:rPr>
                <w:noProof/>
                <w:webHidden/>
              </w:rPr>
            </w:r>
            <w:r>
              <w:rPr>
                <w:noProof/>
                <w:webHidden/>
              </w:rPr>
              <w:fldChar w:fldCharType="separate"/>
            </w:r>
            <w:r>
              <w:rPr>
                <w:noProof/>
                <w:webHidden/>
              </w:rPr>
              <w:t>4</w:t>
            </w:r>
            <w:r>
              <w:rPr>
                <w:noProof/>
                <w:webHidden/>
              </w:rPr>
              <w:fldChar w:fldCharType="end"/>
            </w:r>
          </w:hyperlink>
        </w:p>
        <w:p w14:paraId="6CA7CC5F" w14:textId="30A3FC82" w:rsidR="00C809F0" w:rsidRDefault="00C809F0">
          <w:pPr>
            <w:pStyle w:val="TOC2"/>
            <w:tabs>
              <w:tab w:val="right" w:leader="dot" w:pos="9016"/>
            </w:tabs>
            <w:rPr>
              <w:rFonts w:eastAsiaTheme="minorEastAsia"/>
              <w:noProof/>
              <w:sz w:val="24"/>
              <w:szCs w:val="24"/>
              <w:lang w:eastAsia="en-GB"/>
            </w:rPr>
          </w:pPr>
          <w:hyperlink w:anchor="_Toc225559999" w:history="1">
            <w:r w:rsidRPr="002E31A5">
              <w:rPr>
                <w:rStyle w:val="Hyperlink"/>
                <w:rFonts w:ascii="Arial" w:hAnsi="Arial" w:cs="Arial"/>
                <w:noProof/>
              </w:rPr>
              <w:t>2.2 Cost Structure (Fixed vs. Variable Costs)</w:t>
            </w:r>
            <w:r>
              <w:rPr>
                <w:noProof/>
                <w:webHidden/>
              </w:rPr>
              <w:tab/>
            </w:r>
            <w:r>
              <w:rPr>
                <w:noProof/>
                <w:webHidden/>
              </w:rPr>
              <w:fldChar w:fldCharType="begin"/>
            </w:r>
            <w:r>
              <w:rPr>
                <w:noProof/>
                <w:webHidden/>
              </w:rPr>
              <w:instrText xml:space="preserve"> PAGEREF _Toc225559999 \h </w:instrText>
            </w:r>
            <w:r>
              <w:rPr>
                <w:noProof/>
                <w:webHidden/>
              </w:rPr>
            </w:r>
            <w:r>
              <w:rPr>
                <w:noProof/>
                <w:webHidden/>
              </w:rPr>
              <w:fldChar w:fldCharType="separate"/>
            </w:r>
            <w:r>
              <w:rPr>
                <w:noProof/>
                <w:webHidden/>
              </w:rPr>
              <w:t>4</w:t>
            </w:r>
            <w:r>
              <w:rPr>
                <w:noProof/>
                <w:webHidden/>
              </w:rPr>
              <w:fldChar w:fldCharType="end"/>
            </w:r>
          </w:hyperlink>
        </w:p>
        <w:p w14:paraId="7C584B73" w14:textId="077E4342" w:rsidR="00C809F0" w:rsidRDefault="00C809F0">
          <w:pPr>
            <w:pStyle w:val="TOC1"/>
            <w:tabs>
              <w:tab w:val="right" w:leader="dot" w:pos="9016"/>
            </w:tabs>
            <w:rPr>
              <w:rFonts w:eastAsiaTheme="minorEastAsia"/>
              <w:noProof/>
              <w:sz w:val="24"/>
              <w:szCs w:val="24"/>
              <w:lang w:eastAsia="en-GB"/>
            </w:rPr>
          </w:pPr>
          <w:hyperlink w:anchor="_Toc225560000" w:history="1">
            <w:r w:rsidRPr="002E31A5">
              <w:rPr>
                <w:rStyle w:val="Hyperlink"/>
                <w:rFonts w:ascii="Arial" w:hAnsi="Arial" w:cs="Arial"/>
                <w:noProof/>
              </w:rPr>
              <w:t>3. Budgeting and Financial Planning (400 words)</w:t>
            </w:r>
            <w:r>
              <w:rPr>
                <w:noProof/>
                <w:webHidden/>
              </w:rPr>
              <w:tab/>
            </w:r>
            <w:r>
              <w:rPr>
                <w:noProof/>
                <w:webHidden/>
              </w:rPr>
              <w:fldChar w:fldCharType="begin"/>
            </w:r>
            <w:r>
              <w:rPr>
                <w:noProof/>
                <w:webHidden/>
              </w:rPr>
              <w:instrText xml:space="preserve"> PAGEREF _Toc225560000 \h </w:instrText>
            </w:r>
            <w:r>
              <w:rPr>
                <w:noProof/>
                <w:webHidden/>
              </w:rPr>
            </w:r>
            <w:r>
              <w:rPr>
                <w:noProof/>
                <w:webHidden/>
              </w:rPr>
              <w:fldChar w:fldCharType="separate"/>
            </w:r>
            <w:r>
              <w:rPr>
                <w:noProof/>
                <w:webHidden/>
              </w:rPr>
              <w:t>6</w:t>
            </w:r>
            <w:r>
              <w:rPr>
                <w:noProof/>
                <w:webHidden/>
              </w:rPr>
              <w:fldChar w:fldCharType="end"/>
            </w:r>
          </w:hyperlink>
        </w:p>
        <w:p w14:paraId="62536D31" w14:textId="632B8BC0" w:rsidR="00C809F0" w:rsidRDefault="00C809F0">
          <w:pPr>
            <w:pStyle w:val="TOC2"/>
            <w:tabs>
              <w:tab w:val="right" w:leader="dot" w:pos="9016"/>
            </w:tabs>
            <w:rPr>
              <w:rFonts w:eastAsiaTheme="minorEastAsia"/>
              <w:noProof/>
              <w:sz w:val="24"/>
              <w:szCs w:val="24"/>
              <w:lang w:eastAsia="en-GB"/>
            </w:rPr>
          </w:pPr>
          <w:hyperlink w:anchor="_Toc225560001" w:history="1">
            <w:r w:rsidRPr="002E31A5">
              <w:rPr>
                <w:rStyle w:val="Hyperlink"/>
                <w:rFonts w:ascii="Arial" w:hAnsi="Arial" w:cs="Arial"/>
                <w:noProof/>
              </w:rPr>
              <w:t>3.1 Role of Budgeting in DP World’s Operations</w:t>
            </w:r>
            <w:r>
              <w:rPr>
                <w:noProof/>
                <w:webHidden/>
              </w:rPr>
              <w:tab/>
            </w:r>
            <w:r>
              <w:rPr>
                <w:noProof/>
                <w:webHidden/>
              </w:rPr>
              <w:fldChar w:fldCharType="begin"/>
            </w:r>
            <w:r>
              <w:rPr>
                <w:noProof/>
                <w:webHidden/>
              </w:rPr>
              <w:instrText xml:space="preserve"> PAGEREF _Toc225560001 \h </w:instrText>
            </w:r>
            <w:r>
              <w:rPr>
                <w:noProof/>
                <w:webHidden/>
              </w:rPr>
            </w:r>
            <w:r>
              <w:rPr>
                <w:noProof/>
                <w:webHidden/>
              </w:rPr>
              <w:fldChar w:fldCharType="separate"/>
            </w:r>
            <w:r>
              <w:rPr>
                <w:noProof/>
                <w:webHidden/>
              </w:rPr>
              <w:t>6</w:t>
            </w:r>
            <w:r>
              <w:rPr>
                <w:noProof/>
                <w:webHidden/>
              </w:rPr>
              <w:fldChar w:fldCharType="end"/>
            </w:r>
          </w:hyperlink>
        </w:p>
        <w:p w14:paraId="3590D8BA" w14:textId="621DD0D3" w:rsidR="00C809F0" w:rsidRDefault="00C809F0">
          <w:pPr>
            <w:pStyle w:val="TOC2"/>
            <w:tabs>
              <w:tab w:val="right" w:leader="dot" w:pos="9016"/>
            </w:tabs>
            <w:rPr>
              <w:rFonts w:eastAsiaTheme="minorEastAsia"/>
              <w:noProof/>
              <w:sz w:val="24"/>
              <w:szCs w:val="24"/>
              <w:lang w:eastAsia="en-GB"/>
            </w:rPr>
          </w:pPr>
          <w:hyperlink w:anchor="_Toc225560002" w:history="1">
            <w:r w:rsidRPr="002E31A5">
              <w:rPr>
                <w:rStyle w:val="Hyperlink"/>
                <w:rFonts w:ascii="Arial" w:hAnsi="Arial" w:cs="Arial"/>
                <w:noProof/>
              </w:rPr>
              <w:t>3.2 Year-on-Year Operating Expenses Analysis (Internal vs External Factors)</w:t>
            </w:r>
            <w:r>
              <w:rPr>
                <w:noProof/>
                <w:webHidden/>
              </w:rPr>
              <w:tab/>
            </w:r>
            <w:r>
              <w:rPr>
                <w:noProof/>
                <w:webHidden/>
              </w:rPr>
              <w:fldChar w:fldCharType="begin"/>
            </w:r>
            <w:r>
              <w:rPr>
                <w:noProof/>
                <w:webHidden/>
              </w:rPr>
              <w:instrText xml:space="preserve"> PAGEREF _Toc225560002 \h </w:instrText>
            </w:r>
            <w:r>
              <w:rPr>
                <w:noProof/>
                <w:webHidden/>
              </w:rPr>
            </w:r>
            <w:r>
              <w:rPr>
                <w:noProof/>
                <w:webHidden/>
              </w:rPr>
              <w:fldChar w:fldCharType="separate"/>
            </w:r>
            <w:r>
              <w:rPr>
                <w:noProof/>
                <w:webHidden/>
              </w:rPr>
              <w:t>6</w:t>
            </w:r>
            <w:r>
              <w:rPr>
                <w:noProof/>
                <w:webHidden/>
              </w:rPr>
              <w:fldChar w:fldCharType="end"/>
            </w:r>
          </w:hyperlink>
        </w:p>
        <w:p w14:paraId="10D72EF1" w14:textId="501DFACC" w:rsidR="00C809F0" w:rsidRDefault="00C809F0">
          <w:pPr>
            <w:pStyle w:val="TOC1"/>
            <w:tabs>
              <w:tab w:val="right" w:leader="dot" w:pos="9016"/>
            </w:tabs>
            <w:rPr>
              <w:rFonts w:eastAsiaTheme="minorEastAsia"/>
              <w:noProof/>
              <w:sz w:val="24"/>
              <w:szCs w:val="24"/>
              <w:lang w:eastAsia="en-GB"/>
            </w:rPr>
          </w:pPr>
          <w:hyperlink w:anchor="_Toc225560003" w:history="1">
            <w:r w:rsidRPr="002E31A5">
              <w:rPr>
                <w:rStyle w:val="Hyperlink"/>
                <w:rFonts w:ascii="Arial" w:hAnsi="Arial" w:cs="Arial"/>
                <w:noProof/>
              </w:rPr>
              <w:t>4. Performance Measurement and Decision-Making</w:t>
            </w:r>
            <w:r>
              <w:rPr>
                <w:noProof/>
                <w:webHidden/>
              </w:rPr>
              <w:tab/>
            </w:r>
            <w:r>
              <w:rPr>
                <w:noProof/>
                <w:webHidden/>
              </w:rPr>
              <w:fldChar w:fldCharType="begin"/>
            </w:r>
            <w:r>
              <w:rPr>
                <w:noProof/>
                <w:webHidden/>
              </w:rPr>
              <w:instrText xml:space="preserve"> PAGEREF _Toc225560003 \h </w:instrText>
            </w:r>
            <w:r>
              <w:rPr>
                <w:noProof/>
                <w:webHidden/>
              </w:rPr>
            </w:r>
            <w:r>
              <w:rPr>
                <w:noProof/>
                <w:webHidden/>
              </w:rPr>
              <w:fldChar w:fldCharType="separate"/>
            </w:r>
            <w:r>
              <w:rPr>
                <w:noProof/>
                <w:webHidden/>
              </w:rPr>
              <w:t>9</w:t>
            </w:r>
            <w:r>
              <w:rPr>
                <w:noProof/>
                <w:webHidden/>
              </w:rPr>
              <w:fldChar w:fldCharType="end"/>
            </w:r>
          </w:hyperlink>
        </w:p>
        <w:p w14:paraId="2A307F16" w14:textId="7D8C6712" w:rsidR="00C809F0" w:rsidRDefault="00C809F0">
          <w:pPr>
            <w:pStyle w:val="TOC2"/>
            <w:tabs>
              <w:tab w:val="right" w:leader="dot" w:pos="9016"/>
            </w:tabs>
            <w:rPr>
              <w:rFonts w:eastAsiaTheme="minorEastAsia"/>
              <w:noProof/>
              <w:sz w:val="24"/>
              <w:szCs w:val="24"/>
              <w:lang w:eastAsia="en-GB"/>
            </w:rPr>
          </w:pPr>
          <w:hyperlink w:anchor="_Toc225560004" w:history="1">
            <w:r w:rsidRPr="002E31A5">
              <w:rPr>
                <w:rStyle w:val="Hyperlink"/>
                <w:rFonts w:ascii="Arial" w:hAnsi="Arial" w:cs="Arial"/>
                <w:noProof/>
              </w:rPr>
              <w:t>4.1 Key Performance Indicators (KPIs)</w:t>
            </w:r>
            <w:r>
              <w:rPr>
                <w:noProof/>
                <w:webHidden/>
              </w:rPr>
              <w:tab/>
            </w:r>
            <w:r>
              <w:rPr>
                <w:noProof/>
                <w:webHidden/>
              </w:rPr>
              <w:fldChar w:fldCharType="begin"/>
            </w:r>
            <w:r>
              <w:rPr>
                <w:noProof/>
                <w:webHidden/>
              </w:rPr>
              <w:instrText xml:space="preserve"> PAGEREF _Toc225560004 \h </w:instrText>
            </w:r>
            <w:r>
              <w:rPr>
                <w:noProof/>
                <w:webHidden/>
              </w:rPr>
            </w:r>
            <w:r>
              <w:rPr>
                <w:noProof/>
                <w:webHidden/>
              </w:rPr>
              <w:fldChar w:fldCharType="separate"/>
            </w:r>
            <w:r>
              <w:rPr>
                <w:noProof/>
                <w:webHidden/>
              </w:rPr>
              <w:t>9</w:t>
            </w:r>
            <w:r>
              <w:rPr>
                <w:noProof/>
                <w:webHidden/>
              </w:rPr>
              <w:fldChar w:fldCharType="end"/>
            </w:r>
          </w:hyperlink>
        </w:p>
        <w:p w14:paraId="218836ED" w14:textId="5990A82F" w:rsidR="00C809F0" w:rsidRDefault="00C809F0">
          <w:pPr>
            <w:pStyle w:val="TOC2"/>
            <w:tabs>
              <w:tab w:val="right" w:leader="dot" w:pos="9016"/>
            </w:tabs>
            <w:rPr>
              <w:rFonts w:eastAsiaTheme="minorEastAsia"/>
              <w:noProof/>
              <w:sz w:val="24"/>
              <w:szCs w:val="24"/>
              <w:lang w:eastAsia="en-GB"/>
            </w:rPr>
          </w:pPr>
          <w:hyperlink w:anchor="_Toc225560005" w:history="1">
            <w:r w:rsidRPr="002E31A5">
              <w:rPr>
                <w:rStyle w:val="Hyperlink"/>
                <w:rFonts w:ascii="Arial" w:hAnsi="Arial" w:cs="Arial"/>
                <w:noProof/>
              </w:rPr>
              <w:t>4.2 Strategic Decisions Based on Financial and Non-Financial Data</w:t>
            </w:r>
            <w:r>
              <w:rPr>
                <w:noProof/>
                <w:webHidden/>
              </w:rPr>
              <w:tab/>
            </w:r>
            <w:r>
              <w:rPr>
                <w:noProof/>
                <w:webHidden/>
              </w:rPr>
              <w:fldChar w:fldCharType="begin"/>
            </w:r>
            <w:r>
              <w:rPr>
                <w:noProof/>
                <w:webHidden/>
              </w:rPr>
              <w:instrText xml:space="preserve"> PAGEREF _Toc225560005 \h </w:instrText>
            </w:r>
            <w:r>
              <w:rPr>
                <w:noProof/>
                <w:webHidden/>
              </w:rPr>
            </w:r>
            <w:r>
              <w:rPr>
                <w:noProof/>
                <w:webHidden/>
              </w:rPr>
              <w:fldChar w:fldCharType="separate"/>
            </w:r>
            <w:r>
              <w:rPr>
                <w:noProof/>
                <w:webHidden/>
              </w:rPr>
              <w:t>9</w:t>
            </w:r>
            <w:r>
              <w:rPr>
                <w:noProof/>
                <w:webHidden/>
              </w:rPr>
              <w:fldChar w:fldCharType="end"/>
            </w:r>
          </w:hyperlink>
        </w:p>
        <w:p w14:paraId="01AFE3F7" w14:textId="5E53225B" w:rsidR="00C809F0" w:rsidRDefault="00C809F0">
          <w:pPr>
            <w:pStyle w:val="TOC1"/>
            <w:tabs>
              <w:tab w:val="right" w:leader="dot" w:pos="9016"/>
            </w:tabs>
            <w:rPr>
              <w:rFonts w:eastAsiaTheme="minorEastAsia"/>
              <w:noProof/>
              <w:sz w:val="24"/>
              <w:szCs w:val="24"/>
              <w:lang w:eastAsia="en-GB"/>
            </w:rPr>
          </w:pPr>
          <w:hyperlink w:anchor="_Toc225560006" w:history="1">
            <w:r w:rsidRPr="002E31A5">
              <w:rPr>
                <w:rStyle w:val="Hyperlink"/>
                <w:rFonts w:ascii="Arial" w:hAnsi="Arial" w:cs="Arial"/>
                <w:noProof/>
              </w:rPr>
              <w:t>5. Sustainability and Ethical Considerations (300 words)</w:t>
            </w:r>
            <w:r>
              <w:rPr>
                <w:noProof/>
                <w:webHidden/>
              </w:rPr>
              <w:tab/>
            </w:r>
            <w:r>
              <w:rPr>
                <w:noProof/>
                <w:webHidden/>
              </w:rPr>
              <w:fldChar w:fldCharType="begin"/>
            </w:r>
            <w:r>
              <w:rPr>
                <w:noProof/>
                <w:webHidden/>
              </w:rPr>
              <w:instrText xml:space="preserve"> PAGEREF _Toc225560006 \h </w:instrText>
            </w:r>
            <w:r>
              <w:rPr>
                <w:noProof/>
                <w:webHidden/>
              </w:rPr>
            </w:r>
            <w:r>
              <w:rPr>
                <w:noProof/>
                <w:webHidden/>
              </w:rPr>
              <w:fldChar w:fldCharType="separate"/>
            </w:r>
            <w:r>
              <w:rPr>
                <w:noProof/>
                <w:webHidden/>
              </w:rPr>
              <w:t>11</w:t>
            </w:r>
            <w:r>
              <w:rPr>
                <w:noProof/>
                <w:webHidden/>
              </w:rPr>
              <w:fldChar w:fldCharType="end"/>
            </w:r>
          </w:hyperlink>
        </w:p>
        <w:p w14:paraId="53C9213E" w14:textId="323F4894" w:rsidR="00C809F0" w:rsidRDefault="00C809F0">
          <w:pPr>
            <w:pStyle w:val="TOC2"/>
            <w:tabs>
              <w:tab w:val="right" w:leader="dot" w:pos="9016"/>
            </w:tabs>
            <w:rPr>
              <w:rFonts w:eastAsiaTheme="minorEastAsia"/>
              <w:noProof/>
              <w:sz w:val="24"/>
              <w:szCs w:val="24"/>
              <w:lang w:eastAsia="en-GB"/>
            </w:rPr>
          </w:pPr>
          <w:hyperlink w:anchor="_Toc225560007" w:history="1">
            <w:r w:rsidRPr="002E31A5">
              <w:rPr>
                <w:rStyle w:val="Hyperlink"/>
                <w:rFonts w:ascii="Arial" w:hAnsi="Arial" w:cs="Arial"/>
                <w:noProof/>
              </w:rPr>
              <w:t>5.1 Sustainability in Financial Decision-Making</w:t>
            </w:r>
            <w:r>
              <w:rPr>
                <w:noProof/>
                <w:webHidden/>
              </w:rPr>
              <w:tab/>
            </w:r>
            <w:r>
              <w:rPr>
                <w:noProof/>
                <w:webHidden/>
              </w:rPr>
              <w:fldChar w:fldCharType="begin"/>
            </w:r>
            <w:r>
              <w:rPr>
                <w:noProof/>
                <w:webHidden/>
              </w:rPr>
              <w:instrText xml:space="preserve"> PAGEREF _Toc225560007 \h </w:instrText>
            </w:r>
            <w:r>
              <w:rPr>
                <w:noProof/>
                <w:webHidden/>
              </w:rPr>
            </w:r>
            <w:r>
              <w:rPr>
                <w:noProof/>
                <w:webHidden/>
              </w:rPr>
              <w:fldChar w:fldCharType="separate"/>
            </w:r>
            <w:r>
              <w:rPr>
                <w:noProof/>
                <w:webHidden/>
              </w:rPr>
              <w:t>11</w:t>
            </w:r>
            <w:r>
              <w:rPr>
                <w:noProof/>
                <w:webHidden/>
              </w:rPr>
              <w:fldChar w:fldCharType="end"/>
            </w:r>
          </w:hyperlink>
        </w:p>
        <w:p w14:paraId="660D2F4D" w14:textId="0B0A5E27" w:rsidR="00C809F0" w:rsidRDefault="00C809F0">
          <w:pPr>
            <w:pStyle w:val="TOC2"/>
            <w:tabs>
              <w:tab w:val="right" w:leader="dot" w:pos="9016"/>
            </w:tabs>
            <w:rPr>
              <w:rFonts w:eastAsiaTheme="minorEastAsia"/>
              <w:noProof/>
              <w:sz w:val="24"/>
              <w:szCs w:val="24"/>
              <w:lang w:eastAsia="en-GB"/>
            </w:rPr>
          </w:pPr>
          <w:hyperlink w:anchor="_Toc225560008" w:history="1">
            <w:r w:rsidRPr="002E31A5">
              <w:rPr>
                <w:rStyle w:val="Hyperlink"/>
                <w:rFonts w:ascii="Arial" w:hAnsi="Arial" w:cs="Arial"/>
                <w:noProof/>
              </w:rPr>
              <w:t>5.2 Ethical Considerations in Cost Management and Pricing</w:t>
            </w:r>
            <w:r>
              <w:rPr>
                <w:noProof/>
                <w:webHidden/>
              </w:rPr>
              <w:tab/>
            </w:r>
            <w:r>
              <w:rPr>
                <w:noProof/>
                <w:webHidden/>
              </w:rPr>
              <w:fldChar w:fldCharType="begin"/>
            </w:r>
            <w:r>
              <w:rPr>
                <w:noProof/>
                <w:webHidden/>
              </w:rPr>
              <w:instrText xml:space="preserve"> PAGEREF _Toc225560008 \h </w:instrText>
            </w:r>
            <w:r>
              <w:rPr>
                <w:noProof/>
                <w:webHidden/>
              </w:rPr>
            </w:r>
            <w:r>
              <w:rPr>
                <w:noProof/>
                <w:webHidden/>
              </w:rPr>
              <w:fldChar w:fldCharType="separate"/>
            </w:r>
            <w:r>
              <w:rPr>
                <w:noProof/>
                <w:webHidden/>
              </w:rPr>
              <w:t>11</w:t>
            </w:r>
            <w:r>
              <w:rPr>
                <w:noProof/>
                <w:webHidden/>
              </w:rPr>
              <w:fldChar w:fldCharType="end"/>
            </w:r>
          </w:hyperlink>
        </w:p>
        <w:p w14:paraId="22DC7D68" w14:textId="2558C0C3" w:rsidR="00C809F0" w:rsidRDefault="00C809F0">
          <w:pPr>
            <w:pStyle w:val="TOC1"/>
            <w:tabs>
              <w:tab w:val="right" w:leader="dot" w:pos="9016"/>
            </w:tabs>
            <w:rPr>
              <w:rFonts w:eastAsiaTheme="minorEastAsia"/>
              <w:noProof/>
              <w:sz w:val="24"/>
              <w:szCs w:val="24"/>
              <w:lang w:eastAsia="en-GB"/>
            </w:rPr>
          </w:pPr>
          <w:hyperlink w:anchor="_Toc225560009" w:history="1">
            <w:r w:rsidRPr="002E31A5">
              <w:rPr>
                <w:rStyle w:val="Hyperlink"/>
                <w:rFonts w:ascii="Arial" w:hAnsi="Arial" w:cs="Arial"/>
                <w:noProof/>
              </w:rPr>
              <w:t>6. Conclusion and Recommendations (150 words)</w:t>
            </w:r>
            <w:r>
              <w:rPr>
                <w:noProof/>
                <w:webHidden/>
              </w:rPr>
              <w:tab/>
            </w:r>
            <w:r>
              <w:rPr>
                <w:noProof/>
                <w:webHidden/>
              </w:rPr>
              <w:fldChar w:fldCharType="begin"/>
            </w:r>
            <w:r>
              <w:rPr>
                <w:noProof/>
                <w:webHidden/>
              </w:rPr>
              <w:instrText xml:space="preserve"> PAGEREF _Toc225560009 \h </w:instrText>
            </w:r>
            <w:r>
              <w:rPr>
                <w:noProof/>
                <w:webHidden/>
              </w:rPr>
            </w:r>
            <w:r>
              <w:rPr>
                <w:noProof/>
                <w:webHidden/>
              </w:rPr>
              <w:fldChar w:fldCharType="separate"/>
            </w:r>
            <w:r>
              <w:rPr>
                <w:noProof/>
                <w:webHidden/>
              </w:rPr>
              <w:t>12</w:t>
            </w:r>
            <w:r>
              <w:rPr>
                <w:noProof/>
                <w:webHidden/>
              </w:rPr>
              <w:fldChar w:fldCharType="end"/>
            </w:r>
          </w:hyperlink>
        </w:p>
        <w:p w14:paraId="7FC3CFDA" w14:textId="4F22DF0C" w:rsidR="00C809F0" w:rsidRDefault="00C809F0">
          <w:pPr>
            <w:pStyle w:val="TOC2"/>
            <w:tabs>
              <w:tab w:val="right" w:leader="dot" w:pos="9016"/>
            </w:tabs>
            <w:rPr>
              <w:rFonts w:eastAsiaTheme="minorEastAsia"/>
              <w:noProof/>
              <w:sz w:val="24"/>
              <w:szCs w:val="24"/>
              <w:lang w:eastAsia="en-GB"/>
            </w:rPr>
          </w:pPr>
          <w:hyperlink w:anchor="_Toc225560010" w:history="1">
            <w:r w:rsidRPr="002E31A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_Toc225560010 \h </w:instrText>
            </w:r>
            <w:r>
              <w:rPr>
                <w:noProof/>
                <w:webHidden/>
              </w:rPr>
            </w:r>
            <w:r>
              <w:rPr>
                <w:noProof/>
                <w:webHidden/>
              </w:rPr>
              <w:fldChar w:fldCharType="separate"/>
            </w:r>
            <w:r>
              <w:rPr>
                <w:noProof/>
                <w:webHidden/>
              </w:rPr>
              <w:t>12</w:t>
            </w:r>
            <w:r>
              <w:rPr>
                <w:noProof/>
                <w:webHidden/>
              </w:rPr>
              <w:fldChar w:fldCharType="end"/>
            </w:r>
          </w:hyperlink>
        </w:p>
        <w:p w14:paraId="1609CC91" w14:textId="60731FA7" w:rsidR="00C809F0" w:rsidRDefault="00C809F0">
          <w:pPr>
            <w:pStyle w:val="TOC2"/>
            <w:tabs>
              <w:tab w:val="right" w:leader="dot" w:pos="9016"/>
            </w:tabs>
            <w:rPr>
              <w:rFonts w:eastAsiaTheme="minorEastAsia"/>
              <w:noProof/>
              <w:sz w:val="24"/>
              <w:szCs w:val="24"/>
              <w:lang w:eastAsia="en-GB"/>
            </w:rPr>
          </w:pPr>
          <w:hyperlink w:anchor="_Toc225560011" w:history="1">
            <w:r w:rsidRPr="002E31A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_Toc225560011 \h </w:instrText>
            </w:r>
            <w:r>
              <w:rPr>
                <w:noProof/>
                <w:webHidden/>
              </w:rPr>
            </w:r>
            <w:r>
              <w:rPr>
                <w:noProof/>
                <w:webHidden/>
              </w:rPr>
              <w:fldChar w:fldCharType="separate"/>
            </w:r>
            <w:r>
              <w:rPr>
                <w:noProof/>
                <w:webHidden/>
              </w:rPr>
              <w:t>12</w:t>
            </w:r>
            <w:r>
              <w:rPr>
                <w:noProof/>
                <w:webHidden/>
              </w:rPr>
              <w:fldChar w:fldCharType="end"/>
            </w:r>
          </w:hyperlink>
        </w:p>
        <w:p w14:paraId="10F99F96" w14:textId="71071CC8" w:rsidR="00C809F0" w:rsidRDefault="00C809F0">
          <w:pPr>
            <w:pStyle w:val="TOC1"/>
            <w:tabs>
              <w:tab w:val="right" w:leader="dot" w:pos="9016"/>
            </w:tabs>
            <w:rPr>
              <w:rFonts w:eastAsiaTheme="minorEastAsia"/>
              <w:noProof/>
              <w:sz w:val="24"/>
              <w:szCs w:val="24"/>
              <w:lang w:eastAsia="en-GB"/>
            </w:rPr>
          </w:pPr>
          <w:hyperlink w:anchor="_Toc225560012" w:history="1">
            <w:r w:rsidRPr="002E31A5">
              <w:rPr>
                <w:rStyle w:val="Hyperlink"/>
                <w:noProof/>
              </w:rPr>
              <w:t>References</w:t>
            </w:r>
            <w:r>
              <w:rPr>
                <w:noProof/>
                <w:webHidden/>
              </w:rPr>
              <w:tab/>
            </w:r>
            <w:r>
              <w:rPr>
                <w:noProof/>
                <w:webHidden/>
              </w:rPr>
              <w:fldChar w:fldCharType="begin"/>
            </w:r>
            <w:r>
              <w:rPr>
                <w:noProof/>
                <w:webHidden/>
              </w:rPr>
              <w:instrText xml:space="preserve"> PAGEREF _Toc225560012 \h </w:instrText>
            </w:r>
            <w:r>
              <w:rPr>
                <w:noProof/>
                <w:webHidden/>
              </w:rPr>
            </w:r>
            <w:r>
              <w:rPr>
                <w:noProof/>
                <w:webHidden/>
              </w:rPr>
              <w:fldChar w:fldCharType="separate"/>
            </w:r>
            <w:r>
              <w:rPr>
                <w:noProof/>
                <w:webHidden/>
              </w:rPr>
              <w:t>13</w:t>
            </w:r>
            <w:r>
              <w:rPr>
                <w:noProof/>
                <w:webHidden/>
              </w:rPr>
              <w:fldChar w:fldCharType="end"/>
            </w:r>
          </w:hyperlink>
        </w:p>
        <w:p w14:paraId="6B92B046" w14:textId="536BE6DA" w:rsidR="0045647D" w:rsidRPr="0045647D" w:rsidRDefault="0045647D" w:rsidP="0045647D">
          <w:pPr>
            <w:spacing w:line="360" w:lineRule="auto"/>
            <w:rPr>
              <w:rFonts w:ascii="Arial" w:hAnsi="Arial" w:cs="Arial"/>
              <w:sz w:val="24"/>
              <w:szCs w:val="24"/>
            </w:rPr>
          </w:pPr>
          <w:r w:rsidRPr="0045647D">
            <w:rPr>
              <w:rFonts w:ascii="Arial" w:hAnsi="Arial" w:cs="Arial"/>
              <w:b/>
              <w:bCs/>
              <w:noProof/>
              <w:sz w:val="24"/>
              <w:szCs w:val="24"/>
            </w:rPr>
            <w:fldChar w:fldCharType="end"/>
          </w:r>
        </w:p>
      </w:sdtContent>
    </w:sdt>
    <w:p w14:paraId="3E7D8450" w14:textId="3CE18391"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br w:type="page"/>
      </w:r>
    </w:p>
    <w:p w14:paraId="328131A9" w14:textId="77777777" w:rsidR="00C6330E" w:rsidRPr="0045647D" w:rsidRDefault="00C6330E" w:rsidP="0045647D">
      <w:pPr>
        <w:spacing w:line="360" w:lineRule="auto"/>
        <w:rPr>
          <w:rFonts w:ascii="Arial" w:hAnsi="Arial" w:cs="Arial"/>
          <w:sz w:val="24"/>
          <w:szCs w:val="24"/>
        </w:rPr>
      </w:pPr>
    </w:p>
    <w:p w14:paraId="377CA959" w14:textId="1E8063B3" w:rsidR="00624B30" w:rsidRPr="0045647D" w:rsidRDefault="00624B30" w:rsidP="0045647D">
      <w:pPr>
        <w:pStyle w:val="Heading1"/>
        <w:spacing w:line="360" w:lineRule="auto"/>
        <w:rPr>
          <w:rFonts w:ascii="Arial" w:hAnsi="Arial" w:cs="Arial"/>
          <w:sz w:val="24"/>
          <w:szCs w:val="24"/>
        </w:rPr>
      </w:pPr>
      <w:bookmarkStart w:id="0" w:name="_Toc225559996"/>
      <w:r w:rsidRPr="0045647D">
        <w:rPr>
          <w:rFonts w:ascii="Arial" w:hAnsi="Arial" w:cs="Arial"/>
          <w:sz w:val="24"/>
          <w:szCs w:val="24"/>
        </w:rPr>
        <w:t>1. Introduction</w:t>
      </w:r>
      <w:bookmarkEnd w:id="0"/>
      <w:r w:rsidRPr="0045647D">
        <w:rPr>
          <w:rFonts w:ascii="Arial" w:hAnsi="Arial" w:cs="Arial"/>
          <w:sz w:val="24"/>
          <w:szCs w:val="24"/>
        </w:rPr>
        <w:t xml:space="preserve"> </w:t>
      </w:r>
    </w:p>
    <w:p w14:paraId="540F03C5" w14:textId="77777777" w:rsidR="00970797" w:rsidRPr="00970797" w:rsidRDefault="00970797" w:rsidP="0045647D">
      <w:pPr>
        <w:spacing w:line="360" w:lineRule="auto"/>
        <w:rPr>
          <w:rFonts w:ascii="Arial" w:hAnsi="Arial" w:cs="Arial"/>
          <w:sz w:val="24"/>
          <w:szCs w:val="24"/>
        </w:rPr>
      </w:pPr>
      <w:r w:rsidRPr="00970797">
        <w:rPr>
          <w:rFonts w:ascii="Arial" w:hAnsi="Arial" w:cs="Arial"/>
          <w:sz w:val="24"/>
          <w:szCs w:val="24"/>
        </w:rPr>
        <w:t>DP World is a multinational logistics and port operator headquartered in Dubai, operating over 70 marine and inland terminals worldwide. One of its most significant UK assets is London Gateway Port, located in Stanford-le-Hope, Essex. This deep-sea container port integrates maritime logistics with rail and distribution networks, forming part of a major supply chain hub in the UK.</w:t>
      </w:r>
    </w:p>
    <w:p w14:paraId="5F106C24" w14:textId="77777777" w:rsidR="00970797" w:rsidRPr="00970797" w:rsidRDefault="00970797" w:rsidP="0045647D">
      <w:pPr>
        <w:spacing w:line="360" w:lineRule="auto"/>
        <w:rPr>
          <w:rFonts w:ascii="Arial" w:hAnsi="Arial" w:cs="Arial"/>
          <w:sz w:val="24"/>
          <w:szCs w:val="24"/>
        </w:rPr>
      </w:pPr>
      <w:r w:rsidRPr="00970797">
        <w:rPr>
          <w:rFonts w:ascii="Arial" w:hAnsi="Arial" w:cs="Arial"/>
          <w:sz w:val="24"/>
          <w:szCs w:val="24"/>
        </w:rPr>
        <w:t>The company operates in the global logistics and infrastructure sector, providing port services, warehousing, and supply chain solutions. Its strategic focus includes automation, sustainability, and large-scale infrastructure investment, such as the expansion and development of new berths at London Gateway.</w:t>
      </w:r>
    </w:p>
    <w:p w14:paraId="1411772C" w14:textId="77777777" w:rsidR="00970797" w:rsidRPr="00970797" w:rsidRDefault="00970797" w:rsidP="0045647D">
      <w:pPr>
        <w:spacing w:line="360" w:lineRule="auto"/>
        <w:rPr>
          <w:rFonts w:ascii="Arial" w:hAnsi="Arial" w:cs="Arial"/>
          <w:sz w:val="24"/>
          <w:szCs w:val="24"/>
        </w:rPr>
      </w:pPr>
      <w:r w:rsidRPr="00970797">
        <w:rPr>
          <w:rFonts w:ascii="Arial" w:hAnsi="Arial" w:cs="Arial"/>
          <w:sz w:val="24"/>
          <w:szCs w:val="24"/>
        </w:rPr>
        <w:t>Management accounting plays a crucial role in such capital-intensive businesses by supporting investment decisions, cost control, performance measurement, and long-term financial planning. For DP World, effective management accounting ensures optimal allocation of resources in complex projects while maintaining profitability and operational efficiency (Drury, 2018; Weetman, 2019; Seal et al., 2018).</w:t>
      </w:r>
    </w:p>
    <w:p w14:paraId="7D15A181" w14:textId="77777777" w:rsidR="00970797" w:rsidRPr="00970797" w:rsidRDefault="00970797" w:rsidP="0045647D">
      <w:pPr>
        <w:spacing w:line="360" w:lineRule="auto"/>
        <w:rPr>
          <w:rFonts w:ascii="Arial" w:hAnsi="Arial" w:cs="Arial"/>
          <w:sz w:val="24"/>
          <w:szCs w:val="24"/>
        </w:rPr>
      </w:pPr>
      <w:r w:rsidRPr="00970797">
        <w:rPr>
          <w:rFonts w:ascii="Arial" w:hAnsi="Arial" w:cs="Arial"/>
          <w:sz w:val="24"/>
          <w:szCs w:val="24"/>
        </w:rPr>
        <w:t>This report critically evaluates how management accounting techniques are applied within DP World to support financial decision-making. It examines cost structures, budgeting processes, and performance measurement systems, while also assessing sustainability and ethical considerations. The analysis evaluates both the effectiveness and limitations of these tools in a volatile global environment.</w:t>
      </w:r>
    </w:p>
    <w:p w14:paraId="6720F5B5" w14:textId="77777777" w:rsidR="00061026" w:rsidRPr="0045647D" w:rsidRDefault="00061026" w:rsidP="0045647D">
      <w:pPr>
        <w:spacing w:line="360" w:lineRule="auto"/>
        <w:rPr>
          <w:rFonts w:ascii="Arial" w:hAnsi="Arial" w:cs="Arial"/>
          <w:sz w:val="24"/>
          <w:szCs w:val="24"/>
        </w:rPr>
      </w:pPr>
    </w:p>
    <w:p w14:paraId="5441DEA5" w14:textId="77777777" w:rsidR="00B73731" w:rsidRDefault="00B73731">
      <w:pPr>
        <w:rPr>
          <w:rFonts w:ascii="Arial" w:eastAsiaTheme="majorEastAsia" w:hAnsi="Arial" w:cs="Arial"/>
          <w:color w:val="0F4761" w:themeColor="accent1" w:themeShade="BF"/>
          <w:sz w:val="24"/>
          <w:szCs w:val="24"/>
        </w:rPr>
      </w:pPr>
      <w:r>
        <w:rPr>
          <w:rFonts w:ascii="Arial" w:hAnsi="Arial" w:cs="Arial"/>
          <w:sz w:val="24"/>
          <w:szCs w:val="24"/>
        </w:rPr>
        <w:br w:type="page"/>
      </w:r>
    </w:p>
    <w:p w14:paraId="5D4F3579" w14:textId="748CAFD1" w:rsidR="00061026" w:rsidRPr="0045647D" w:rsidRDefault="00061026" w:rsidP="0045647D">
      <w:pPr>
        <w:pStyle w:val="Heading1"/>
        <w:spacing w:line="360" w:lineRule="auto"/>
        <w:rPr>
          <w:rFonts w:ascii="Arial" w:hAnsi="Arial" w:cs="Arial"/>
          <w:sz w:val="24"/>
          <w:szCs w:val="24"/>
        </w:rPr>
      </w:pPr>
      <w:bookmarkStart w:id="1" w:name="_Toc225559997"/>
      <w:r w:rsidRPr="0045647D">
        <w:rPr>
          <w:rFonts w:ascii="Arial" w:hAnsi="Arial" w:cs="Arial"/>
          <w:sz w:val="24"/>
          <w:szCs w:val="24"/>
        </w:rPr>
        <w:lastRenderedPageBreak/>
        <w:t>2. Cost Analysis and Business Model (400 words)</w:t>
      </w:r>
      <w:bookmarkEnd w:id="1"/>
    </w:p>
    <w:p w14:paraId="5CC75543" w14:textId="77777777" w:rsidR="003008E8" w:rsidRPr="0045647D" w:rsidRDefault="003008E8" w:rsidP="0045647D">
      <w:pPr>
        <w:pStyle w:val="Heading2"/>
        <w:spacing w:line="360" w:lineRule="auto"/>
        <w:rPr>
          <w:rFonts w:ascii="Arial" w:hAnsi="Arial" w:cs="Arial"/>
          <w:sz w:val="24"/>
          <w:szCs w:val="24"/>
        </w:rPr>
      </w:pPr>
      <w:bookmarkStart w:id="2" w:name="_Toc225559998"/>
      <w:r w:rsidRPr="0045647D">
        <w:rPr>
          <w:rFonts w:ascii="Arial" w:hAnsi="Arial" w:cs="Arial"/>
          <w:sz w:val="24"/>
          <w:szCs w:val="24"/>
        </w:rPr>
        <w:t>2.1 Revenue Model</w:t>
      </w:r>
      <w:bookmarkEnd w:id="2"/>
    </w:p>
    <w:p w14:paraId="661ECD58"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t>DP World operates a diversified revenue model based on its role as an integrated logistics provider. The company generates income through port operations, logistics services, and supply chain solutions. A significant proportion of revenue is derived from container handling fees, measured in twenty-foot equivalent units (TEUs). This throughput-based model means that revenue is closely linked to global trade volumes and economic activity (DP World, 2024; Mangan et al., 2020).</w:t>
      </w:r>
    </w:p>
    <w:p w14:paraId="46B89949"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t>At London Gateway, the revenue model is strengthened through vertical integration, including warehousing services and logistics park leasing. This diversification enhances financial stability by reducing dependence on a single revenue stream (Rushton et al., 2017).</w:t>
      </w:r>
    </w:p>
    <w:p w14:paraId="32DD6A13"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t>Recent financial performance highlights strong growth, with revenue increasing from approximately $20.0 billion in 2024 to $24.4 billion in 2025 (DP World, 2025).</w:t>
      </w:r>
    </w:p>
    <w:p w14:paraId="733B2B99"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t>However, this model exposes the company to external risks, as fluctuations in global trade volumes may significantly impact revenue levels. This emphasises the importance of flexible financial planning and diversification strategies (Mangan et al., 2020).</w:t>
      </w:r>
    </w:p>
    <w:p w14:paraId="38E0702B" w14:textId="6EA43C22" w:rsidR="00061026" w:rsidRPr="0045647D" w:rsidRDefault="00061026" w:rsidP="0045647D">
      <w:pPr>
        <w:spacing w:line="360" w:lineRule="auto"/>
        <w:rPr>
          <w:rFonts w:ascii="Arial" w:hAnsi="Arial" w:cs="Arial"/>
          <w:sz w:val="24"/>
          <w:szCs w:val="24"/>
        </w:rPr>
      </w:pPr>
    </w:p>
    <w:p w14:paraId="153BFE76" w14:textId="77777777" w:rsidR="00061026" w:rsidRPr="0045647D" w:rsidRDefault="00061026" w:rsidP="0045647D">
      <w:pPr>
        <w:pStyle w:val="Heading2"/>
        <w:spacing w:line="360" w:lineRule="auto"/>
        <w:rPr>
          <w:rFonts w:ascii="Arial" w:hAnsi="Arial" w:cs="Arial"/>
          <w:sz w:val="24"/>
          <w:szCs w:val="24"/>
        </w:rPr>
      </w:pPr>
      <w:bookmarkStart w:id="3" w:name="_Toc225559999"/>
      <w:r w:rsidRPr="0045647D">
        <w:rPr>
          <w:rFonts w:ascii="Arial" w:hAnsi="Arial" w:cs="Arial"/>
          <w:sz w:val="24"/>
          <w:szCs w:val="24"/>
        </w:rPr>
        <w:t>2.2 Cost Structure (Fixed vs. Variable Costs)</w:t>
      </w:r>
      <w:bookmarkEnd w:id="3"/>
    </w:p>
    <w:p w14:paraId="4AB56B96"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t>DP World operates in a highly capital-intensive industry characterised by substantial fixed costs and significant variable operational costs. Management accounting plays a key role in analysing these costs to support pricing, investment, and operational decisions (Drury, 2018).</w:t>
      </w:r>
    </w:p>
    <w:p w14:paraId="2CED2CAA"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t>Fixed costs are primarily associated with infrastructure and long-term investments, including port construction, cranes, and digital systems. The expansion of London Gateway represents a major fixed cost commitment requiring substantial capital expenditure. These costs remain constant regardless of short-term fluctuations in throughput.</w:t>
      </w:r>
    </w:p>
    <w:p w14:paraId="21D74110" w14:textId="77777777" w:rsidR="003008E8" w:rsidRPr="003008E8" w:rsidRDefault="003008E8" w:rsidP="0045647D">
      <w:pPr>
        <w:spacing w:line="360" w:lineRule="auto"/>
        <w:rPr>
          <w:rFonts w:ascii="Arial" w:hAnsi="Arial" w:cs="Arial"/>
          <w:sz w:val="24"/>
          <w:szCs w:val="24"/>
        </w:rPr>
      </w:pPr>
      <w:r w:rsidRPr="003008E8">
        <w:rPr>
          <w:rFonts w:ascii="Arial" w:hAnsi="Arial" w:cs="Arial"/>
          <w:sz w:val="24"/>
          <w:szCs w:val="24"/>
        </w:rPr>
        <w:lastRenderedPageBreak/>
        <w:t>Variable costs fluctuate with operational activity and include labour, energy consumption, maintenance, and cargo handling expenses. As throughput increases, variable costs rise, although economies of scale may reduce the cost per unit (</w:t>
      </w:r>
      <w:proofErr w:type="spellStart"/>
      <w:r w:rsidRPr="003008E8">
        <w:rPr>
          <w:rFonts w:ascii="Arial" w:hAnsi="Arial" w:cs="Arial"/>
          <w:sz w:val="24"/>
          <w:szCs w:val="24"/>
        </w:rPr>
        <w:t>Atrill</w:t>
      </w:r>
      <w:proofErr w:type="spellEnd"/>
      <w:r w:rsidRPr="003008E8">
        <w:rPr>
          <w:rFonts w:ascii="Arial" w:hAnsi="Arial" w:cs="Arial"/>
          <w:sz w:val="24"/>
          <w:szCs w:val="24"/>
        </w:rPr>
        <w:t xml:space="preserve"> and McLaney, 2019).</w:t>
      </w:r>
    </w:p>
    <w:p w14:paraId="59E7CB58" w14:textId="77777777" w:rsidR="003008E8" w:rsidRDefault="003008E8" w:rsidP="0045647D">
      <w:pPr>
        <w:spacing w:line="360" w:lineRule="auto"/>
        <w:rPr>
          <w:rFonts w:ascii="Arial" w:hAnsi="Arial" w:cs="Arial"/>
          <w:sz w:val="24"/>
          <w:szCs w:val="24"/>
        </w:rPr>
      </w:pPr>
      <w:r w:rsidRPr="003008E8">
        <w:rPr>
          <w:rFonts w:ascii="Arial" w:hAnsi="Arial" w:cs="Arial"/>
          <w:sz w:val="24"/>
          <w:szCs w:val="24"/>
        </w:rPr>
        <w:t>The distinction between fixed and variable costs is essential for decision-making. Techniques such as cost-volume-profit (CVP) analysis enable DP World to determine break-even levels and assess the profitability of expansion projects.</w:t>
      </w:r>
    </w:p>
    <w:p w14:paraId="5B55E54D" w14:textId="77777777" w:rsidR="00B73731" w:rsidRPr="003008E8" w:rsidRDefault="00B73731" w:rsidP="0045647D">
      <w:pPr>
        <w:spacing w:line="360" w:lineRule="auto"/>
        <w:rPr>
          <w:rFonts w:ascii="Arial" w:hAnsi="Arial" w:cs="Arial"/>
          <w:sz w:val="24"/>
          <w:szCs w:val="24"/>
        </w:rPr>
      </w:pPr>
    </w:p>
    <w:p w14:paraId="42BADC18" w14:textId="67A4C35B" w:rsidR="0045647D" w:rsidRPr="0045647D" w:rsidRDefault="00061026" w:rsidP="0045647D">
      <w:pPr>
        <w:spacing w:line="360" w:lineRule="auto"/>
        <w:rPr>
          <w:rFonts w:ascii="Arial" w:hAnsi="Arial" w:cs="Arial"/>
          <w:sz w:val="24"/>
          <w:szCs w:val="24"/>
          <w:highlight w:val="yellow"/>
        </w:rPr>
      </w:pPr>
      <w:r w:rsidRPr="0045647D">
        <w:rPr>
          <w:rFonts w:ascii="Arial" w:hAnsi="Arial" w:cs="Arial"/>
          <w:sz w:val="24"/>
          <w:szCs w:val="24"/>
        </w:rPr>
        <w:t>Table 1: Fixed vs. Variable Costs at DP World London Gateway</w:t>
      </w:r>
    </w:p>
    <w:tbl>
      <w:tblPr>
        <w:tblStyle w:val="TableGrid"/>
        <w:tblW w:w="0" w:type="auto"/>
        <w:tblLook w:val="04A0" w:firstRow="1" w:lastRow="0" w:firstColumn="1" w:lastColumn="0" w:noHBand="0" w:noVBand="1"/>
      </w:tblPr>
      <w:tblGrid>
        <w:gridCol w:w="4508"/>
        <w:gridCol w:w="4508"/>
      </w:tblGrid>
      <w:tr w:rsidR="0045647D" w:rsidRPr="0045647D" w14:paraId="0FAA8DA4" w14:textId="77777777" w:rsidTr="0045647D">
        <w:tc>
          <w:tcPr>
            <w:tcW w:w="4508" w:type="dxa"/>
          </w:tcPr>
          <w:p w14:paraId="048BB47A" w14:textId="618E0EE7"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Fixed Costs</w:t>
            </w:r>
          </w:p>
        </w:tc>
        <w:tc>
          <w:tcPr>
            <w:tcW w:w="4508" w:type="dxa"/>
          </w:tcPr>
          <w:p w14:paraId="7E975BD2" w14:textId="060A5A58"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Variable Costs</w:t>
            </w:r>
          </w:p>
        </w:tc>
      </w:tr>
      <w:tr w:rsidR="0045647D" w:rsidRPr="0045647D" w14:paraId="6FEE6B93" w14:textId="77777777" w:rsidTr="00272083">
        <w:tc>
          <w:tcPr>
            <w:tcW w:w="4508" w:type="dxa"/>
            <w:vAlign w:val="center"/>
          </w:tcPr>
          <w:p w14:paraId="1D0873EB" w14:textId="79B44B82"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Port infrastructure (docks, quays)</w:t>
            </w:r>
          </w:p>
        </w:tc>
        <w:tc>
          <w:tcPr>
            <w:tcW w:w="4508" w:type="dxa"/>
            <w:vAlign w:val="center"/>
          </w:tcPr>
          <w:p w14:paraId="6853BFB5" w14:textId="70513B2C"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Labour (shift workers, operations staff)</w:t>
            </w:r>
          </w:p>
        </w:tc>
      </w:tr>
      <w:tr w:rsidR="0045647D" w:rsidRPr="0045647D" w14:paraId="431832DD" w14:textId="77777777" w:rsidTr="0045647D">
        <w:tc>
          <w:tcPr>
            <w:tcW w:w="4508" w:type="dxa"/>
          </w:tcPr>
          <w:p w14:paraId="28A1EB07" w14:textId="636B0A20"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Cranes and automated equipment</w:t>
            </w:r>
          </w:p>
        </w:tc>
        <w:tc>
          <w:tcPr>
            <w:tcW w:w="4508" w:type="dxa"/>
          </w:tcPr>
          <w:p w14:paraId="66C2327F" w14:textId="0C69102C"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Energy consumption</w:t>
            </w:r>
          </w:p>
        </w:tc>
      </w:tr>
      <w:tr w:rsidR="0045647D" w:rsidRPr="0045647D" w14:paraId="35C560B8" w14:textId="77777777" w:rsidTr="0045647D">
        <w:tc>
          <w:tcPr>
            <w:tcW w:w="4508" w:type="dxa"/>
          </w:tcPr>
          <w:p w14:paraId="12642460" w14:textId="5E7823AC"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Land acquisition and development</w:t>
            </w:r>
          </w:p>
        </w:tc>
        <w:tc>
          <w:tcPr>
            <w:tcW w:w="4508" w:type="dxa"/>
          </w:tcPr>
          <w:p w14:paraId="26D4336B" w14:textId="494B67C1"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Maintenance and repairs</w:t>
            </w:r>
          </w:p>
        </w:tc>
      </w:tr>
      <w:tr w:rsidR="0045647D" w:rsidRPr="0045647D" w14:paraId="3ADAE3E6" w14:textId="77777777" w:rsidTr="003179A9">
        <w:tc>
          <w:tcPr>
            <w:tcW w:w="4508" w:type="dxa"/>
            <w:vAlign w:val="center"/>
          </w:tcPr>
          <w:p w14:paraId="701C4C4E" w14:textId="2D814092"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Depreciation of assets</w:t>
            </w:r>
          </w:p>
        </w:tc>
        <w:tc>
          <w:tcPr>
            <w:tcW w:w="4508" w:type="dxa"/>
          </w:tcPr>
          <w:p w14:paraId="08A847E5" w14:textId="441DFF6C"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Cargo handling costs</w:t>
            </w:r>
          </w:p>
        </w:tc>
      </w:tr>
      <w:tr w:rsidR="0045647D" w:rsidRPr="0045647D" w14:paraId="171E78C4" w14:textId="77777777" w:rsidTr="0045647D">
        <w:tc>
          <w:tcPr>
            <w:tcW w:w="4508" w:type="dxa"/>
          </w:tcPr>
          <w:p w14:paraId="7A65C1DF" w14:textId="45571AE2"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IT systems and digital infrastructure</w:t>
            </w:r>
          </w:p>
        </w:tc>
        <w:tc>
          <w:tcPr>
            <w:tcW w:w="4508" w:type="dxa"/>
          </w:tcPr>
          <w:p w14:paraId="2CCB879E" w14:textId="30EF27F3"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Transport and logistics expenses</w:t>
            </w:r>
          </w:p>
        </w:tc>
      </w:tr>
      <w:tr w:rsidR="0045647D" w:rsidRPr="0045647D" w14:paraId="45EB9310" w14:textId="77777777" w:rsidTr="00D162C8">
        <w:tc>
          <w:tcPr>
            <w:tcW w:w="4508" w:type="dxa"/>
            <w:vAlign w:val="center"/>
          </w:tcPr>
          <w:p w14:paraId="6E92DA2E" w14:textId="4D35B716"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Salaries of permanent management staff</w:t>
            </w:r>
          </w:p>
        </w:tc>
        <w:tc>
          <w:tcPr>
            <w:tcW w:w="4508" w:type="dxa"/>
          </w:tcPr>
          <w:p w14:paraId="12C90C5A" w14:textId="28A71C55"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Temporary staffing costs</w:t>
            </w:r>
          </w:p>
        </w:tc>
      </w:tr>
    </w:tbl>
    <w:p w14:paraId="608BCA34" w14:textId="77777777" w:rsidR="0045647D" w:rsidRPr="0045647D" w:rsidRDefault="0045647D" w:rsidP="0045647D">
      <w:pPr>
        <w:spacing w:line="360" w:lineRule="auto"/>
        <w:rPr>
          <w:rFonts w:ascii="Arial" w:hAnsi="Arial" w:cs="Arial"/>
          <w:sz w:val="24"/>
          <w:szCs w:val="24"/>
        </w:rPr>
      </w:pPr>
    </w:p>
    <w:p w14:paraId="5CEE7B60" w14:textId="159A6E72" w:rsidR="00624B30" w:rsidRPr="0045647D" w:rsidRDefault="00A704DE" w:rsidP="0045647D">
      <w:pPr>
        <w:spacing w:line="360" w:lineRule="auto"/>
        <w:rPr>
          <w:rFonts w:ascii="Arial" w:hAnsi="Arial" w:cs="Arial"/>
          <w:sz w:val="24"/>
          <w:szCs w:val="24"/>
        </w:rPr>
      </w:pPr>
      <w:r w:rsidRPr="0045647D">
        <w:rPr>
          <w:rFonts w:ascii="Arial" w:hAnsi="Arial" w:cs="Arial"/>
          <w:sz w:val="24"/>
          <w:szCs w:val="24"/>
        </w:rPr>
        <w:t>Overall, DP World’s cost structure highlights the importance of long-term infrastructure investment while maintaining operational flexibility through effective management of variable costs. However, high fixed costs also increase financial risk during periods of reduced demand, requiring efficient utilisation of capacity (Drury, 2018).</w:t>
      </w:r>
    </w:p>
    <w:p w14:paraId="2B585F07" w14:textId="77777777" w:rsidR="00624B30" w:rsidRPr="0045647D" w:rsidRDefault="00624B30" w:rsidP="0045647D">
      <w:pPr>
        <w:spacing w:line="360" w:lineRule="auto"/>
        <w:rPr>
          <w:rFonts w:ascii="Arial" w:hAnsi="Arial" w:cs="Arial"/>
          <w:sz w:val="24"/>
          <w:szCs w:val="24"/>
        </w:rPr>
      </w:pPr>
    </w:p>
    <w:p w14:paraId="0D587FF2" w14:textId="77777777" w:rsidR="00B73731" w:rsidRDefault="00B73731">
      <w:pPr>
        <w:rPr>
          <w:rFonts w:ascii="Arial" w:eastAsiaTheme="majorEastAsia" w:hAnsi="Arial" w:cs="Arial"/>
          <w:color w:val="0F4761" w:themeColor="accent1" w:themeShade="BF"/>
          <w:sz w:val="24"/>
          <w:szCs w:val="24"/>
        </w:rPr>
      </w:pPr>
      <w:r>
        <w:rPr>
          <w:rFonts w:ascii="Arial" w:hAnsi="Arial" w:cs="Arial"/>
          <w:sz w:val="24"/>
          <w:szCs w:val="24"/>
        </w:rPr>
        <w:br w:type="page"/>
      </w:r>
    </w:p>
    <w:p w14:paraId="2CB4700E" w14:textId="094A9591" w:rsidR="000B0C27" w:rsidRPr="0045647D" w:rsidRDefault="000B0C27" w:rsidP="0045647D">
      <w:pPr>
        <w:pStyle w:val="Heading1"/>
        <w:spacing w:line="360" w:lineRule="auto"/>
        <w:rPr>
          <w:rFonts w:ascii="Arial" w:hAnsi="Arial" w:cs="Arial"/>
          <w:sz w:val="24"/>
          <w:szCs w:val="24"/>
        </w:rPr>
      </w:pPr>
      <w:bookmarkStart w:id="4" w:name="_Toc225560000"/>
      <w:r w:rsidRPr="0045647D">
        <w:rPr>
          <w:rFonts w:ascii="Arial" w:hAnsi="Arial" w:cs="Arial"/>
          <w:sz w:val="24"/>
          <w:szCs w:val="24"/>
        </w:rPr>
        <w:lastRenderedPageBreak/>
        <w:t>3. Budgeting and Financial Planning (400 words)</w:t>
      </w:r>
      <w:bookmarkEnd w:id="4"/>
    </w:p>
    <w:p w14:paraId="17F6D39C" w14:textId="77777777" w:rsidR="00A704DE" w:rsidRPr="0045647D" w:rsidRDefault="00A704DE" w:rsidP="0045647D">
      <w:pPr>
        <w:pStyle w:val="Heading2"/>
        <w:spacing w:line="360" w:lineRule="auto"/>
        <w:rPr>
          <w:rFonts w:ascii="Arial" w:hAnsi="Arial" w:cs="Arial"/>
          <w:sz w:val="24"/>
          <w:szCs w:val="24"/>
        </w:rPr>
      </w:pPr>
      <w:bookmarkStart w:id="5" w:name="_Toc225560001"/>
      <w:r w:rsidRPr="0045647D">
        <w:rPr>
          <w:rFonts w:ascii="Arial" w:hAnsi="Arial" w:cs="Arial"/>
          <w:sz w:val="24"/>
          <w:szCs w:val="24"/>
        </w:rPr>
        <w:t>3.1 Role of Budgeting in DP World’s Operations</w:t>
      </w:r>
      <w:bookmarkEnd w:id="5"/>
    </w:p>
    <w:p w14:paraId="7320CC61"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Capital budgeting is particularly important for evaluating major projects such as the expansion of London Gateway. Techniques such as Net Present Value (NPV) and Internal Rate of Return (IRR) are used to assess whether expected future cash flows justify the initial investment (Drury, 2018; Seal et al., 2018).</w:t>
      </w:r>
    </w:p>
    <w:p w14:paraId="4C4D94BB"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For example, DP World increased its capital expenditure from approximately $2.2 billion in 2024 to $3.1 billion in 2025, reflecting increased investment in infrastructure and expansion (DP World, 2025).</w:t>
      </w:r>
    </w:p>
    <w:p w14:paraId="574FAE90"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Operational budgeting is used to control day-to-day costs, including labour, maintenance, and energy consumption. These budgets ensure operational efficiency while supporting growth in throughput.</w:t>
      </w:r>
    </w:p>
    <w:p w14:paraId="26E8A1FB"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Budgeting also supports strategic decision-making by aligning financial resources with business objectives. However, budgeting relies on forecasts, which may be uncertain in a volatile global environment, increasing the risk of inaccurate planning (Weetman, 2019).</w:t>
      </w:r>
    </w:p>
    <w:p w14:paraId="46F570DD" w14:textId="4F535287" w:rsidR="000B0C27" w:rsidRPr="0045647D" w:rsidRDefault="000B0C27" w:rsidP="0045647D">
      <w:pPr>
        <w:spacing w:line="360" w:lineRule="auto"/>
        <w:rPr>
          <w:rFonts w:ascii="Arial" w:hAnsi="Arial" w:cs="Arial"/>
          <w:sz w:val="24"/>
          <w:szCs w:val="24"/>
        </w:rPr>
      </w:pPr>
    </w:p>
    <w:p w14:paraId="50F7B1CA" w14:textId="77777777" w:rsidR="000B0C27" w:rsidRPr="0045647D" w:rsidRDefault="000B0C27" w:rsidP="0045647D">
      <w:pPr>
        <w:pStyle w:val="Heading2"/>
        <w:spacing w:line="360" w:lineRule="auto"/>
        <w:rPr>
          <w:rFonts w:ascii="Arial" w:hAnsi="Arial" w:cs="Arial"/>
          <w:sz w:val="24"/>
          <w:szCs w:val="24"/>
        </w:rPr>
      </w:pPr>
      <w:bookmarkStart w:id="6" w:name="_Toc225560002"/>
      <w:r w:rsidRPr="0045647D">
        <w:rPr>
          <w:rFonts w:ascii="Arial" w:hAnsi="Arial" w:cs="Arial"/>
          <w:sz w:val="24"/>
          <w:szCs w:val="24"/>
        </w:rPr>
        <w:t>3.2 Year-on-Year Operating Expenses Analysis (Internal vs External Factors)</w:t>
      </w:r>
      <w:bookmarkEnd w:id="6"/>
    </w:p>
    <w:p w14:paraId="496C749D" w14:textId="77777777" w:rsidR="000B0C27" w:rsidRPr="0045647D" w:rsidRDefault="000B0C27" w:rsidP="0045647D">
      <w:pPr>
        <w:spacing w:line="360" w:lineRule="auto"/>
        <w:rPr>
          <w:rFonts w:ascii="Arial" w:hAnsi="Arial" w:cs="Arial"/>
          <w:sz w:val="24"/>
          <w:szCs w:val="24"/>
        </w:rPr>
      </w:pPr>
      <w:r w:rsidRPr="0045647D">
        <w:rPr>
          <w:rFonts w:ascii="Arial" w:hAnsi="Arial" w:cs="Arial"/>
          <w:sz w:val="24"/>
          <w:szCs w:val="24"/>
        </w:rPr>
        <w:t>An analysis of DP World’s financial performance shows a significant increase in investment and operating-related costs between 2024 and 2025. This is primarily driven by expansion activities, increased capacity, and macroeconomic pressures.</w:t>
      </w:r>
    </w:p>
    <w:p w14:paraId="60C289E5" w14:textId="6931A50F" w:rsidR="000B0C27" w:rsidRPr="0045647D" w:rsidRDefault="000B0C27" w:rsidP="0045647D">
      <w:pPr>
        <w:spacing w:line="360" w:lineRule="auto"/>
        <w:rPr>
          <w:rFonts w:ascii="Arial" w:hAnsi="Arial" w:cs="Arial"/>
          <w:sz w:val="24"/>
          <w:szCs w:val="24"/>
        </w:rPr>
      </w:pPr>
      <w:r w:rsidRPr="0045647D">
        <w:rPr>
          <w:rFonts w:ascii="Arial" w:hAnsi="Arial" w:cs="Arial"/>
          <w:sz w:val="24"/>
          <w:szCs w:val="24"/>
        </w:rPr>
        <w:t>Revenue increased from approximately $20.0 billion in 2024 to $24.4 billion in 2025, representing a 22% growth, while capital expenditure rose significantly to support infrastructure expansion. This indicates a corresponding rise in operating expenses, influenced by both internal management decisions and external economic conditions</w:t>
      </w:r>
      <w:r w:rsidR="00A704DE" w:rsidRPr="0045647D">
        <w:rPr>
          <w:rFonts w:ascii="Arial" w:hAnsi="Arial" w:cs="Arial"/>
          <w:sz w:val="24"/>
          <w:szCs w:val="24"/>
        </w:rPr>
        <w:t xml:space="preserve"> (DP World, 2025).</w:t>
      </w:r>
    </w:p>
    <w:p w14:paraId="6BA569FE" w14:textId="77777777" w:rsidR="0045647D" w:rsidRPr="0045647D" w:rsidRDefault="0045647D" w:rsidP="0045647D">
      <w:pPr>
        <w:spacing w:line="360" w:lineRule="auto"/>
        <w:rPr>
          <w:rFonts w:ascii="Arial" w:hAnsi="Arial" w:cs="Arial"/>
          <w:sz w:val="24"/>
          <w:szCs w:val="24"/>
        </w:rPr>
      </w:pPr>
    </w:p>
    <w:p w14:paraId="514FC5B1" w14:textId="77777777" w:rsidR="00B73731" w:rsidRDefault="00B73731" w:rsidP="0045647D">
      <w:pPr>
        <w:spacing w:line="360" w:lineRule="auto"/>
        <w:rPr>
          <w:rFonts w:ascii="Arial" w:hAnsi="Arial" w:cs="Arial"/>
          <w:sz w:val="24"/>
          <w:szCs w:val="24"/>
        </w:rPr>
      </w:pPr>
    </w:p>
    <w:p w14:paraId="060F16A3" w14:textId="77777777" w:rsidR="00B73731" w:rsidRDefault="00B73731" w:rsidP="0045647D">
      <w:pPr>
        <w:spacing w:line="360" w:lineRule="auto"/>
        <w:rPr>
          <w:rFonts w:ascii="Arial" w:hAnsi="Arial" w:cs="Arial"/>
          <w:sz w:val="24"/>
          <w:szCs w:val="24"/>
        </w:rPr>
      </w:pPr>
    </w:p>
    <w:p w14:paraId="36D430A2" w14:textId="7C5FE632" w:rsidR="002D565C" w:rsidRPr="0045647D" w:rsidRDefault="000B0C27" w:rsidP="0045647D">
      <w:pPr>
        <w:spacing w:line="360" w:lineRule="auto"/>
        <w:rPr>
          <w:rFonts w:ascii="Arial" w:hAnsi="Arial" w:cs="Arial"/>
          <w:sz w:val="24"/>
          <w:szCs w:val="24"/>
        </w:rPr>
      </w:pPr>
      <w:r w:rsidRPr="0045647D">
        <w:rPr>
          <w:rFonts w:ascii="Arial" w:hAnsi="Arial" w:cs="Arial"/>
          <w:sz w:val="24"/>
          <w:szCs w:val="24"/>
        </w:rPr>
        <w:lastRenderedPageBreak/>
        <w:t>Table 2: Factors Influencing Operating Expenses (DP World)</w:t>
      </w:r>
    </w:p>
    <w:tbl>
      <w:tblPr>
        <w:tblStyle w:val="TableGrid"/>
        <w:tblW w:w="0" w:type="auto"/>
        <w:tblLook w:val="04A0" w:firstRow="1" w:lastRow="0" w:firstColumn="1" w:lastColumn="0" w:noHBand="0" w:noVBand="1"/>
      </w:tblPr>
      <w:tblGrid>
        <w:gridCol w:w="4508"/>
        <w:gridCol w:w="4508"/>
      </w:tblGrid>
      <w:tr w:rsidR="0045647D" w:rsidRPr="0045647D" w14:paraId="26E1DAFF" w14:textId="77777777" w:rsidTr="00671A22">
        <w:tc>
          <w:tcPr>
            <w:tcW w:w="4508" w:type="dxa"/>
            <w:vAlign w:val="center"/>
          </w:tcPr>
          <w:p w14:paraId="1C7420D9" w14:textId="3DD5A9B4"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Internal Factors (Management Decisions)</w:t>
            </w:r>
          </w:p>
        </w:tc>
        <w:tc>
          <w:tcPr>
            <w:tcW w:w="4508" w:type="dxa"/>
            <w:vAlign w:val="center"/>
          </w:tcPr>
          <w:p w14:paraId="2E1CEDF7" w14:textId="2E9D89BA"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External Factors (Macroeconomic Influences)</w:t>
            </w:r>
          </w:p>
        </w:tc>
      </w:tr>
      <w:tr w:rsidR="0045647D" w:rsidRPr="0045647D" w14:paraId="75DBD1D5" w14:textId="77777777" w:rsidTr="004F30B1">
        <w:tc>
          <w:tcPr>
            <w:tcW w:w="4508" w:type="dxa"/>
          </w:tcPr>
          <w:p w14:paraId="419B404E" w14:textId="420750E2"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Expansion of London Gateway and new dock construction</w:t>
            </w:r>
          </w:p>
        </w:tc>
        <w:tc>
          <w:tcPr>
            <w:tcW w:w="4508" w:type="dxa"/>
            <w:vAlign w:val="center"/>
          </w:tcPr>
          <w:p w14:paraId="7BFEB7BD" w14:textId="22662C32"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Inflation (energy and labour costs)</w:t>
            </w:r>
          </w:p>
        </w:tc>
      </w:tr>
      <w:tr w:rsidR="0045647D" w:rsidRPr="0045647D" w14:paraId="14436389" w14:textId="77777777" w:rsidTr="005176FD">
        <w:tc>
          <w:tcPr>
            <w:tcW w:w="4508" w:type="dxa"/>
          </w:tcPr>
          <w:p w14:paraId="0D0DC21B" w14:textId="3AF750D9"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Increased capital expenditure ($3.1bn in 2025)</w:t>
            </w:r>
          </w:p>
        </w:tc>
        <w:tc>
          <w:tcPr>
            <w:tcW w:w="4508" w:type="dxa"/>
            <w:vAlign w:val="center"/>
          </w:tcPr>
          <w:p w14:paraId="63DC44AC" w14:textId="07A17CDA"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Global supply chain disruptions</w:t>
            </w:r>
          </w:p>
        </w:tc>
      </w:tr>
      <w:tr w:rsidR="0045647D" w:rsidRPr="0045647D" w14:paraId="574B5262" w14:textId="77777777" w:rsidTr="0045647D">
        <w:tc>
          <w:tcPr>
            <w:tcW w:w="4508" w:type="dxa"/>
          </w:tcPr>
          <w:p w14:paraId="784E4B91" w14:textId="146296A1"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Investment in automation and digital technologies</w:t>
            </w:r>
          </w:p>
        </w:tc>
        <w:tc>
          <w:tcPr>
            <w:tcW w:w="4508" w:type="dxa"/>
          </w:tcPr>
          <w:p w14:paraId="6EB600D8" w14:textId="490AF141"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Geopolitical tensions affecting trade routes</w:t>
            </w:r>
          </w:p>
        </w:tc>
      </w:tr>
      <w:tr w:rsidR="0045647D" w:rsidRPr="0045647D" w14:paraId="55C37DBF" w14:textId="77777777" w:rsidTr="00C929A1">
        <w:tc>
          <w:tcPr>
            <w:tcW w:w="4508" w:type="dxa"/>
            <w:vAlign w:val="center"/>
          </w:tcPr>
          <w:p w14:paraId="7FA45370" w14:textId="40DF9EF9"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Scaling logistics and warehousing operations</w:t>
            </w:r>
          </w:p>
        </w:tc>
        <w:tc>
          <w:tcPr>
            <w:tcW w:w="4508" w:type="dxa"/>
          </w:tcPr>
          <w:p w14:paraId="5E21E7B9" w14:textId="3C3F4E8B"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Rising fuel and transportation costs</w:t>
            </w:r>
          </w:p>
        </w:tc>
      </w:tr>
      <w:tr w:rsidR="0045647D" w:rsidRPr="0045647D" w14:paraId="242AD107" w14:textId="77777777" w:rsidTr="005F502D">
        <w:tc>
          <w:tcPr>
            <w:tcW w:w="4508" w:type="dxa"/>
            <w:vAlign w:val="center"/>
          </w:tcPr>
          <w:p w14:paraId="47BBE48C" w14:textId="055A7D2E"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Hiring and training workforce for expanded operations</w:t>
            </w:r>
          </w:p>
        </w:tc>
        <w:tc>
          <w:tcPr>
            <w:tcW w:w="4508" w:type="dxa"/>
          </w:tcPr>
          <w:p w14:paraId="0E3BB8BD" w14:textId="20B26D9E"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Tariffs and global trade policy changes</w:t>
            </w:r>
          </w:p>
        </w:tc>
      </w:tr>
    </w:tbl>
    <w:p w14:paraId="0C67EEFE" w14:textId="77777777" w:rsidR="0045647D" w:rsidRPr="0045647D" w:rsidRDefault="0045647D" w:rsidP="0045647D">
      <w:pPr>
        <w:spacing w:line="360" w:lineRule="auto"/>
        <w:rPr>
          <w:rFonts w:ascii="Arial" w:hAnsi="Arial" w:cs="Arial"/>
          <w:sz w:val="24"/>
          <w:szCs w:val="24"/>
        </w:rPr>
      </w:pPr>
    </w:p>
    <w:p w14:paraId="0757A598"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Internally, DP World has made strategic decisions to increase spending on infrastructure, automation, and logistics integration. These investments aim to improve efficiency, increase capacity, and support long-term growth. For example, increased capital expenditure directly reflects management’s commitment to expanding global port capacity, including projects such as London Gateway.</w:t>
      </w:r>
    </w:p>
    <w:p w14:paraId="48786AB8" w14:textId="77777777" w:rsidR="00A704DE" w:rsidRPr="0045647D" w:rsidRDefault="00A704DE" w:rsidP="0045647D">
      <w:pPr>
        <w:spacing w:line="360" w:lineRule="auto"/>
        <w:rPr>
          <w:rFonts w:ascii="Arial" w:hAnsi="Arial" w:cs="Arial"/>
          <w:sz w:val="24"/>
          <w:szCs w:val="24"/>
        </w:rPr>
      </w:pPr>
      <w:r w:rsidRPr="00A704DE">
        <w:rPr>
          <w:rFonts w:ascii="Arial" w:hAnsi="Arial" w:cs="Arial"/>
          <w:sz w:val="24"/>
          <w:szCs w:val="24"/>
        </w:rPr>
        <w:t>Externally, macroeconomic factors have also significantly influenced operating expenses. Rising inflation, energy costs, and global trade disruptions have increased operational costs across the logistics sector. Additionally, geopolitical tensions, such as disruptions in key shipping routes, have forced companies to adapt supply chains, increasing costs (Mangan et al., 2020; Rushton et al., 2017).</w:t>
      </w:r>
    </w:p>
    <w:p w14:paraId="3C8EA6E7" w14:textId="77777777" w:rsidR="0045647D" w:rsidRDefault="0045647D" w:rsidP="0045647D">
      <w:pPr>
        <w:spacing w:line="360" w:lineRule="auto"/>
        <w:rPr>
          <w:rFonts w:ascii="Arial" w:hAnsi="Arial" w:cs="Arial"/>
          <w:sz w:val="24"/>
          <w:szCs w:val="24"/>
        </w:rPr>
      </w:pPr>
    </w:p>
    <w:p w14:paraId="479753B3" w14:textId="77777777" w:rsidR="00B73731" w:rsidRDefault="00B73731" w:rsidP="0045647D">
      <w:pPr>
        <w:spacing w:line="360" w:lineRule="auto"/>
        <w:rPr>
          <w:rFonts w:ascii="Arial" w:hAnsi="Arial" w:cs="Arial"/>
          <w:sz w:val="24"/>
          <w:szCs w:val="24"/>
        </w:rPr>
      </w:pPr>
    </w:p>
    <w:p w14:paraId="25D7393C" w14:textId="77777777" w:rsidR="00B73731" w:rsidRDefault="00B73731" w:rsidP="0045647D">
      <w:pPr>
        <w:spacing w:line="360" w:lineRule="auto"/>
        <w:rPr>
          <w:rFonts w:ascii="Arial" w:hAnsi="Arial" w:cs="Arial"/>
          <w:sz w:val="24"/>
          <w:szCs w:val="24"/>
        </w:rPr>
      </w:pPr>
    </w:p>
    <w:p w14:paraId="4F7FB85F" w14:textId="77777777" w:rsidR="00B73731" w:rsidRDefault="00B73731" w:rsidP="0045647D">
      <w:pPr>
        <w:spacing w:line="360" w:lineRule="auto"/>
        <w:rPr>
          <w:rFonts w:ascii="Arial" w:hAnsi="Arial" w:cs="Arial"/>
          <w:sz w:val="24"/>
          <w:szCs w:val="24"/>
        </w:rPr>
      </w:pPr>
    </w:p>
    <w:p w14:paraId="7A17E48D" w14:textId="77777777" w:rsidR="00B73731" w:rsidRDefault="00B73731" w:rsidP="0045647D">
      <w:pPr>
        <w:spacing w:line="360" w:lineRule="auto"/>
        <w:rPr>
          <w:rFonts w:ascii="Arial" w:hAnsi="Arial" w:cs="Arial"/>
          <w:sz w:val="24"/>
          <w:szCs w:val="24"/>
        </w:rPr>
      </w:pPr>
    </w:p>
    <w:p w14:paraId="20FB4551" w14:textId="77777777" w:rsidR="00B73731" w:rsidRPr="00A704DE" w:rsidRDefault="00B73731" w:rsidP="0045647D">
      <w:pPr>
        <w:spacing w:line="360" w:lineRule="auto"/>
        <w:rPr>
          <w:rFonts w:ascii="Arial" w:hAnsi="Arial" w:cs="Arial"/>
          <w:sz w:val="24"/>
          <w:szCs w:val="24"/>
        </w:rPr>
      </w:pPr>
    </w:p>
    <w:p w14:paraId="22404A19" w14:textId="1CC47E6B" w:rsidR="00365275" w:rsidRPr="0045647D" w:rsidRDefault="008177BB" w:rsidP="0045647D">
      <w:pPr>
        <w:spacing w:line="360" w:lineRule="auto"/>
        <w:rPr>
          <w:rFonts w:ascii="Arial" w:hAnsi="Arial" w:cs="Arial"/>
          <w:sz w:val="24"/>
          <w:szCs w:val="24"/>
        </w:rPr>
      </w:pPr>
      <w:r w:rsidRPr="0045647D">
        <w:rPr>
          <w:rFonts w:ascii="Arial" w:hAnsi="Arial" w:cs="Arial"/>
          <w:sz w:val="24"/>
          <w:szCs w:val="24"/>
        </w:rPr>
        <w:lastRenderedPageBreak/>
        <w:t>Table 3: Capital Expenditure and Investment Growth (Enhanced Version)</w:t>
      </w:r>
    </w:p>
    <w:tbl>
      <w:tblPr>
        <w:tblStyle w:val="TableGrid"/>
        <w:tblW w:w="0" w:type="auto"/>
        <w:tblLook w:val="04A0" w:firstRow="1" w:lastRow="0" w:firstColumn="1" w:lastColumn="0" w:noHBand="0" w:noVBand="1"/>
      </w:tblPr>
      <w:tblGrid>
        <w:gridCol w:w="2254"/>
        <w:gridCol w:w="2254"/>
        <w:gridCol w:w="2254"/>
        <w:gridCol w:w="2254"/>
      </w:tblGrid>
      <w:tr w:rsidR="00C6330E" w:rsidRPr="0045647D" w14:paraId="083AA84E" w14:textId="77777777" w:rsidTr="00006AC4">
        <w:tc>
          <w:tcPr>
            <w:tcW w:w="2254" w:type="dxa"/>
          </w:tcPr>
          <w:p w14:paraId="59749049" w14:textId="7F5615A3"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Indicator</w:t>
            </w:r>
          </w:p>
        </w:tc>
        <w:tc>
          <w:tcPr>
            <w:tcW w:w="2254" w:type="dxa"/>
            <w:vAlign w:val="center"/>
          </w:tcPr>
          <w:p w14:paraId="67D017BC" w14:textId="289D070F"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2024</w:t>
            </w:r>
          </w:p>
        </w:tc>
        <w:tc>
          <w:tcPr>
            <w:tcW w:w="2254" w:type="dxa"/>
          </w:tcPr>
          <w:p w14:paraId="352B719F" w14:textId="33C02A99"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2025</w:t>
            </w:r>
          </w:p>
        </w:tc>
        <w:tc>
          <w:tcPr>
            <w:tcW w:w="2254" w:type="dxa"/>
          </w:tcPr>
          <w:p w14:paraId="5EB2B0EF" w14:textId="7DECB5BF"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Change / Analysis</w:t>
            </w:r>
          </w:p>
        </w:tc>
      </w:tr>
      <w:tr w:rsidR="00C6330E" w:rsidRPr="0045647D" w14:paraId="47718D5C" w14:textId="77777777" w:rsidTr="00C6330E">
        <w:tc>
          <w:tcPr>
            <w:tcW w:w="2254" w:type="dxa"/>
          </w:tcPr>
          <w:p w14:paraId="4D5765E4" w14:textId="4FDDC4AB"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Capital Expenditure ($ bn)</w:t>
            </w:r>
          </w:p>
        </w:tc>
        <w:tc>
          <w:tcPr>
            <w:tcW w:w="2254" w:type="dxa"/>
          </w:tcPr>
          <w:p w14:paraId="2CECC674" w14:textId="55B323F1"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2.2</w:t>
            </w:r>
          </w:p>
        </w:tc>
        <w:tc>
          <w:tcPr>
            <w:tcW w:w="2254" w:type="dxa"/>
          </w:tcPr>
          <w:p w14:paraId="128615D4" w14:textId="32ADE6F5"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3.1</w:t>
            </w:r>
          </w:p>
        </w:tc>
        <w:tc>
          <w:tcPr>
            <w:tcW w:w="2254" w:type="dxa"/>
          </w:tcPr>
          <w:p w14:paraId="3D0016A5" w14:textId="77FF573B"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+41% increase</w:t>
            </w:r>
          </w:p>
        </w:tc>
      </w:tr>
      <w:tr w:rsidR="00C6330E" w:rsidRPr="0045647D" w14:paraId="16ED5FAF" w14:textId="77777777" w:rsidTr="00EB1BB5">
        <w:tc>
          <w:tcPr>
            <w:tcW w:w="2254" w:type="dxa"/>
          </w:tcPr>
          <w:p w14:paraId="6A48DEF5" w14:textId="7C802E7F"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Major Projects</w:t>
            </w:r>
          </w:p>
        </w:tc>
        <w:tc>
          <w:tcPr>
            <w:tcW w:w="2254" w:type="dxa"/>
            <w:vAlign w:val="center"/>
          </w:tcPr>
          <w:p w14:paraId="089E435C" w14:textId="277D69DA"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Port upgrades</w:t>
            </w:r>
          </w:p>
        </w:tc>
        <w:tc>
          <w:tcPr>
            <w:tcW w:w="2254" w:type="dxa"/>
          </w:tcPr>
          <w:p w14:paraId="3A8AD88B" w14:textId="1A162ABC" w:rsidR="00C6330E" w:rsidRPr="0045647D" w:rsidRDefault="0045647D" w:rsidP="0045647D">
            <w:pPr>
              <w:spacing w:line="360" w:lineRule="auto"/>
              <w:rPr>
                <w:rFonts w:ascii="Arial" w:hAnsi="Arial" w:cs="Arial"/>
                <w:sz w:val="24"/>
                <w:szCs w:val="24"/>
              </w:rPr>
            </w:pPr>
            <w:r w:rsidRPr="0045647D">
              <w:rPr>
                <w:rFonts w:ascii="Arial" w:hAnsi="Arial" w:cs="Arial"/>
                <w:sz w:val="24"/>
                <w:szCs w:val="24"/>
              </w:rPr>
              <w:t>London Gateway expansion, new berths</w:t>
            </w:r>
          </w:p>
        </w:tc>
        <w:tc>
          <w:tcPr>
            <w:tcW w:w="2254" w:type="dxa"/>
          </w:tcPr>
          <w:p w14:paraId="7BA22834" w14:textId="05BF1686" w:rsidR="00C6330E" w:rsidRPr="0045647D" w:rsidRDefault="0045647D" w:rsidP="0045647D">
            <w:pPr>
              <w:spacing w:line="360" w:lineRule="auto"/>
              <w:rPr>
                <w:rFonts w:ascii="Arial" w:hAnsi="Arial" w:cs="Arial"/>
                <w:sz w:val="24"/>
                <w:szCs w:val="24"/>
              </w:rPr>
            </w:pPr>
            <w:r w:rsidRPr="0045647D">
              <w:rPr>
                <w:rFonts w:ascii="Arial" w:hAnsi="Arial" w:cs="Arial"/>
                <w:sz w:val="24"/>
                <w:szCs w:val="24"/>
              </w:rPr>
              <w:t>Significant expansion</w:t>
            </w:r>
          </w:p>
        </w:tc>
      </w:tr>
      <w:tr w:rsidR="00C6330E" w:rsidRPr="0045647D" w14:paraId="7C2441DF" w14:textId="77777777" w:rsidTr="001C43AE">
        <w:tc>
          <w:tcPr>
            <w:tcW w:w="2254" w:type="dxa"/>
          </w:tcPr>
          <w:p w14:paraId="2B7C7BBE" w14:textId="1B17D8ED"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Investment Focus</w:t>
            </w:r>
          </w:p>
        </w:tc>
        <w:tc>
          <w:tcPr>
            <w:tcW w:w="2254" w:type="dxa"/>
            <w:vAlign w:val="center"/>
          </w:tcPr>
          <w:p w14:paraId="61A3E038" w14:textId="3E02C89E" w:rsidR="00C6330E" w:rsidRPr="0045647D" w:rsidRDefault="00C6330E" w:rsidP="0045647D">
            <w:pPr>
              <w:spacing w:line="360" w:lineRule="auto"/>
              <w:rPr>
                <w:rFonts w:ascii="Arial" w:hAnsi="Arial" w:cs="Arial"/>
                <w:sz w:val="24"/>
                <w:szCs w:val="24"/>
              </w:rPr>
            </w:pPr>
            <w:r w:rsidRPr="0045647D">
              <w:rPr>
                <w:rFonts w:ascii="Arial" w:hAnsi="Arial" w:cs="Arial"/>
                <w:sz w:val="24"/>
                <w:szCs w:val="24"/>
              </w:rPr>
              <w:t>Infrastructure</w:t>
            </w:r>
          </w:p>
        </w:tc>
        <w:tc>
          <w:tcPr>
            <w:tcW w:w="2254" w:type="dxa"/>
          </w:tcPr>
          <w:p w14:paraId="66DDA706" w14:textId="681581A4" w:rsidR="00C6330E" w:rsidRPr="0045647D" w:rsidRDefault="0045647D" w:rsidP="0045647D">
            <w:pPr>
              <w:spacing w:line="360" w:lineRule="auto"/>
              <w:rPr>
                <w:rFonts w:ascii="Arial" w:hAnsi="Arial" w:cs="Arial"/>
                <w:sz w:val="24"/>
                <w:szCs w:val="24"/>
              </w:rPr>
            </w:pPr>
            <w:r w:rsidRPr="0045647D">
              <w:rPr>
                <w:rFonts w:ascii="Arial" w:hAnsi="Arial" w:cs="Arial"/>
                <w:sz w:val="24"/>
                <w:szCs w:val="24"/>
              </w:rPr>
              <w:t>Automation + Expansion</w:t>
            </w:r>
          </w:p>
        </w:tc>
        <w:tc>
          <w:tcPr>
            <w:tcW w:w="2254" w:type="dxa"/>
          </w:tcPr>
          <w:p w14:paraId="605D737C" w14:textId="2B356919" w:rsidR="00C6330E" w:rsidRPr="0045647D" w:rsidRDefault="0045647D" w:rsidP="0045647D">
            <w:pPr>
              <w:spacing w:line="360" w:lineRule="auto"/>
              <w:rPr>
                <w:rFonts w:ascii="Arial" w:hAnsi="Arial" w:cs="Arial"/>
                <w:sz w:val="24"/>
                <w:szCs w:val="24"/>
              </w:rPr>
            </w:pPr>
            <w:r w:rsidRPr="0045647D">
              <w:rPr>
                <w:rFonts w:ascii="Arial" w:hAnsi="Arial" w:cs="Arial"/>
                <w:sz w:val="24"/>
                <w:szCs w:val="24"/>
              </w:rPr>
              <w:t>Strategic shift</w:t>
            </w:r>
          </w:p>
        </w:tc>
      </w:tr>
      <w:tr w:rsidR="0045647D" w:rsidRPr="0045647D" w14:paraId="6C40FD97" w14:textId="77777777" w:rsidTr="00212E01">
        <w:tc>
          <w:tcPr>
            <w:tcW w:w="2254" w:type="dxa"/>
          </w:tcPr>
          <w:p w14:paraId="16000273" w14:textId="54FE7529"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Technology Investment</w:t>
            </w:r>
          </w:p>
        </w:tc>
        <w:tc>
          <w:tcPr>
            <w:tcW w:w="2254" w:type="dxa"/>
          </w:tcPr>
          <w:p w14:paraId="196AA1C3" w14:textId="5AD71656"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Limited automation</w:t>
            </w:r>
          </w:p>
        </w:tc>
        <w:tc>
          <w:tcPr>
            <w:tcW w:w="2254" w:type="dxa"/>
          </w:tcPr>
          <w:p w14:paraId="2ACC8138" w14:textId="1E995022"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Increased digitalisation (AI, smart logistics)</w:t>
            </w:r>
          </w:p>
        </w:tc>
        <w:tc>
          <w:tcPr>
            <w:tcW w:w="2254" w:type="dxa"/>
            <w:vAlign w:val="center"/>
          </w:tcPr>
          <w:p w14:paraId="028610D9" w14:textId="1758DD87"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Efficiency improvement</w:t>
            </w:r>
          </w:p>
        </w:tc>
      </w:tr>
      <w:tr w:rsidR="0045647D" w:rsidRPr="0045647D" w14:paraId="695A1D76" w14:textId="77777777" w:rsidTr="00AA0EA9">
        <w:tc>
          <w:tcPr>
            <w:tcW w:w="2254" w:type="dxa"/>
          </w:tcPr>
          <w:p w14:paraId="7FCEB511" w14:textId="434D6DF4"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Capacity Expansion</w:t>
            </w:r>
          </w:p>
        </w:tc>
        <w:tc>
          <w:tcPr>
            <w:tcW w:w="2254" w:type="dxa"/>
          </w:tcPr>
          <w:p w14:paraId="38053CD2" w14:textId="50FBB844"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Moderate</w:t>
            </w:r>
          </w:p>
        </w:tc>
        <w:tc>
          <w:tcPr>
            <w:tcW w:w="2254" w:type="dxa"/>
            <w:vAlign w:val="center"/>
          </w:tcPr>
          <w:p w14:paraId="3BFB10A4" w14:textId="7F0C93CA"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High (new docking capacity)</w:t>
            </w:r>
          </w:p>
        </w:tc>
        <w:tc>
          <w:tcPr>
            <w:tcW w:w="2254" w:type="dxa"/>
            <w:vAlign w:val="center"/>
          </w:tcPr>
          <w:p w14:paraId="29BA40F1" w14:textId="2A793E11"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Increased throughput potential</w:t>
            </w:r>
          </w:p>
        </w:tc>
      </w:tr>
      <w:tr w:rsidR="0045647D" w:rsidRPr="0045647D" w14:paraId="56503EF4" w14:textId="77777777" w:rsidTr="00D30FF3">
        <w:tc>
          <w:tcPr>
            <w:tcW w:w="2254" w:type="dxa"/>
          </w:tcPr>
          <w:p w14:paraId="412935BF" w14:textId="0B4CEEBF"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Geographical Expansion</w:t>
            </w:r>
          </w:p>
        </w:tc>
        <w:tc>
          <w:tcPr>
            <w:tcW w:w="2254" w:type="dxa"/>
          </w:tcPr>
          <w:p w14:paraId="64FFC038" w14:textId="02EBCD26"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Existing markets</w:t>
            </w:r>
          </w:p>
        </w:tc>
        <w:tc>
          <w:tcPr>
            <w:tcW w:w="2254" w:type="dxa"/>
          </w:tcPr>
          <w:p w14:paraId="427E0A65" w14:textId="576E744A"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Expansion into global logistics hubs</w:t>
            </w:r>
          </w:p>
        </w:tc>
        <w:tc>
          <w:tcPr>
            <w:tcW w:w="2254" w:type="dxa"/>
          </w:tcPr>
          <w:p w14:paraId="7861ADAA" w14:textId="1AAD1D24"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Market diversification</w:t>
            </w:r>
          </w:p>
        </w:tc>
      </w:tr>
      <w:tr w:rsidR="0045647D" w:rsidRPr="0045647D" w14:paraId="1931A2BB" w14:textId="77777777" w:rsidTr="005A0BA4">
        <w:tc>
          <w:tcPr>
            <w:tcW w:w="2254" w:type="dxa"/>
          </w:tcPr>
          <w:p w14:paraId="5F8BFB91" w14:textId="01134AD5"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Sustainability Investment</w:t>
            </w:r>
          </w:p>
        </w:tc>
        <w:tc>
          <w:tcPr>
            <w:tcW w:w="2254" w:type="dxa"/>
          </w:tcPr>
          <w:p w14:paraId="183EDD38" w14:textId="0C4ABC5B"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Initial initiatives</w:t>
            </w:r>
          </w:p>
        </w:tc>
        <w:tc>
          <w:tcPr>
            <w:tcW w:w="2254" w:type="dxa"/>
          </w:tcPr>
          <w:p w14:paraId="3EB96444" w14:textId="11EF2126"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Green ports, electrification, rail logistics</w:t>
            </w:r>
          </w:p>
        </w:tc>
        <w:tc>
          <w:tcPr>
            <w:tcW w:w="2254" w:type="dxa"/>
            <w:vAlign w:val="center"/>
          </w:tcPr>
          <w:p w14:paraId="69486402" w14:textId="3BDDBA77"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ESG alignment</w:t>
            </w:r>
          </w:p>
        </w:tc>
      </w:tr>
      <w:tr w:rsidR="0045647D" w:rsidRPr="0045647D" w14:paraId="3BD6FF19" w14:textId="77777777" w:rsidTr="002951FE">
        <w:tc>
          <w:tcPr>
            <w:tcW w:w="2254" w:type="dxa"/>
          </w:tcPr>
          <w:p w14:paraId="203C9908" w14:textId="51677B6D"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Expected ROI</w:t>
            </w:r>
          </w:p>
        </w:tc>
        <w:tc>
          <w:tcPr>
            <w:tcW w:w="2254" w:type="dxa"/>
            <w:vAlign w:val="center"/>
          </w:tcPr>
          <w:p w14:paraId="4FC78B1E" w14:textId="148F99DD"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Stable returns</w:t>
            </w:r>
          </w:p>
        </w:tc>
        <w:tc>
          <w:tcPr>
            <w:tcW w:w="2254" w:type="dxa"/>
            <w:vAlign w:val="center"/>
          </w:tcPr>
          <w:p w14:paraId="3530D51E" w14:textId="6795D447"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Higher long-term returns</w:t>
            </w:r>
          </w:p>
        </w:tc>
        <w:tc>
          <w:tcPr>
            <w:tcW w:w="2254" w:type="dxa"/>
            <w:vAlign w:val="center"/>
          </w:tcPr>
          <w:p w14:paraId="2D6CA3DC" w14:textId="451E57B5"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Long-term value creation</w:t>
            </w:r>
          </w:p>
        </w:tc>
      </w:tr>
      <w:tr w:rsidR="0045647D" w:rsidRPr="0045647D" w14:paraId="0FC178D9" w14:textId="77777777" w:rsidTr="00287B4F">
        <w:tc>
          <w:tcPr>
            <w:tcW w:w="2254" w:type="dxa"/>
          </w:tcPr>
          <w:p w14:paraId="144D82DF" w14:textId="5E96742F"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Risk Level</w:t>
            </w:r>
          </w:p>
        </w:tc>
        <w:tc>
          <w:tcPr>
            <w:tcW w:w="2254" w:type="dxa"/>
          </w:tcPr>
          <w:p w14:paraId="7CA25689" w14:textId="1B37EE18"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Medium</w:t>
            </w:r>
          </w:p>
        </w:tc>
        <w:tc>
          <w:tcPr>
            <w:tcW w:w="2254" w:type="dxa"/>
            <w:vAlign w:val="center"/>
          </w:tcPr>
          <w:p w14:paraId="7ADEC871" w14:textId="41FEA9B0"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Higher (due to large investments)</w:t>
            </w:r>
          </w:p>
        </w:tc>
        <w:tc>
          <w:tcPr>
            <w:tcW w:w="2254" w:type="dxa"/>
            <w:vAlign w:val="center"/>
          </w:tcPr>
          <w:p w14:paraId="4FBC8EDC" w14:textId="5BF8B13D" w:rsidR="0045647D" w:rsidRPr="0045647D" w:rsidRDefault="0045647D" w:rsidP="0045647D">
            <w:pPr>
              <w:spacing w:line="360" w:lineRule="auto"/>
              <w:rPr>
                <w:rFonts w:ascii="Arial" w:hAnsi="Arial" w:cs="Arial"/>
                <w:sz w:val="24"/>
                <w:szCs w:val="24"/>
              </w:rPr>
            </w:pPr>
            <w:r w:rsidRPr="0045647D">
              <w:rPr>
                <w:rFonts w:ascii="Arial" w:hAnsi="Arial" w:cs="Arial"/>
                <w:sz w:val="24"/>
                <w:szCs w:val="24"/>
              </w:rPr>
              <w:t>Increased financial exposure</w:t>
            </w:r>
          </w:p>
        </w:tc>
      </w:tr>
    </w:tbl>
    <w:p w14:paraId="7D111DC8" w14:textId="77777777" w:rsidR="00C6330E" w:rsidRPr="0045647D" w:rsidRDefault="00C6330E" w:rsidP="0045647D">
      <w:pPr>
        <w:spacing w:line="360" w:lineRule="auto"/>
        <w:rPr>
          <w:rFonts w:ascii="Arial" w:hAnsi="Arial" w:cs="Arial"/>
          <w:sz w:val="24"/>
          <w:szCs w:val="24"/>
        </w:rPr>
      </w:pPr>
    </w:p>
    <w:p w14:paraId="068976B5" w14:textId="77777777" w:rsidR="00B73731" w:rsidRDefault="00B73731">
      <w:pPr>
        <w:rPr>
          <w:rFonts w:ascii="Arial" w:eastAsiaTheme="majorEastAsia" w:hAnsi="Arial" w:cs="Arial"/>
          <w:color w:val="0F4761" w:themeColor="accent1" w:themeShade="BF"/>
          <w:sz w:val="24"/>
          <w:szCs w:val="24"/>
        </w:rPr>
      </w:pPr>
      <w:r>
        <w:rPr>
          <w:rFonts w:ascii="Arial" w:hAnsi="Arial" w:cs="Arial"/>
          <w:sz w:val="24"/>
          <w:szCs w:val="24"/>
        </w:rPr>
        <w:br w:type="page"/>
      </w:r>
    </w:p>
    <w:p w14:paraId="2727EDE6" w14:textId="629EF0D1" w:rsidR="00624B30" w:rsidRPr="0045647D" w:rsidRDefault="00C6330E" w:rsidP="0045647D">
      <w:pPr>
        <w:pStyle w:val="Heading1"/>
        <w:spacing w:line="360" w:lineRule="auto"/>
        <w:rPr>
          <w:rFonts w:ascii="Arial" w:hAnsi="Arial" w:cs="Arial"/>
          <w:sz w:val="24"/>
          <w:szCs w:val="24"/>
        </w:rPr>
      </w:pPr>
      <w:bookmarkStart w:id="7" w:name="_Toc225560003"/>
      <w:r w:rsidRPr="0045647D">
        <w:rPr>
          <w:rFonts w:ascii="Arial" w:hAnsi="Arial" w:cs="Arial"/>
          <w:sz w:val="24"/>
          <w:szCs w:val="24"/>
        </w:rPr>
        <w:lastRenderedPageBreak/>
        <w:t>4. Performance Measurement and Decision-Making</w:t>
      </w:r>
      <w:bookmarkEnd w:id="7"/>
    </w:p>
    <w:p w14:paraId="7EDAD163" w14:textId="77777777" w:rsidR="001A6FF0" w:rsidRPr="0045647D" w:rsidRDefault="001A6FF0" w:rsidP="0045647D">
      <w:pPr>
        <w:pStyle w:val="Heading2"/>
        <w:spacing w:line="360" w:lineRule="auto"/>
        <w:rPr>
          <w:rFonts w:ascii="Arial" w:hAnsi="Arial" w:cs="Arial"/>
          <w:sz w:val="24"/>
          <w:szCs w:val="24"/>
        </w:rPr>
      </w:pPr>
      <w:bookmarkStart w:id="8" w:name="_Toc225560004"/>
      <w:r w:rsidRPr="0045647D">
        <w:rPr>
          <w:rFonts w:ascii="Arial" w:hAnsi="Arial" w:cs="Arial"/>
          <w:sz w:val="24"/>
          <w:szCs w:val="24"/>
        </w:rPr>
        <w:t>4.1 Key Performance Indicators (KPIs)</w:t>
      </w:r>
      <w:bookmarkEnd w:id="8"/>
    </w:p>
    <w:p w14:paraId="3FD28626" w14:textId="77777777" w:rsidR="00A704DE" w:rsidRPr="0045647D" w:rsidRDefault="00A704DE" w:rsidP="0045647D">
      <w:pPr>
        <w:spacing w:line="360" w:lineRule="auto"/>
        <w:rPr>
          <w:rFonts w:ascii="Arial" w:hAnsi="Arial" w:cs="Arial"/>
          <w:sz w:val="24"/>
          <w:szCs w:val="24"/>
        </w:rPr>
      </w:pPr>
      <w:r w:rsidRPr="0045647D">
        <w:rPr>
          <w:rFonts w:ascii="Arial" w:hAnsi="Arial" w:cs="Arial"/>
          <w:sz w:val="24"/>
          <w:szCs w:val="24"/>
        </w:rPr>
        <w:t>Performance measurement is essential in evaluating how effectively a company achieves its strategic objectives. DP World uses a combination of financial and non-financial key performance indicators (KPIs) to monitor operational efficiency and guide decision-making (Kaplan and Atkinson, 2015; Weetman, 2019).</w:t>
      </w:r>
    </w:p>
    <w:p w14:paraId="298B0BC1" w14:textId="0B25AFB6"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Based on the company’s annual reports and financial data, five key KPIs can be identified:</w:t>
      </w:r>
    </w:p>
    <w:p w14:paraId="564EB165" w14:textId="77777777" w:rsidR="001A6FF0" w:rsidRPr="0045647D" w:rsidRDefault="001A6FF0" w:rsidP="0045647D">
      <w:pPr>
        <w:numPr>
          <w:ilvl w:val="0"/>
          <w:numId w:val="1"/>
        </w:numPr>
        <w:spacing w:line="360" w:lineRule="auto"/>
        <w:rPr>
          <w:rFonts w:ascii="Arial" w:hAnsi="Arial" w:cs="Arial"/>
          <w:sz w:val="24"/>
          <w:szCs w:val="24"/>
        </w:rPr>
      </w:pPr>
      <w:r w:rsidRPr="0045647D">
        <w:rPr>
          <w:rFonts w:ascii="Arial" w:hAnsi="Arial" w:cs="Arial"/>
          <w:sz w:val="24"/>
          <w:szCs w:val="24"/>
        </w:rPr>
        <w:t xml:space="preserve">Revenue Growth – DP World reported revenue of approximately $20.0 billion in 2024, increasing to $24.4 billion in 2025, indicating strong business expansion (DP World, 2025). </w:t>
      </w:r>
    </w:p>
    <w:p w14:paraId="23F85812" w14:textId="77777777" w:rsidR="001A6FF0" w:rsidRPr="0045647D" w:rsidRDefault="001A6FF0" w:rsidP="0045647D">
      <w:pPr>
        <w:numPr>
          <w:ilvl w:val="0"/>
          <w:numId w:val="1"/>
        </w:numPr>
        <w:spacing w:line="360" w:lineRule="auto"/>
        <w:rPr>
          <w:rFonts w:ascii="Arial" w:hAnsi="Arial" w:cs="Arial"/>
          <w:sz w:val="24"/>
          <w:szCs w:val="24"/>
        </w:rPr>
      </w:pPr>
      <w:r w:rsidRPr="0045647D">
        <w:rPr>
          <w:rFonts w:ascii="Arial" w:hAnsi="Arial" w:cs="Arial"/>
          <w:sz w:val="24"/>
          <w:szCs w:val="24"/>
        </w:rPr>
        <w:t xml:space="preserve">EBITDA Margin – The company achieved an EBITDA margin of around 27%, reflecting high operational efficiency and cost control. </w:t>
      </w:r>
    </w:p>
    <w:p w14:paraId="09575EFE" w14:textId="77777777" w:rsidR="001A6FF0" w:rsidRPr="0045647D" w:rsidRDefault="001A6FF0" w:rsidP="0045647D">
      <w:pPr>
        <w:numPr>
          <w:ilvl w:val="0"/>
          <w:numId w:val="1"/>
        </w:numPr>
        <w:spacing w:line="360" w:lineRule="auto"/>
        <w:rPr>
          <w:rFonts w:ascii="Arial" w:hAnsi="Arial" w:cs="Arial"/>
          <w:sz w:val="24"/>
          <w:szCs w:val="24"/>
        </w:rPr>
      </w:pPr>
      <w:r w:rsidRPr="0045647D">
        <w:rPr>
          <w:rFonts w:ascii="Arial" w:hAnsi="Arial" w:cs="Arial"/>
          <w:sz w:val="24"/>
          <w:szCs w:val="24"/>
        </w:rPr>
        <w:t xml:space="preserve">Return on Capital Employed (ROCE) – Approximately 9.9% in 2025, showing effective utilisation of long-term investments. </w:t>
      </w:r>
    </w:p>
    <w:p w14:paraId="77E3EF71" w14:textId="77777777" w:rsidR="001A6FF0" w:rsidRPr="0045647D" w:rsidRDefault="001A6FF0" w:rsidP="0045647D">
      <w:pPr>
        <w:numPr>
          <w:ilvl w:val="0"/>
          <w:numId w:val="1"/>
        </w:numPr>
        <w:spacing w:line="360" w:lineRule="auto"/>
        <w:rPr>
          <w:rFonts w:ascii="Arial" w:hAnsi="Arial" w:cs="Arial"/>
          <w:sz w:val="24"/>
          <w:szCs w:val="24"/>
        </w:rPr>
      </w:pPr>
      <w:r w:rsidRPr="0045647D">
        <w:rPr>
          <w:rFonts w:ascii="Arial" w:hAnsi="Arial" w:cs="Arial"/>
          <w:sz w:val="24"/>
          <w:szCs w:val="24"/>
        </w:rPr>
        <w:t xml:space="preserve">Container Throughput (TEUs) – DP World handled approximately 93.4 million TEUs globally, a key operational performance indicator. </w:t>
      </w:r>
    </w:p>
    <w:p w14:paraId="7E65B297" w14:textId="77777777" w:rsidR="001A6FF0" w:rsidRPr="0045647D" w:rsidRDefault="001A6FF0" w:rsidP="0045647D">
      <w:pPr>
        <w:numPr>
          <w:ilvl w:val="0"/>
          <w:numId w:val="1"/>
        </w:numPr>
        <w:spacing w:line="360" w:lineRule="auto"/>
        <w:rPr>
          <w:rFonts w:ascii="Arial" w:hAnsi="Arial" w:cs="Arial"/>
          <w:sz w:val="24"/>
          <w:szCs w:val="24"/>
        </w:rPr>
      </w:pPr>
      <w:r w:rsidRPr="0045647D">
        <w:rPr>
          <w:rFonts w:ascii="Arial" w:hAnsi="Arial" w:cs="Arial"/>
          <w:sz w:val="24"/>
          <w:szCs w:val="24"/>
        </w:rPr>
        <w:t xml:space="preserve">Operational Efficiency (Turnaround Time) – Measures how quickly ships are processed, directly affecting customer satisfaction and competitiveness. </w:t>
      </w:r>
    </w:p>
    <w:p w14:paraId="602C5B93" w14:textId="3C449D8F" w:rsidR="001A6FF0" w:rsidRPr="0045647D" w:rsidRDefault="00A704DE" w:rsidP="0045647D">
      <w:pPr>
        <w:spacing w:line="360" w:lineRule="auto"/>
        <w:rPr>
          <w:rFonts w:ascii="Arial" w:hAnsi="Arial" w:cs="Arial"/>
          <w:sz w:val="24"/>
          <w:szCs w:val="24"/>
        </w:rPr>
      </w:pPr>
      <w:r w:rsidRPr="0045647D">
        <w:rPr>
          <w:rFonts w:ascii="Arial" w:hAnsi="Arial" w:cs="Arial"/>
          <w:sz w:val="24"/>
          <w:szCs w:val="24"/>
        </w:rPr>
        <w:t>Financial KPIs such as revenue and profitability indicate the company’s financial health, while non-financial KPIs such as throughput and turnaround time reflect operational performance and service quality (Kaplan and Atkinson, 2015).</w:t>
      </w:r>
    </w:p>
    <w:p w14:paraId="4A0E3DB2" w14:textId="77777777" w:rsidR="00A704DE" w:rsidRPr="0045647D" w:rsidRDefault="00A704DE" w:rsidP="0045647D">
      <w:pPr>
        <w:spacing w:line="360" w:lineRule="auto"/>
        <w:rPr>
          <w:rFonts w:ascii="Arial" w:hAnsi="Arial" w:cs="Arial"/>
          <w:sz w:val="24"/>
          <w:szCs w:val="24"/>
        </w:rPr>
      </w:pPr>
    </w:p>
    <w:p w14:paraId="20C20825" w14:textId="77777777" w:rsidR="001A6FF0" w:rsidRPr="0045647D" w:rsidRDefault="001A6FF0" w:rsidP="0045647D">
      <w:pPr>
        <w:pStyle w:val="Heading2"/>
        <w:spacing w:line="360" w:lineRule="auto"/>
        <w:rPr>
          <w:rFonts w:ascii="Arial" w:hAnsi="Arial" w:cs="Arial"/>
          <w:sz w:val="24"/>
          <w:szCs w:val="24"/>
        </w:rPr>
      </w:pPr>
      <w:bookmarkStart w:id="9" w:name="_Toc225560005"/>
      <w:r w:rsidRPr="0045647D">
        <w:rPr>
          <w:rFonts w:ascii="Arial" w:hAnsi="Arial" w:cs="Arial"/>
          <w:sz w:val="24"/>
          <w:szCs w:val="24"/>
        </w:rPr>
        <w:t>4.2 Strategic Decisions Based on Financial and Non-Financial Data</w:t>
      </w:r>
      <w:bookmarkEnd w:id="9"/>
    </w:p>
    <w:p w14:paraId="4EBF42F1" w14:textId="77777777"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DP World uses these KPIs to inform strategic decisions across its global operations, including the expansion of London Gateway.</w:t>
      </w:r>
    </w:p>
    <w:p w14:paraId="1A77E6AD" w14:textId="77777777"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1. Expansion Strategy (London Gateway Development)</w:t>
      </w:r>
    </w:p>
    <w:p w14:paraId="6B0E1181" w14:textId="77777777" w:rsidR="00A704DE" w:rsidRPr="0045647D" w:rsidRDefault="00A704DE" w:rsidP="0045647D">
      <w:pPr>
        <w:spacing w:line="360" w:lineRule="auto"/>
        <w:rPr>
          <w:rFonts w:ascii="Arial" w:hAnsi="Arial" w:cs="Arial"/>
          <w:sz w:val="24"/>
          <w:szCs w:val="24"/>
        </w:rPr>
      </w:pPr>
      <w:r w:rsidRPr="0045647D">
        <w:rPr>
          <w:rFonts w:ascii="Arial" w:hAnsi="Arial" w:cs="Arial"/>
          <w:sz w:val="24"/>
          <w:szCs w:val="24"/>
        </w:rPr>
        <w:t xml:space="preserve">The increase in container throughput and global trade demand has driven DP World to invest in expanding port capacity, including the construction of new docks at </w:t>
      </w:r>
      <w:r w:rsidRPr="0045647D">
        <w:rPr>
          <w:rFonts w:ascii="Arial" w:hAnsi="Arial" w:cs="Arial"/>
          <w:sz w:val="24"/>
          <w:szCs w:val="24"/>
        </w:rPr>
        <w:lastRenderedPageBreak/>
        <w:t>London Gateway. This decision is supported by both financial data (revenue growth and ROI expectations) and non-financial data (capacity utilisation and demand forecasts). The expansion enables the port to handle larger vessels and increase throughput, improving long-term profitability (Mangan et al., 2020).</w:t>
      </w:r>
    </w:p>
    <w:p w14:paraId="1F7EC207" w14:textId="024D504B"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2. Investment in Automation and Technology</w:t>
      </w:r>
    </w:p>
    <w:p w14:paraId="15E70A46" w14:textId="77777777" w:rsidR="00A704DE" w:rsidRPr="0045647D" w:rsidRDefault="00A704DE" w:rsidP="0045647D">
      <w:pPr>
        <w:spacing w:line="360" w:lineRule="auto"/>
        <w:rPr>
          <w:rFonts w:ascii="Arial" w:hAnsi="Arial" w:cs="Arial"/>
          <w:sz w:val="24"/>
          <w:szCs w:val="24"/>
        </w:rPr>
      </w:pPr>
      <w:r w:rsidRPr="0045647D">
        <w:rPr>
          <w:rFonts w:ascii="Arial" w:hAnsi="Arial" w:cs="Arial"/>
          <w:sz w:val="24"/>
          <w:szCs w:val="24"/>
        </w:rPr>
        <w:t>DP World has invested significantly in automation technologies, such as automated cranes and digital logistics systems. This decision is based on KPI analysis showing the need to improve efficiency and reduce operational costs. Automation enhances productivity while lowering labour-related variable costs, contributing to improved margins (Rushton et al., 2017).</w:t>
      </w:r>
    </w:p>
    <w:p w14:paraId="09074F93" w14:textId="46967A85"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3. Cost Management and Efficiency Improvements</w:t>
      </w:r>
    </w:p>
    <w:p w14:paraId="5A360057" w14:textId="77777777" w:rsidR="00A704DE" w:rsidRPr="0045647D" w:rsidRDefault="00A704DE" w:rsidP="0045647D">
      <w:pPr>
        <w:spacing w:line="360" w:lineRule="auto"/>
        <w:rPr>
          <w:rFonts w:ascii="Arial" w:hAnsi="Arial" w:cs="Arial"/>
          <w:sz w:val="24"/>
          <w:szCs w:val="24"/>
        </w:rPr>
      </w:pPr>
      <w:r w:rsidRPr="0045647D">
        <w:rPr>
          <w:rFonts w:ascii="Arial" w:hAnsi="Arial" w:cs="Arial"/>
          <w:sz w:val="24"/>
          <w:szCs w:val="24"/>
        </w:rPr>
        <w:t>Rising operating expenses have led DP World to focus on cost control measures. By analysing cost-related KPIs, management has implemented efficiency improvements in energy usage, maintenance, and logistics operations. These actions help maintain profitability despite external cost pressures such as inflation (</w:t>
      </w:r>
      <w:proofErr w:type="spellStart"/>
      <w:r w:rsidRPr="0045647D">
        <w:rPr>
          <w:rFonts w:ascii="Arial" w:hAnsi="Arial" w:cs="Arial"/>
          <w:sz w:val="24"/>
          <w:szCs w:val="24"/>
        </w:rPr>
        <w:t>Atrill</w:t>
      </w:r>
      <w:proofErr w:type="spellEnd"/>
      <w:r w:rsidRPr="0045647D">
        <w:rPr>
          <w:rFonts w:ascii="Arial" w:hAnsi="Arial" w:cs="Arial"/>
          <w:sz w:val="24"/>
          <w:szCs w:val="24"/>
        </w:rPr>
        <w:t xml:space="preserve"> and McLaney, 2018).</w:t>
      </w:r>
    </w:p>
    <w:p w14:paraId="0E0784ED" w14:textId="5FEE761C"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4. Pricing and Competitive Strategy</w:t>
      </w:r>
    </w:p>
    <w:p w14:paraId="51833EC1" w14:textId="77777777"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DP World uses financial data to set competitive pricing for port services. Pricing decisions are influenced by cost structures, market demand, and competitor analysis. By achieving economies of scale through expansion, the company can offer competitive prices while maintaining profitability.</w:t>
      </w:r>
    </w:p>
    <w:p w14:paraId="330B56F8" w14:textId="77777777"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5. Sustainability Investments</w:t>
      </w:r>
    </w:p>
    <w:p w14:paraId="55142E4D" w14:textId="77777777" w:rsidR="001A6FF0" w:rsidRPr="0045647D" w:rsidRDefault="001A6FF0" w:rsidP="0045647D">
      <w:pPr>
        <w:spacing w:line="360" w:lineRule="auto"/>
        <w:rPr>
          <w:rFonts w:ascii="Arial" w:hAnsi="Arial" w:cs="Arial"/>
          <w:sz w:val="24"/>
          <w:szCs w:val="24"/>
        </w:rPr>
      </w:pPr>
      <w:r w:rsidRPr="0045647D">
        <w:rPr>
          <w:rFonts w:ascii="Arial" w:hAnsi="Arial" w:cs="Arial"/>
          <w:sz w:val="24"/>
          <w:szCs w:val="24"/>
        </w:rPr>
        <w:t>Non-financial KPIs related to environmental performance have driven investments in sustainable infrastructure, such as electrification and reduced emissions. These decisions align with regulatory requirements and enhance corporate reputation.</w:t>
      </w:r>
    </w:p>
    <w:p w14:paraId="07E0D7B0" w14:textId="77777777" w:rsidR="00061026" w:rsidRPr="0045647D" w:rsidRDefault="00061026" w:rsidP="0045647D">
      <w:pPr>
        <w:spacing w:line="360" w:lineRule="auto"/>
        <w:rPr>
          <w:rFonts w:ascii="Arial" w:hAnsi="Arial" w:cs="Arial"/>
          <w:sz w:val="24"/>
          <w:szCs w:val="24"/>
        </w:rPr>
      </w:pPr>
    </w:p>
    <w:p w14:paraId="24FD2E45" w14:textId="77777777" w:rsidR="001A6FF0" w:rsidRPr="0045647D" w:rsidRDefault="001A6FF0" w:rsidP="0045647D">
      <w:pPr>
        <w:pStyle w:val="Heading1"/>
        <w:spacing w:line="360" w:lineRule="auto"/>
        <w:rPr>
          <w:rFonts w:ascii="Arial" w:hAnsi="Arial" w:cs="Arial"/>
          <w:sz w:val="24"/>
          <w:szCs w:val="24"/>
        </w:rPr>
      </w:pPr>
      <w:bookmarkStart w:id="10" w:name="_Toc225560006"/>
      <w:r w:rsidRPr="0045647D">
        <w:rPr>
          <w:rFonts w:ascii="Arial" w:hAnsi="Arial" w:cs="Arial"/>
          <w:sz w:val="24"/>
          <w:szCs w:val="24"/>
        </w:rPr>
        <w:lastRenderedPageBreak/>
        <w:t>5. Sustainability and Ethical Considerations (300 words)</w:t>
      </w:r>
      <w:bookmarkEnd w:id="10"/>
    </w:p>
    <w:p w14:paraId="1FE4E509" w14:textId="77777777" w:rsidR="001A6FF0" w:rsidRPr="0045647D" w:rsidRDefault="001A6FF0" w:rsidP="0045647D">
      <w:pPr>
        <w:pStyle w:val="Heading2"/>
        <w:spacing w:line="360" w:lineRule="auto"/>
        <w:rPr>
          <w:rFonts w:ascii="Arial" w:hAnsi="Arial" w:cs="Arial"/>
          <w:sz w:val="24"/>
          <w:szCs w:val="24"/>
        </w:rPr>
      </w:pPr>
      <w:bookmarkStart w:id="11" w:name="_Toc225560007"/>
      <w:r w:rsidRPr="0045647D">
        <w:rPr>
          <w:rFonts w:ascii="Arial" w:hAnsi="Arial" w:cs="Arial"/>
          <w:sz w:val="24"/>
          <w:szCs w:val="24"/>
        </w:rPr>
        <w:t>5.1 Sustainability in Financial Decision-Making</w:t>
      </w:r>
      <w:bookmarkEnd w:id="11"/>
    </w:p>
    <w:p w14:paraId="5821195F"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Sustainability has become a central element in the strategic and financial decision-making processes of DP World. As a global logistics provider, the company operates in an industry with significant environmental impact, particularly in terms of carbon emissions, energy consumption, and infrastructure development. Consequently, DP World integrates sustainability into its financial planning by aligning investment decisions with environmental, social, and governance (ESG) objectives.</w:t>
      </w:r>
    </w:p>
    <w:p w14:paraId="08D72D3A"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 xml:space="preserve">One of the </w:t>
      </w:r>
      <w:proofErr w:type="gramStart"/>
      <w:r w:rsidRPr="00A704DE">
        <w:rPr>
          <w:rFonts w:ascii="Arial" w:hAnsi="Arial" w:cs="Arial"/>
          <w:sz w:val="24"/>
          <w:szCs w:val="24"/>
        </w:rPr>
        <w:t>key ways</w:t>
      </w:r>
      <w:proofErr w:type="gramEnd"/>
      <w:r w:rsidRPr="00A704DE">
        <w:rPr>
          <w:rFonts w:ascii="Arial" w:hAnsi="Arial" w:cs="Arial"/>
          <w:sz w:val="24"/>
          <w:szCs w:val="24"/>
        </w:rPr>
        <w:t xml:space="preserve"> sustainability is incorporated is through capital investment in environmentally efficient infrastructure. For example, the expansion of London Gateway includes the use of electrified equipment, energy-efficient technologies, and increased reliance on rail transport, which reduces carbon emissions compared to road freight. These initiatives require significant upfront investment; however, management accounting tools are used to evaluate long-term cost savings and environmental benefits (</w:t>
      </w:r>
      <w:proofErr w:type="spellStart"/>
      <w:r w:rsidRPr="00A704DE">
        <w:rPr>
          <w:rFonts w:ascii="Arial" w:hAnsi="Arial" w:cs="Arial"/>
          <w:sz w:val="24"/>
          <w:szCs w:val="24"/>
        </w:rPr>
        <w:t>Schaltegger</w:t>
      </w:r>
      <w:proofErr w:type="spellEnd"/>
      <w:r w:rsidRPr="00A704DE">
        <w:rPr>
          <w:rFonts w:ascii="Arial" w:hAnsi="Arial" w:cs="Arial"/>
          <w:sz w:val="24"/>
          <w:szCs w:val="24"/>
        </w:rPr>
        <w:t xml:space="preserve"> and Wagner, 2006).</w:t>
      </w:r>
    </w:p>
    <w:p w14:paraId="2E6721E1" w14:textId="629BA16B" w:rsidR="001A6FF0" w:rsidRPr="0045647D" w:rsidRDefault="00A704DE" w:rsidP="0045647D">
      <w:pPr>
        <w:spacing w:line="360" w:lineRule="auto"/>
        <w:rPr>
          <w:rFonts w:ascii="Arial" w:hAnsi="Arial" w:cs="Arial"/>
          <w:sz w:val="24"/>
          <w:szCs w:val="24"/>
        </w:rPr>
      </w:pPr>
      <w:r w:rsidRPr="00A704DE">
        <w:rPr>
          <w:rFonts w:ascii="Arial" w:hAnsi="Arial" w:cs="Arial"/>
          <w:sz w:val="24"/>
          <w:szCs w:val="24"/>
        </w:rPr>
        <w:t>Additionally, DP World incorporates sustainability metrics into performance measurement systems, ensuring that environmental impact is considered alongside financial performance. This reflects a shift towards sustainability accounting, where environmental costs and benefits are included in decision-making processes (</w:t>
      </w:r>
      <w:proofErr w:type="spellStart"/>
      <w:r w:rsidRPr="00A704DE">
        <w:rPr>
          <w:rFonts w:ascii="Arial" w:hAnsi="Arial" w:cs="Arial"/>
          <w:sz w:val="24"/>
          <w:szCs w:val="24"/>
        </w:rPr>
        <w:t>Schaltegger</w:t>
      </w:r>
      <w:proofErr w:type="spellEnd"/>
      <w:r w:rsidRPr="00A704DE">
        <w:rPr>
          <w:rFonts w:ascii="Arial" w:hAnsi="Arial" w:cs="Arial"/>
          <w:sz w:val="24"/>
          <w:szCs w:val="24"/>
        </w:rPr>
        <w:t xml:space="preserve"> and Wagner, 2006; Hossain and Hasan, 2024). By doing so, the company ensures that its long-term growth strategy is aligned with global sustainability goals and regulatory requirements.</w:t>
      </w:r>
    </w:p>
    <w:p w14:paraId="458B9120" w14:textId="77777777" w:rsidR="001A6FF0" w:rsidRPr="0045647D" w:rsidRDefault="001A6FF0" w:rsidP="0045647D">
      <w:pPr>
        <w:pStyle w:val="Heading2"/>
        <w:spacing w:line="360" w:lineRule="auto"/>
        <w:rPr>
          <w:rFonts w:ascii="Arial" w:hAnsi="Arial" w:cs="Arial"/>
          <w:sz w:val="24"/>
          <w:szCs w:val="24"/>
        </w:rPr>
      </w:pPr>
      <w:bookmarkStart w:id="12" w:name="_Toc225560008"/>
      <w:r w:rsidRPr="0045647D">
        <w:rPr>
          <w:rFonts w:ascii="Arial" w:hAnsi="Arial" w:cs="Arial"/>
          <w:sz w:val="24"/>
          <w:szCs w:val="24"/>
        </w:rPr>
        <w:t>5.2 Ethical Considerations in Cost Management and Pricing</w:t>
      </w:r>
      <w:bookmarkEnd w:id="12"/>
    </w:p>
    <w:p w14:paraId="2E5DAB99"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Ethical considerations play a crucial role in DP World’s cost management and pricing strategies. While cost reduction is essential for maintaining competitiveness, it must not compromise employee welfare, safety standards, or environmental responsibility. For instance, reducing labour costs through automation must be balanced with fair treatment of employees and investment in workforce development (</w:t>
      </w:r>
      <w:proofErr w:type="spellStart"/>
      <w:r w:rsidRPr="00A704DE">
        <w:rPr>
          <w:rFonts w:ascii="Arial" w:hAnsi="Arial" w:cs="Arial"/>
          <w:sz w:val="24"/>
          <w:szCs w:val="24"/>
        </w:rPr>
        <w:t>Atrill</w:t>
      </w:r>
      <w:proofErr w:type="spellEnd"/>
      <w:r w:rsidRPr="00A704DE">
        <w:rPr>
          <w:rFonts w:ascii="Arial" w:hAnsi="Arial" w:cs="Arial"/>
          <w:sz w:val="24"/>
          <w:szCs w:val="24"/>
        </w:rPr>
        <w:t xml:space="preserve"> and McLaney, 2018).</w:t>
      </w:r>
    </w:p>
    <w:p w14:paraId="5A8CC9CD"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 xml:space="preserve">In terms of pricing, DP World must ensure that its pricing strategies remain fair and transparent. As a major player in the global port industry, the company holds </w:t>
      </w:r>
      <w:r w:rsidRPr="00A704DE">
        <w:rPr>
          <w:rFonts w:ascii="Arial" w:hAnsi="Arial" w:cs="Arial"/>
          <w:sz w:val="24"/>
          <w:szCs w:val="24"/>
        </w:rPr>
        <w:lastRenderedPageBreak/>
        <w:t>significant market power, which raises the risk of monopolistic behaviour. Ethical pricing involves setting rates that reflect value and cost structures without exploiting customers or restricting competition.</w:t>
      </w:r>
    </w:p>
    <w:p w14:paraId="6626974F"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Furthermore, the expansion of port infrastructure, such as the development of new docks at London Gateway, raises ethical concerns related to environmental impact and local communities. DP World must ensure compliance with environmental regulations and engage in responsible development practices to minimise negative impacts.</w:t>
      </w:r>
    </w:p>
    <w:p w14:paraId="7413061A" w14:textId="68B35D47" w:rsidR="00C6330E" w:rsidRPr="0045647D" w:rsidRDefault="001A6FF0" w:rsidP="0045647D">
      <w:pPr>
        <w:pStyle w:val="Heading1"/>
        <w:spacing w:line="360" w:lineRule="auto"/>
        <w:rPr>
          <w:rFonts w:ascii="Arial" w:hAnsi="Arial" w:cs="Arial"/>
          <w:sz w:val="24"/>
          <w:szCs w:val="24"/>
        </w:rPr>
      </w:pPr>
      <w:bookmarkStart w:id="13" w:name="_Toc225560009"/>
      <w:r w:rsidRPr="0045647D">
        <w:rPr>
          <w:rFonts w:ascii="Arial" w:hAnsi="Arial" w:cs="Arial"/>
          <w:sz w:val="24"/>
          <w:szCs w:val="24"/>
        </w:rPr>
        <w:t>6. Conclusion and Recommendations (150 words)</w:t>
      </w:r>
      <w:bookmarkEnd w:id="13"/>
    </w:p>
    <w:p w14:paraId="1BE3AAC6" w14:textId="1D996B02" w:rsidR="00C6330E" w:rsidRPr="0045647D" w:rsidRDefault="00C6330E" w:rsidP="0045647D">
      <w:pPr>
        <w:pStyle w:val="Heading2"/>
        <w:spacing w:line="360" w:lineRule="auto"/>
        <w:rPr>
          <w:rFonts w:ascii="Arial" w:hAnsi="Arial" w:cs="Arial"/>
          <w:sz w:val="24"/>
          <w:szCs w:val="24"/>
        </w:rPr>
      </w:pPr>
      <w:r w:rsidRPr="0045647D">
        <w:rPr>
          <w:rFonts w:ascii="Arial" w:hAnsi="Arial" w:cs="Arial"/>
          <w:sz w:val="24"/>
          <w:szCs w:val="24"/>
        </w:rPr>
        <w:t xml:space="preserve"> </w:t>
      </w:r>
      <w:bookmarkStart w:id="14" w:name="_Toc225560010"/>
      <w:r w:rsidRPr="0045647D">
        <w:rPr>
          <w:rFonts w:ascii="Arial" w:hAnsi="Arial" w:cs="Arial"/>
          <w:sz w:val="24"/>
          <w:szCs w:val="24"/>
        </w:rPr>
        <w:t>Conclusion</w:t>
      </w:r>
      <w:bookmarkEnd w:id="14"/>
    </w:p>
    <w:p w14:paraId="39A733C3" w14:textId="32EE1E74"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In conclusion, the analysis of DP World demonstrates the critical role of management accounting in supporting financial decision-making within a capital-intensive logistics industry. The company’s revenue model, based on container throughput and integrated logistics services, is supported by a cost structure characterised by high fixed investment and variable operational costs. Budgeting and financial planning enable DP World to manage large-scale projects such as the expansion of London Gateway, while performance measurement through key performance indicators supports strategic decisions related to growth, efficiency, and sustainability.</w:t>
      </w:r>
    </w:p>
    <w:p w14:paraId="5E799A80" w14:textId="77777777" w:rsidR="00A704DE" w:rsidRPr="00A704DE" w:rsidRDefault="00A704DE" w:rsidP="0045647D">
      <w:pPr>
        <w:spacing w:line="360" w:lineRule="auto"/>
        <w:rPr>
          <w:rFonts w:ascii="Arial" w:hAnsi="Arial" w:cs="Arial"/>
          <w:sz w:val="24"/>
          <w:szCs w:val="24"/>
        </w:rPr>
      </w:pPr>
      <w:r w:rsidRPr="00A704DE">
        <w:rPr>
          <w:rFonts w:ascii="Arial" w:hAnsi="Arial" w:cs="Arial"/>
          <w:sz w:val="24"/>
          <w:szCs w:val="24"/>
        </w:rPr>
        <w:t>However, the analysis also highlights certain limitations, particularly the reliance on forecasting in budgeting and the impact of external factors such as inflation and global trade disruptions, which are beyond managerial control. This emphasises the need for more flexible and adaptive management accounting approaches in a dynamic global environment.</w:t>
      </w:r>
    </w:p>
    <w:p w14:paraId="7A291875" w14:textId="59967676" w:rsidR="00A704DE" w:rsidRPr="0045647D" w:rsidRDefault="00A704DE" w:rsidP="0045647D">
      <w:pPr>
        <w:pStyle w:val="Heading2"/>
        <w:spacing w:line="360" w:lineRule="auto"/>
        <w:rPr>
          <w:rFonts w:ascii="Arial" w:hAnsi="Arial" w:cs="Arial"/>
          <w:sz w:val="24"/>
          <w:szCs w:val="24"/>
        </w:rPr>
      </w:pPr>
      <w:bookmarkStart w:id="15" w:name="_Toc225560011"/>
      <w:r w:rsidRPr="0045647D">
        <w:rPr>
          <w:rFonts w:ascii="Arial" w:hAnsi="Arial" w:cs="Arial"/>
          <w:sz w:val="24"/>
          <w:szCs w:val="24"/>
        </w:rPr>
        <w:t>Recommendations</w:t>
      </w:r>
      <w:bookmarkEnd w:id="15"/>
    </w:p>
    <w:p w14:paraId="159C394B" w14:textId="77777777" w:rsidR="00A704DE" w:rsidRPr="00A704DE" w:rsidRDefault="00A704DE" w:rsidP="0045647D">
      <w:pPr>
        <w:numPr>
          <w:ilvl w:val="0"/>
          <w:numId w:val="3"/>
        </w:numPr>
        <w:spacing w:line="360" w:lineRule="auto"/>
        <w:rPr>
          <w:rFonts w:ascii="Arial" w:hAnsi="Arial" w:cs="Arial"/>
          <w:sz w:val="24"/>
          <w:szCs w:val="24"/>
        </w:rPr>
      </w:pPr>
      <w:r w:rsidRPr="00A704DE">
        <w:rPr>
          <w:rFonts w:ascii="Arial" w:hAnsi="Arial" w:cs="Arial"/>
          <w:sz w:val="24"/>
          <w:szCs w:val="24"/>
        </w:rPr>
        <w:t xml:space="preserve">DP World should enhance the use of real-time data analytics to improve cost control and operational efficiency. </w:t>
      </w:r>
    </w:p>
    <w:p w14:paraId="254E9E3B" w14:textId="77777777" w:rsidR="00A704DE" w:rsidRPr="00A704DE" w:rsidRDefault="00A704DE" w:rsidP="0045647D">
      <w:pPr>
        <w:numPr>
          <w:ilvl w:val="0"/>
          <w:numId w:val="3"/>
        </w:numPr>
        <w:spacing w:line="360" w:lineRule="auto"/>
        <w:rPr>
          <w:rFonts w:ascii="Arial" w:hAnsi="Arial" w:cs="Arial"/>
          <w:sz w:val="24"/>
          <w:szCs w:val="24"/>
        </w:rPr>
      </w:pPr>
      <w:r w:rsidRPr="00A704DE">
        <w:rPr>
          <w:rFonts w:ascii="Arial" w:hAnsi="Arial" w:cs="Arial"/>
          <w:sz w:val="24"/>
          <w:szCs w:val="24"/>
        </w:rPr>
        <w:t xml:space="preserve">The company should further integrate sustainability accounting by incorporating carbon costing into investment appraisal decisions. </w:t>
      </w:r>
    </w:p>
    <w:p w14:paraId="541908D0" w14:textId="77777777" w:rsidR="00A704DE" w:rsidRPr="00A704DE" w:rsidRDefault="00A704DE" w:rsidP="0045647D">
      <w:pPr>
        <w:numPr>
          <w:ilvl w:val="0"/>
          <w:numId w:val="3"/>
        </w:numPr>
        <w:spacing w:line="360" w:lineRule="auto"/>
        <w:rPr>
          <w:rFonts w:ascii="Arial" w:hAnsi="Arial" w:cs="Arial"/>
          <w:sz w:val="24"/>
          <w:szCs w:val="24"/>
        </w:rPr>
      </w:pPr>
      <w:r w:rsidRPr="00A704DE">
        <w:rPr>
          <w:rFonts w:ascii="Arial" w:hAnsi="Arial" w:cs="Arial"/>
          <w:sz w:val="24"/>
          <w:szCs w:val="24"/>
        </w:rPr>
        <w:t>DP World should strengthen scenario planning and forecasting to better respond to global trade uncertainties and economic fluctuations.</w:t>
      </w:r>
    </w:p>
    <w:p w14:paraId="49203553" w14:textId="1EB60AA2" w:rsidR="00C6330E" w:rsidRPr="0045647D" w:rsidRDefault="00C6330E" w:rsidP="00B73731">
      <w:pPr>
        <w:pStyle w:val="Heading1"/>
      </w:pPr>
      <w:bookmarkStart w:id="16" w:name="_Toc225560012"/>
      <w:r w:rsidRPr="0045647D">
        <w:lastRenderedPageBreak/>
        <w:t>References</w:t>
      </w:r>
      <w:bookmarkEnd w:id="16"/>
    </w:p>
    <w:p w14:paraId="73AA9C12" w14:textId="77777777" w:rsidR="00C6330E" w:rsidRPr="00C6330E" w:rsidRDefault="00C6330E" w:rsidP="0045647D">
      <w:pPr>
        <w:spacing w:line="360" w:lineRule="auto"/>
        <w:rPr>
          <w:rFonts w:ascii="Arial" w:hAnsi="Arial" w:cs="Arial"/>
          <w:sz w:val="24"/>
          <w:szCs w:val="24"/>
        </w:rPr>
      </w:pPr>
      <w:proofErr w:type="spellStart"/>
      <w:r w:rsidRPr="00C6330E">
        <w:rPr>
          <w:rFonts w:ascii="Arial" w:hAnsi="Arial" w:cs="Arial"/>
          <w:sz w:val="24"/>
          <w:szCs w:val="24"/>
        </w:rPr>
        <w:t>Atrill</w:t>
      </w:r>
      <w:proofErr w:type="spellEnd"/>
      <w:r w:rsidRPr="00C6330E">
        <w:rPr>
          <w:rFonts w:ascii="Arial" w:hAnsi="Arial" w:cs="Arial"/>
          <w:sz w:val="24"/>
          <w:szCs w:val="24"/>
        </w:rPr>
        <w:t xml:space="preserve">, P. and McLaney, E. (2019) </w:t>
      </w:r>
      <w:r w:rsidRPr="00C6330E">
        <w:rPr>
          <w:rFonts w:ascii="Arial" w:hAnsi="Arial" w:cs="Arial"/>
          <w:i/>
          <w:iCs/>
          <w:sz w:val="24"/>
          <w:szCs w:val="24"/>
        </w:rPr>
        <w:t>Accounting and Finance for Non-Specialists</w:t>
      </w:r>
      <w:r w:rsidRPr="00C6330E">
        <w:rPr>
          <w:rFonts w:ascii="Arial" w:hAnsi="Arial" w:cs="Arial"/>
          <w:sz w:val="24"/>
          <w:szCs w:val="24"/>
        </w:rPr>
        <w:t xml:space="preserve">. 12th </w:t>
      </w:r>
      <w:proofErr w:type="spellStart"/>
      <w:r w:rsidRPr="00C6330E">
        <w:rPr>
          <w:rFonts w:ascii="Arial" w:hAnsi="Arial" w:cs="Arial"/>
          <w:sz w:val="24"/>
          <w:szCs w:val="24"/>
        </w:rPr>
        <w:t>edn</w:t>
      </w:r>
      <w:proofErr w:type="spellEnd"/>
      <w:r w:rsidRPr="00C6330E">
        <w:rPr>
          <w:rFonts w:ascii="Arial" w:hAnsi="Arial" w:cs="Arial"/>
          <w:sz w:val="24"/>
          <w:szCs w:val="24"/>
        </w:rPr>
        <w:t>. Harlow: Pearson.</w:t>
      </w:r>
    </w:p>
    <w:p w14:paraId="73326675"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Drury, C. (2018) </w:t>
      </w:r>
      <w:r w:rsidRPr="00C6330E">
        <w:rPr>
          <w:rFonts w:ascii="Arial" w:hAnsi="Arial" w:cs="Arial"/>
          <w:i/>
          <w:iCs/>
          <w:sz w:val="24"/>
          <w:szCs w:val="24"/>
        </w:rPr>
        <w:t>Management and Cost Accounting</w:t>
      </w:r>
      <w:r w:rsidRPr="00C6330E">
        <w:rPr>
          <w:rFonts w:ascii="Arial" w:hAnsi="Arial" w:cs="Arial"/>
          <w:sz w:val="24"/>
          <w:szCs w:val="24"/>
        </w:rPr>
        <w:t xml:space="preserve">. 11th </w:t>
      </w:r>
      <w:proofErr w:type="spellStart"/>
      <w:r w:rsidRPr="00C6330E">
        <w:rPr>
          <w:rFonts w:ascii="Arial" w:hAnsi="Arial" w:cs="Arial"/>
          <w:sz w:val="24"/>
          <w:szCs w:val="24"/>
        </w:rPr>
        <w:t>edn</w:t>
      </w:r>
      <w:proofErr w:type="spellEnd"/>
      <w:r w:rsidRPr="00C6330E">
        <w:rPr>
          <w:rFonts w:ascii="Arial" w:hAnsi="Arial" w:cs="Arial"/>
          <w:sz w:val="24"/>
          <w:szCs w:val="24"/>
        </w:rPr>
        <w:t>. Andover: Cengage Learning.</w:t>
      </w:r>
    </w:p>
    <w:p w14:paraId="6F918386"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Kaplan, R.S. and Atkinson, A.A. (2015) </w:t>
      </w:r>
      <w:r w:rsidRPr="00C6330E">
        <w:rPr>
          <w:rFonts w:ascii="Arial" w:hAnsi="Arial" w:cs="Arial"/>
          <w:i/>
          <w:iCs/>
          <w:sz w:val="24"/>
          <w:szCs w:val="24"/>
        </w:rPr>
        <w:t>Advanced Management Accounting</w:t>
      </w:r>
      <w:r w:rsidRPr="00C6330E">
        <w:rPr>
          <w:rFonts w:ascii="Arial" w:hAnsi="Arial" w:cs="Arial"/>
          <w:sz w:val="24"/>
          <w:szCs w:val="24"/>
        </w:rPr>
        <w:t>. Harlow: Pearson.</w:t>
      </w:r>
    </w:p>
    <w:p w14:paraId="3C6F909C"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Weetman, P. (2019) </w:t>
      </w:r>
      <w:r w:rsidRPr="00C6330E">
        <w:rPr>
          <w:rFonts w:ascii="Arial" w:hAnsi="Arial" w:cs="Arial"/>
          <w:i/>
          <w:iCs/>
          <w:sz w:val="24"/>
          <w:szCs w:val="24"/>
        </w:rPr>
        <w:t>Financial and Management Accounting: An Introduction</w:t>
      </w:r>
      <w:r w:rsidRPr="00C6330E">
        <w:rPr>
          <w:rFonts w:ascii="Arial" w:hAnsi="Arial" w:cs="Arial"/>
          <w:sz w:val="24"/>
          <w:szCs w:val="24"/>
        </w:rPr>
        <w:t xml:space="preserve">. 6th </w:t>
      </w:r>
      <w:proofErr w:type="spellStart"/>
      <w:r w:rsidRPr="00C6330E">
        <w:rPr>
          <w:rFonts w:ascii="Arial" w:hAnsi="Arial" w:cs="Arial"/>
          <w:sz w:val="24"/>
          <w:szCs w:val="24"/>
        </w:rPr>
        <w:t>edn</w:t>
      </w:r>
      <w:proofErr w:type="spellEnd"/>
      <w:r w:rsidRPr="00C6330E">
        <w:rPr>
          <w:rFonts w:ascii="Arial" w:hAnsi="Arial" w:cs="Arial"/>
          <w:sz w:val="24"/>
          <w:szCs w:val="24"/>
        </w:rPr>
        <w:t>. Harlow: Pearson.</w:t>
      </w:r>
    </w:p>
    <w:p w14:paraId="1F0B7DED"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Seal, W., Garrison, R., Noreen, E. and Rohde, C. (2018) </w:t>
      </w:r>
      <w:r w:rsidRPr="00C6330E">
        <w:rPr>
          <w:rFonts w:ascii="Arial" w:hAnsi="Arial" w:cs="Arial"/>
          <w:i/>
          <w:iCs/>
          <w:sz w:val="24"/>
          <w:szCs w:val="24"/>
        </w:rPr>
        <w:t>Management Accounting</w:t>
      </w:r>
      <w:r w:rsidRPr="00C6330E">
        <w:rPr>
          <w:rFonts w:ascii="Arial" w:hAnsi="Arial" w:cs="Arial"/>
          <w:sz w:val="24"/>
          <w:szCs w:val="24"/>
        </w:rPr>
        <w:t xml:space="preserve">. 6th </w:t>
      </w:r>
      <w:proofErr w:type="spellStart"/>
      <w:r w:rsidRPr="00C6330E">
        <w:rPr>
          <w:rFonts w:ascii="Arial" w:hAnsi="Arial" w:cs="Arial"/>
          <w:sz w:val="24"/>
          <w:szCs w:val="24"/>
        </w:rPr>
        <w:t>edn</w:t>
      </w:r>
      <w:proofErr w:type="spellEnd"/>
      <w:r w:rsidRPr="00C6330E">
        <w:rPr>
          <w:rFonts w:ascii="Arial" w:hAnsi="Arial" w:cs="Arial"/>
          <w:sz w:val="24"/>
          <w:szCs w:val="24"/>
        </w:rPr>
        <w:t>. London: McGraw-Hill Education.</w:t>
      </w:r>
    </w:p>
    <w:p w14:paraId="16EAAAFE"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Mangan, J., Lalwani, C. and Calatayud, A. (2020) </w:t>
      </w:r>
      <w:r w:rsidRPr="00C6330E">
        <w:rPr>
          <w:rFonts w:ascii="Arial" w:hAnsi="Arial" w:cs="Arial"/>
          <w:i/>
          <w:iCs/>
          <w:sz w:val="24"/>
          <w:szCs w:val="24"/>
        </w:rPr>
        <w:t>Global Logistics and Supply Chain Management</w:t>
      </w:r>
      <w:r w:rsidRPr="00C6330E">
        <w:rPr>
          <w:rFonts w:ascii="Arial" w:hAnsi="Arial" w:cs="Arial"/>
          <w:sz w:val="24"/>
          <w:szCs w:val="24"/>
        </w:rPr>
        <w:t xml:space="preserve">. 4th </w:t>
      </w:r>
      <w:proofErr w:type="spellStart"/>
      <w:r w:rsidRPr="00C6330E">
        <w:rPr>
          <w:rFonts w:ascii="Arial" w:hAnsi="Arial" w:cs="Arial"/>
          <w:sz w:val="24"/>
          <w:szCs w:val="24"/>
        </w:rPr>
        <w:t>edn</w:t>
      </w:r>
      <w:proofErr w:type="spellEnd"/>
      <w:r w:rsidRPr="00C6330E">
        <w:rPr>
          <w:rFonts w:ascii="Arial" w:hAnsi="Arial" w:cs="Arial"/>
          <w:sz w:val="24"/>
          <w:szCs w:val="24"/>
        </w:rPr>
        <w:t>. Hoboken: Wiley.</w:t>
      </w:r>
    </w:p>
    <w:p w14:paraId="43AE8719"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Rushton, A., Croucher, P. and Baker, P. (2017) </w:t>
      </w:r>
      <w:r w:rsidRPr="00C6330E">
        <w:rPr>
          <w:rFonts w:ascii="Arial" w:hAnsi="Arial" w:cs="Arial"/>
          <w:i/>
          <w:iCs/>
          <w:sz w:val="24"/>
          <w:szCs w:val="24"/>
        </w:rPr>
        <w:t>The Handbook of Logistics and Distribution Management</w:t>
      </w:r>
      <w:r w:rsidRPr="00C6330E">
        <w:rPr>
          <w:rFonts w:ascii="Arial" w:hAnsi="Arial" w:cs="Arial"/>
          <w:sz w:val="24"/>
          <w:szCs w:val="24"/>
        </w:rPr>
        <w:t xml:space="preserve">. 5th </w:t>
      </w:r>
      <w:proofErr w:type="spellStart"/>
      <w:r w:rsidRPr="00C6330E">
        <w:rPr>
          <w:rFonts w:ascii="Arial" w:hAnsi="Arial" w:cs="Arial"/>
          <w:sz w:val="24"/>
          <w:szCs w:val="24"/>
        </w:rPr>
        <w:t>edn</w:t>
      </w:r>
      <w:proofErr w:type="spellEnd"/>
      <w:r w:rsidRPr="00C6330E">
        <w:rPr>
          <w:rFonts w:ascii="Arial" w:hAnsi="Arial" w:cs="Arial"/>
          <w:sz w:val="24"/>
          <w:szCs w:val="24"/>
        </w:rPr>
        <w:t>. London: Kogan Page.</w:t>
      </w:r>
    </w:p>
    <w:p w14:paraId="1981A619"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Hossain, M.Z. and Hasan, L. (2024) </w:t>
      </w:r>
      <w:r w:rsidRPr="00C6330E">
        <w:rPr>
          <w:rFonts w:ascii="Arial" w:hAnsi="Arial" w:cs="Arial"/>
          <w:i/>
          <w:iCs/>
          <w:sz w:val="24"/>
          <w:szCs w:val="24"/>
        </w:rPr>
        <w:t>Sustainable Cost Management and Green Business</w:t>
      </w:r>
      <w:r w:rsidRPr="00C6330E">
        <w:rPr>
          <w:rFonts w:ascii="Arial" w:hAnsi="Arial" w:cs="Arial"/>
          <w:sz w:val="24"/>
          <w:szCs w:val="24"/>
        </w:rPr>
        <w:t>.</w:t>
      </w:r>
      <w:r w:rsidRPr="00C6330E">
        <w:rPr>
          <w:rFonts w:ascii="Arial" w:hAnsi="Arial" w:cs="Arial"/>
          <w:sz w:val="24"/>
          <w:szCs w:val="24"/>
        </w:rPr>
        <w:br/>
        <w:t xml:space="preserve">Available at: </w:t>
      </w:r>
      <w:hyperlink r:id="rId9" w:tgtFrame="_new" w:history="1">
        <w:r w:rsidRPr="00C6330E">
          <w:rPr>
            <w:rStyle w:val="Hyperlink"/>
            <w:rFonts w:ascii="Arial" w:hAnsi="Arial" w:cs="Arial"/>
            <w:sz w:val="24"/>
            <w:szCs w:val="24"/>
          </w:rPr>
          <w:t>https://www.researchgate.net/profile/Muhammed-Zakir-Hossain/publication/385492009</w:t>
        </w:r>
      </w:hyperlink>
    </w:p>
    <w:p w14:paraId="1DCDC2A8"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Schaltegger, S. and Wagner, M. (2006) </w:t>
      </w:r>
      <w:r w:rsidRPr="00C6330E">
        <w:rPr>
          <w:rFonts w:ascii="Arial" w:hAnsi="Arial" w:cs="Arial"/>
          <w:i/>
          <w:iCs/>
          <w:sz w:val="24"/>
          <w:szCs w:val="24"/>
        </w:rPr>
        <w:t>Managing the Business Case for Sustainability</w:t>
      </w:r>
      <w:r w:rsidRPr="00C6330E">
        <w:rPr>
          <w:rFonts w:ascii="Arial" w:hAnsi="Arial" w:cs="Arial"/>
          <w:sz w:val="24"/>
          <w:szCs w:val="24"/>
        </w:rPr>
        <w:t>.</w:t>
      </w:r>
      <w:r w:rsidRPr="00C6330E">
        <w:rPr>
          <w:rFonts w:ascii="Arial" w:hAnsi="Arial" w:cs="Arial"/>
          <w:sz w:val="24"/>
          <w:szCs w:val="24"/>
        </w:rPr>
        <w:br/>
        <w:t xml:space="preserve">Available at: </w:t>
      </w:r>
      <w:hyperlink r:id="rId10" w:tgtFrame="_new" w:history="1">
        <w:r w:rsidRPr="00C6330E">
          <w:rPr>
            <w:rStyle w:val="Hyperlink"/>
            <w:rFonts w:ascii="Arial" w:hAnsi="Arial" w:cs="Arial"/>
            <w:sz w:val="24"/>
            <w:szCs w:val="24"/>
          </w:rPr>
          <w:t>https://link.springer.com/content/pdf/10.1007/978-1-4020-4974-3_30.pdf</w:t>
        </w:r>
      </w:hyperlink>
    </w:p>
    <w:p w14:paraId="79B17BFF"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DP World (2024) </w:t>
      </w:r>
      <w:r w:rsidRPr="00C6330E">
        <w:rPr>
          <w:rFonts w:ascii="Arial" w:hAnsi="Arial" w:cs="Arial"/>
          <w:i/>
          <w:iCs/>
          <w:sz w:val="24"/>
          <w:szCs w:val="24"/>
        </w:rPr>
        <w:t>Annual Report</w:t>
      </w:r>
      <w:r w:rsidRPr="00C6330E">
        <w:rPr>
          <w:rFonts w:ascii="Arial" w:hAnsi="Arial" w:cs="Arial"/>
          <w:sz w:val="24"/>
          <w:szCs w:val="24"/>
        </w:rPr>
        <w:t>.</w:t>
      </w:r>
      <w:r w:rsidRPr="00C6330E">
        <w:rPr>
          <w:rFonts w:ascii="Arial" w:hAnsi="Arial" w:cs="Arial"/>
          <w:sz w:val="24"/>
          <w:szCs w:val="24"/>
        </w:rPr>
        <w:br/>
        <w:t xml:space="preserve">Available at: </w:t>
      </w:r>
      <w:hyperlink r:id="rId11" w:tgtFrame="_new" w:history="1">
        <w:r w:rsidRPr="00C6330E">
          <w:rPr>
            <w:rStyle w:val="Hyperlink"/>
            <w:rFonts w:ascii="Arial" w:hAnsi="Arial" w:cs="Arial"/>
            <w:sz w:val="24"/>
            <w:szCs w:val="24"/>
          </w:rPr>
          <w:t>https://www.dpworld.com/investors</w:t>
        </w:r>
      </w:hyperlink>
    </w:p>
    <w:p w14:paraId="28EEE517" w14:textId="77777777" w:rsidR="00C6330E" w:rsidRPr="00C6330E" w:rsidRDefault="00C6330E" w:rsidP="0045647D">
      <w:pPr>
        <w:spacing w:line="360" w:lineRule="auto"/>
        <w:rPr>
          <w:rFonts w:ascii="Arial" w:hAnsi="Arial" w:cs="Arial"/>
          <w:sz w:val="24"/>
          <w:szCs w:val="24"/>
        </w:rPr>
      </w:pPr>
      <w:r w:rsidRPr="00C6330E">
        <w:rPr>
          <w:rFonts w:ascii="Arial" w:hAnsi="Arial" w:cs="Arial"/>
          <w:sz w:val="24"/>
          <w:szCs w:val="24"/>
        </w:rPr>
        <w:t xml:space="preserve">DP World (2025) </w:t>
      </w:r>
      <w:r w:rsidRPr="00C6330E">
        <w:rPr>
          <w:rFonts w:ascii="Arial" w:hAnsi="Arial" w:cs="Arial"/>
          <w:i/>
          <w:iCs/>
          <w:sz w:val="24"/>
          <w:szCs w:val="24"/>
        </w:rPr>
        <w:t>Financial Results</w:t>
      </w:r>
      <w:r w:rsidRPr="00C6330E">
        <w:rPr>
          <w:rFonts w:ascii="Arial" w:hAnsi="Arial" w:cs="Arial"/>
          <w:sz w:val="24"/>
          <w:szCs w:val="24"/>
        </w:rPr>
        <w:t>.</w:t>
      </w:r>
      <w:r w:rsidRPr="00C6330E">
        <w:rPr>
          <w:rFonts w:ascii="Arial" w:hAnsi="Arial" w:cs="Arial"/>
          <w:sz w:val="24"/>
          <w:szCs w:val="24"/>
        </w:rPr>
        <w:br/>
        <w:t xml:space="preserve">Available at: </w:t>
      </w:r>
      <w:hyperlink r:id="rId12" w:tgtFrame="_new" w:history="1">
        <w:r w:rsidRPr="00C6330E">
          <w:rPr>
            <w:rStyle w:val="Hyperlink"/>
            <w:rFonts w:ascii="Arial" w:hAnsi="Arial" w:cs="Arial"/>
            <w:sz w:val="24"/>
            <w:szCs w:val="24"/>
          </w:rPr>
          <w:t>https://www.dpworld.com</w:t>
        </w:r>
      </w:hyperlink>
    </w:p>
    <w:p w14:paraId="32365A39" w14:textId="77777777" w:rsidR="008C2F03" w:rsidRPr="0045647D" w:rsidRDefault="008C2F03" w:rsidP="0045647D">
      <w:pPr>
        <w:spacing w:line="360" w:lineRule="auto"/>
        <w:rPr>
          <w:rFonts w:ascii="Arial" w:hAnsi="Arial" w:cs="Arial"/>
          <w:sz w:val="24"/>
          <w:szCs w:val="24"/>
        </w:rPr>
      </w:pPr>
    </w:p>
    <w:sectPr w:rsidR="008C2F03" w:rsidRPr="0045647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F9B04" w14:textId="77777777" w:rsidR="00165452" w:rsidRDefault="00165452" w:rsidP="00B73731">
      <w:pPr>
        <w:spacing w:after="0" w:line="240" w:lineRule="auto"/>
      </w:pPr>
      <w:r>
        <w:separator/>
      </w:r>
    </w:p>
  </w:endnote>
  <w:endnote w:type="continuationSeparator" w:id="0">
    <w:p w14:paraId="0C238C23" w14:textId="77777777" w:rsidR="00165452" w:rsidRDefault="00165452" w:rsidP="00B7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489412"/>
      <w:docPartObj>
        <w:docPartGallery w:val="Page Numbers (Bottom of Page)"/>
        <w:docPartUnique/>
      </w:docPartObj>
    </w:sdtPr>
    <w:sdtEndPr>
      <w:rPr>
        <w:noProof/>
      </w:rPr>
    </w:sdtEndPr>
    <w:sdtContent>
      <w:p w14:paraId="0DB9CC28" w14:textId="61530B45" w:rsidR="00C809F0" w:rsidRDefault="00C809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82580E" w14:textId="77777777" w:rsidR="00C809F0" w:rsidRDefault="00C809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A6D6A" w14:textId="77777777" w:rsidR="00165452" w:rsidRDefault="00165452" w:rsidP="00B73731">
      <w:pPr>
        <w:spacing w:after="0" w:line="240" w:lineRule="auto"/>
      </w:pPr>
      <w:r>
        <w:separator/>
      </w:r>
    </w:p>
  </w:footnote>
  <w:footnote w:type="continuationSeparator" w:id="0">
    <w:p w14:paraId="45C73CAD" w14:textId="77777777" w:rsidR="00165452" w:rsidRDefault="00165452" w:rsidP="00B737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B3A95"/>
    <w:multiLevelType w:val="multilevel"/>
    <w:tmpl w:val="63808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66440A"/>
    <w:multiLevelType w:val="multilevel"/>
    <w:tmpl w:val="DEAAA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6E3870"/>
    <w:multiLevelType w:val="multilevel"/>
    <w:tmpl w:val="E3B4F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4787249">
    <w:abstractNumId w:val="2"/>
  </w:num>
  <w:num w:numId="2" w16cid:durableId="1649942872">
    <w:abstractNumId w:val="1"/>
  </w:num>
  <w:num w:numId="3" w16cid:durableId="255722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11D"/>
    <w:rsid w:val="00061026"/>
    <w:rsid w:val="000B0C27"/>
    <w:rsid w:val="000F5E73"/>
    <w:rsid w:val="00165452"/>
    <w:rsid w:val="001A6FF0"/>
    <w:rsid w:val="002215A5"/>
    <w:rsid w:val="002D565C"/>
    <w:rsid w:val="003008E8"/>
    <w:rsid w:val="00365275"/>
    <w:rsid w:val="0045647D"/>
    <w:rsid w:val="004F6750"/>
    <w:rsid w:val="0054580E"/>
    <w:rsid w:val="005B3647"/>
    <w:rsid w:val="00624B30"/>
    <w:rsid w:val="006D311D"/>
    <w:rsid w:val="00721FA5"/>
    <w:rsid w:val="007954FC"/>
    <w:rsid w:val="008177BB"/>
    <w:rsid w:val="00880D95"/>
    <w:rsid w:val="008946C0"/>
    <w:rsid w:val="008C2F03"/>
    <w:rsid w:val="00947B66"/>
    <w:rsid w:val="00970797"/>
    <w:rsid w:val="00A364F6"/>
    <w:rsid w:val="00A704DE"/>
    <w:rsid w:val="00B73731"/>
    <w:rsid w:val="00C6330E"/>
    <w:rsid w:val="00C809F0"/>
    <w:rsid w:val="00D95A16"/>
    <w:rsid w:val="00ED2285"/>
    <w:rsid w:val="00F1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4CE8"/>
  <w15:chartTrackingRefBased/>
  <w15:docId w15:val="{3CB4F9AA-1F5E-4064-9DA5-07E741E5E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3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3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11D"/>
    <w:rPr>
      <w:rFonts w:eastAsiaTheme="majorEastAsia" w:cstheme="majorBidi"/>
      <w:color w:val="272727" w:themeColor="text1" w:themeTint="D8"/>
    </w:rPr>
  </w:style>
  <w:style w:type="paragraph" w:styleId="Title">
    <w:name w:val="Title"/>
    <w:basedOn w:val="Normal"/>
    <w:next w:val="Normal"/>
    <w:link w:val="TitleChar"/>
    <w:uiPriority w:val="10"/>
    <w:qFormat/>
    <w:rsid w:val="006D3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11D"/>
    <w:pPr>
      <w:spacing w:before="160"/>
      <w:jc w:val="center"/>
    </w:pPr>
    <w:rPr>
      <w:i/>
      <w:iCs/>
      <w:color w:val="404040" w:themeColor="text1" w:themeTint="BF"/>
    </w:rPr>
  </w:style>
  <w:style w:type="character" w:customStyle="1" w:styleId="QuoteChar">
    <w:name w:val="Quote Char"/>
    <w:basedOn w:val="DefaultParagraphFont"/>
    <w:link w:val="Quote"/>
    <w:uiPriority w:val="29"/>
    <w:rsid w:val="006D311D"/>
    <w:rPr>
      <w:i/>
      <w:iCs/>
      <w:color w:val="404040" w:themeColor="text1" w:themeTint="BF"/>
    </w:rPr>
  </w:style>
  <w:style w:type="paragraph" w:styleId="ListParagraph">
    <w:name w:val="List Paragraph"/>
    <w:basedOn w:val="Normal"/>
    <w:uiPriority w:val="34"/>
    <w:qFormat/>
    <w:rsid w:val="006D311D"/>
    <w:pPr>
      <w:ind w:left="720"/>
      <w:contextualSpacing/>
    </w:pPr>
  </w:style>
  <w:style w:type="character" w:styleId="IntenseEmphasis">
    <w:name w:val="Intense Emphasis"/>
    <w:basedOn w:val="DefaultParagraphFont"/>
    <w:uiPriority w:val="21"/>
    <w:qFormat/>
    <w:rsid w:val="006D311D"/>
    <w:rPr>
      <w:i/>
      <w:iCs/>
      <w:color w:val="0F4761" w:themeColor="accent1" w:themeShade="BF"/>
    </w:rPr>
  </w:style>
  <w:style w:type="paragraph" w:styleId="IntenseQuote">
    <w:name w:val="Intense Quote"/>
    <w:basedOn w:val="Normal"/>
    <w:next w:val="Normal"/>
    <w:link w:val="IntenseQuoteChar"/>
    <w:uiPriority w:val="30"/>
    <w:qFormat/>
    <w:rsid w:val="006D3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11D"/>
    <w:rPr>
      <w:i/>
      <w:iCs/>
      <w:color w:val="0F4761" w:themeColor="accent1" w:themeShade="BF"/>
    </w:rPr>
  </w:style>
  <w:style w:type="character" w:styleId="IntenseReference">
    <w:name w:val="Intense Reference"/>
    <w:basedOn w:val="DefaultParagraphFont"/>
    <w:uiPriority w:val="32"/>
    <w:qFormat/>
    <w:rsid w:val="006D311D"/>
    <w:rPr>
      <w:b/>
      <w:bCs/>
      <w:smallCaps/>
      <w:color w:val="0F4761" w:themeColor="accent1" w:themeShade="BF"/>
      <w:spacing w:val="5"/>
    </w:rPr>
  </w:style>
  <w:style w:type="character" w:styleId="Hyperlink">
    <w:name w:val="Hyperlink"/>
    <w:basedOn w:val="DefaultParagraphFont"/>
    <w:uiPriority w:val="99"/>
    <w:unhideWhenUsed/>
    <w:rsid w:val="008946C0"/>
    <w:rPr>
      <w:color w:val="467886" w:themeColor="hyperlink"/>
      <w:u w:val="single"/>
    </w:rPr>
  </w:style>
  <w:style w:type="character" w:styleId="UnresolvedMention">
    <w:name w:val="Unresolved Mention"/>
    <w:basedOn w:val="DefaultParagraphFont"/>
    <w:uiPriority w:val="99"/>
    <w:semiHidden/>
    <w:unhideWhenUsed/>
    <w:rsid w:val="008946C0"/>
    <w:rPr>
      <w:color w:val="605E5C"/>
      <w:shd w:val="clear" w:color="auto" w:fill="E1DFDD"/>
    </w:rPr>
  </w:style>
  <w:style w:type="table" w:styleId="TableGrid">
    <w:name w:val="Table Grid"/>
    <w:basedOn w:val="TableNormal"/>
    <w:uiPriority w:val="39"/>
    <w:rsid w:val="00C63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5647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5647D"/>
    <w:pPr>
      <w:spacing w:after="100"/>
    </w:pPr>
  </w:style>
  <w:style w:type="paragraph" w:styleId="TOC2">
    <w:name w:val="toc 2"/>
    <w:basedOn w:val="Normal"/>
    <w:next w:val="Normal"/>
    <w:autoRedefine/>
    <w:uiPriority w:val="39"/>
    <w:unhideWhenUsed/>
    <w:rsid w:val="0045647D"/>
    <w:pPr>
      <w:spacing w:after="100"/>
      <w:ind w:left="220"/>
    </w:pPr>
  </w:style>
  <w:style w:type="paragraph" w:styleId="Header">
    <w:name w:val="header"/>
    <w:basedOn w:val="Normal"/>
    <w:link w:val="HeaderChar"/>
    <w:uiPriority w:val="99"/>
    <w:unhideWhenUsed/>
    <w:rsid w:val="00B73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731"/>
  </w:style>
  <w:style w:type="paragraph" w:styleId="Footer">
    <w:name w:val="footer"/>
    <w:basedOn w:val="Normal"/>
    <w:link w:val="FooterChar"/>
    <w:uiPriority w:val="99"/>
    <w:unhideWhenUsed/>
    <w:rsid w:val="00B73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pworld.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pworld.com/investo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nk.springer.com/content/pdf/10.1007/978-1-4020-4974-3_30.pdf" TargetMode="External"/><Relationship Id="rId4" Type="http://schemas.openxmlformats.org/officeDocument/2006/relationships/settings" Target="settings.xml"/><Relationship Id="rId9" Type="http://schemas.openxmlformats.org/officeDocument/2006/relationships/hyperlink" Target="https://www.researchgate.net/profile/Muhammed-Zakir-Hossain/publication/38549200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3367E-E275-4AA1-8E98-749422FF7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3013</Words>
  <Characters>17176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Santa (2030796)</dc:creator>
  <cp:keywords/>
  <dc:description/>
  <cp:lastModifiedBy>Mihai Santa (2030796)</cp:lastModifiedBy>
  <cp:revision>11</cp:revision>
  <dcterms:created xsi:type="dcterms:W3CDTF">2026-03-27T21:46:00Z</dcterms:created>
  <dcterms:modified xsi:type="dcterms:W3CDTF">2026-03-28T03:13:00Z</dcterms:modified>
</cp:coreProperties>
</file>