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413DB" w14:textId="77777777" w:rsidR="009067DC" w:rsidRDefault="004B79CC">
      <w:pPr>
        <w:spacing w:after="200"/>
        <w:jc w:val="center"/>
      </w:pPr>
      <w:r>
        <w:rPr>
          <w:noProof/>
        </w:rPr>
        <w:drawing>
          <wp:inline distT="0" distB="0" distL="0" distR="0" wp14:anchorId="1F4A7BE4" wp14:editId="077F9925">
            <wp:extent cx="525780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cial_media_teens.jpg"/>
                    <pic:cNvPicPr/>
                  </pic:nvPicPr>
                  <pic:blipFill>
                    <a:blip r:embed="rId7"/>
                    <a:stretch>
                      <a:fillRect/>
                    </a:stretch>
                  </pic:blipFill>
                  <pic:spPr>
                    <a:xfrm>
                      <a:off x="0" y="0"/>
                      <a:ext cx="5257800" cy="3505200"/>
                    </a:xfrm>
                    <a:prstGeom prst="rect">
                      <a:avLst/>
                    </a:prstGeom>
                  </pic:spPr>
                </pic:pic>
              </a:graphicData>
            </a:graphic>
          </wp:inline>
        </w:drawing>
      </w:r>
    </w:p>
    <w:p w14:paraId="24DA819E" w14:textId="77777777" w:rsidR="009067DC" w:rsidRDefault="004B79CC">
      <w:pPr>
        <w:spacing w:after="100"/>
        <w:jc w:val="center"/>
      </w:pPr>
      <w:r>
        <w:rPr>
          <w:rFonts w:ascii="Arial" w:hAnsi="Arial"/>
          <w:b/>
          <w:sz w:val="38"/>
        </w:rPr>
        <w:t>DISCUSS THE IMPACT OF SOCIAL MEDIA ON MENTAL HEALTH IN ADOLESCENCE</w:t>
      </w:r>
    </w:p>
    <w:p w14:paraId="6DAB41B1" w14:textId="77777777" w:rsidR="009067DC" w:rsidRDefault="004B79CC">
      <w:pPr>
        <w:spacing w:after="260"/>
        <w:jc w:val="center"/>
      </w:pPr>
      <w:r>
        <w:rPr>
          <w:rFonts w:ascii="Arial" w:hAnsi="Arial"/>
          <w:sz w:val="24"/>
        </w:rPr>
        <w:t>Using Erikson’s Psychosocial Theory and Resilience Theory</w:t>
      </w:r>
    </w:p>
    <w:tbl>
      <w:tblPr>
        <w:tblW w:w="8200" w:type="dxa"/>
        <w:jc w:val="center"/>
        <w:tblBorders>
          <w:top w:val="single" w:sz="8" w:space="0" w:color="B8D3D3"/>
          <w:left w:val="single" w:sz="8" w:space="0" w:color="B8D3D3"/>
          <w:bottom w:val="single" w:sz="8" w:space="0" w:color="B8D3D3"/>
          <w:right w:val="single" w:sz="8" w:space="0" w:color="B8D3D3"/>
          <w:insideH w:val="single" w:sz="8" w:space="0" w:color="B8D3D3"/>
          <w:insideV w:val="single" w:sz="8" w:space="0" w:color="B8D3D3"/>
        </w:tblBorders>
        <w:tblLayout w:type="fixed"/>
        <w:tblLook w:val="04A0" w:firstRow="1" w:lastRow="0" w:firstColumn="1" w:lastColumn="0" w:noHBand="0" w:noVBand="1"/>
      </w:tblPr>
      <w:tblGrid>
        <w:gridCol w:w="2200"/>
        <w:gridCol w:w="6000"/>
      </w:tblGrid>
      <w:tr w:rsidR="009067DC" w:rsidRPr="00431663" w14:paraId="6AB34B2F" w14:textId="77777777" w:rsidTr="00555766">
        <w:trPr>
          <w:trHeight w:val="439"/>
          <w:jc w:val="center"/>
        </w:trPr>
        <w:tc>
          <w:tcPr>
            <w:tcW w:w="2200" w:type="dxa"/>
            <w:shd w:val="clear" w:color="auto" w:fill="EEF6F6"/>
            <w:tcMar>
              <w:top w:w="110" w:type="dxa"/>
              <w:left w:w="140" w:type="dxa"/>
              <w:bottom w:w="110" w:type="dxa"/>
              <w:right w:w="140" w:type="dxa"/>
            </w:tcMar>
            <w:vAlign w:val="center"/>
          </w:tcPr>
          <w:p w14:paraId="5E042573" w14:textId="77777777" w:rsidR="009067DC" w:rsidRPr="00431663" w:rsidRDefault="004B79CC">
            <w:pPr>
              <w:spacing w:after="0"/>
            </w:pPr>
            <w:r w:rsidRPr="00431663">
              <w:rPr>
                <w:rFonts w:ascii="Arial" w:hAnsi="Arial"/>
                <w:b/>
                <w:sz w:val="19"/>
              </w:rPr>
              <w:t>Module title</w:t>
            </w:r>
          </w:p>
        </w:tc>
        <w:tc>
          <w:tcPr>
            <w:tcW w:w="6000" w:type="dxa"/>
            <w:tcMar>
              <w:top w:w="110" w:type="dxa"/>
              <w:left w:w="140" w:type="dxa"/>
              <w:bottom w:w="110" w:type="dxa"/>
              <w:right w:w="140" w:type="dxa"/>
            </w:tcMar>
            <w:vAlign w:val="center"/>
          </w:tcPr>
          <w:p w14:paraId="601D9A3F" w14:textId="71E41B96" w:rsidR="009067DC" w:rsidRPr="00431663" w:rsidRDefault="009A7143">
            <w:pPr>
              <w:spacing w:after="0"/>
            </w:pPr>
            <w:r>
              <w:t>Psychology</w:t>
            </w:r>
            <w:r w:rsidR="00792AB1">
              <w:t xml:space="preserve"> in Health and Social Care</w:t>
            </w:r>
          </w:p>
        </w:tc>
      </w:tr>
      <w:tr w:rsidR="009067DC" w:rsidRPr="00431663" w14:paraId="34F53285" w14:textId="77777777">
        <w:trPr>
          <w:jc w:val="center"/>
        </w:trPr>
        <w:tc>
          <w:tcPr>
            <w:tcW w:w="2200" w:type="dxa"/>
            <w:shd w:val="clear" w:color="auto" w:fill="EEF6F6"/>
            <w:tcMar>
              <w:top w:w="110" w:type="dxa"/>
              <w:left w:w="140" w:type="dxa"/>
              <w:bottom w:w="110" w:type="dxa"/>
              <w:right w:w="140" w:type="dxa"/>
            </w:tcMar>
            <w:vAlign w:val="center"/>
          </w:tcPr>
          <w:p w14:paraId="7B584447" w14:textId="77777777" w:rsidR="009067DC" w:rsidRPr="00431663" w:rsidRDefault="004B79CC">
            <w:pPr>
              <w:spacing w:after="0"/>
            </w:pPr>
            <w:r w:rsidRPr="00431663">
              <w:rPr>
                <w:rFonts w:ascii="Arial" w:hAnsi="Arial"/>
                <w:b/>
                <w:sz w:val="19"/>
              </w:rPr>
              <w:t>Module number</w:t>
            </w:r>
          </w:p>
        </w:tc>
        <w:tc>
          <w:tcPr>
            <w:tcW w:w="6000" w:type="dxa"/>
            <w:tcMar>
              <w:top w:w="110" w:type="dxa"/>
              <w:left w:w="140" w:type="dxa"/>
              <w:bottom w:w="110" w:type="dxa"/>
              <w:right w:w="140" w:type="dxa"/>
            </w:tcMar>
            <w:vAlign w:val="center"/>
          </w:tcPr>
          <w:p w14:paraId="044061D1" w14:textId="4A58E3B8" w:rsidR="009067DC" w:rsidRPr="00431663" w:rsidRDefault="00555766">
            <w:pPr>
              <w:spacing w:after="0"/>
            </w:pPr>
            <w:r>
              <w:t>LCHS4010</w:t>
            </w:r>
          </w:p>
        </w:tc>
      </w:tr>
      <w:tr w:rsidR="009067DC" w:rsidRPr="00431663" w14:paraId="4E8A94A0" w14:textId="77777777">
        <w:trPr>
          <w:jc w:val="center"/>
        </w:trPr>
        <w:tc>
          <w:tcPr>
            <w:tcW w:w="2200" w:type="dxa"/>
            <w:shd w:val="clear" w:color="auto" w:fill="EEF6F6"/>
            <w:tcMar>
              <w:top w:w="110" w:type="dxa"/>
              <w:left w:w="140" w:type="dxa"/>
              <w:bottom w:w="110" w:type="dxa"/>
              <w:right w:w="140" w:type="dxa"/>
            </w:tcMar>
            <w:vAlign w:val="center"/>
          </w:tcPr>
          <w:p w14:paraId="3D9FD682" w14:textId="77777777" w:rsidR="009067DC" w:rsidRPr="00431663" w:rsidRDefault="004B79CC">
            <w:pPr>
              <w:spacing w:after="0"/>
            </w:pPr>
            <w:r w:rsidRPr="00431663">
              <w:rPr>
                <w:rFonts w:ascii="Arial" w:hAnsi="Arial"/>
                <w:b/>
                <w:sz w:val="19"/>
              </w:rPr>
              <w:t>Assignment number</w:t>
            </w:r>
          </w:p>
        </w:tc>
        <w:tc>
          <w:tcPr>
            <w:tcW w:w="6000" w:type="dxa"/>
            <w:tcMar>
              <w:top w:w="110" w:type="dxa"/>
              <w:left w:w="140" w:type="dxa"/>
              <w:bottom w:w="110" w:type="dxa"/>
              <w:right w:w="140" w:type="dxa"/>
            </w:tcMar>
            <w:vAlign w:val="center"/>
          </w:tcPr>
          <w:p w14:paraId="37F509ED" w14:textId="4F24D8D1" w:rsidR="009067DC" w:rsidRPr="00431663" w:rsidRDefault="00555766">
            <w:pPr>
              <w:spacing w:after="0"/>
            </w:pPr>
            <w:r>
              <w:t>2</w:t>
            </w:r>
          </w:p>
        </w:tc>
      </w:tr>
      <w:tr w:rsidR="009067DC" w:rsidRPr="00431663" w14:paraId="440E138F" w14:textId="77777777">
        <w:trPr>
          <w:jc w:val="center"/>
        </w:trPr>
        <w:tc>
          <w:tcPr>
            <w:tcW w:w="2200" w:type="dxa"/>
            <w:shd w:val="clear" w:color="auto" w:fill="EEF6F6"/>
            <w:tcMar>
              <w:top w:w="110" w:type="dxa"/>
              <w:left w:w="140" w:type="dxa"/>
              <w:bottom w:w="110" w:type="dxa"/>
              <w:right w:w="140" w:type="dxa"/>
            </w:tcMar>
            <w:vAlign w:val="center"/>
          </w:tcPr>
          <w:p w14:paraId="35749B90" w14:textId="77777777" w:rsidR="009067DC" w:rsidRPr="00431663" w:rsidRDefault="004B79CC">
            <w:pPr>
              <w:spacing w:after="0"/>
            </w:pPr>
            <w:r w:rsidRPr="00431663">
              <w:rPr>
                <w:rFonts w:ascii="Arial" w:hAnsi="Arial"/>
                <w:b/>
                <w:sz w:val="19"/>
              </w:rPr>
              <w:t>Student name</w:t>
            </w:r>
          </w:p>
        </w:tc>
        <w:tc>
          <w:tcPr>
            <w:tcW w:w="6000" w:type="dxa"/>
            <w:tcMar>
              <w:top w:w="110" w:type="dxa"/>
              <w:left w:w="140" w:type="dxa"/>
              <w:bottom w:w="110" w:type="dxa"/>
              <w:right w:w="140" w:type="dxa"/>
            </w:tcMar>
            <w:vAlign w:val="center"/>
          </w:tcPr>
          <w:p w14:paraId="5580AA32" w14:textId="0E2D4C62" w:rsidR="009067DC" w:rsidRPr="00431663" w:rsidRDefault="00555766">
            <w:pPr>
              <w:spacing w:after="0"/>
            </w:pPr>
            <w:r>
              <w:t>Gillian Gibbs</w:t>
            </w:r>
          </w:p>
        </w:tc>
      </w:tr>
      <w:tr w:rsidR="009067DC" w:rsidRPr="00431663" w14:paraId="0DF49443" w14:textId="77777777">
        <w:trPr>
          <w:jc w:val="center"/>
        </w:trPr>
        <w:tc>
          <w:tcPr>
            <w:tcW w:w="2200" w:type="dxa"/>
            <w:shd w:val="clear" w:color="auto" w:fill="EEF6F6"/>
            <w:tcMar>
              <w:top w:w="110" w:type="dxa"/>
              <w:left w:w="140" w:type="dxa"/>
              <w:bottom w:w="110" w:type="dxa"/>
              <w:right w:w="140" w:type="dxa"/>
            </w:tcMar>
            <w:vAlign w:val="center"/>
          </w:tcPr>
          <w:p w14:paraId="6B113528" w14:textId="77777777" w:rsidR="009067DC" w:rsidRPr="00431663" w:rsidRDefault="004B79CC">
            <w:pPr>
              <w:spacing w:after="0"/>
            </w:pPr>
            <w:r w:rsidRPr="00431663">
              <w:rPr>
                <w:rFonts w:ascii="Arial" w:hAnsi="Arial"/>
                <w:b/>
                <w:sz w:val="19"/>
              </w:rPr>
              <w:t>Student number</w:t>
            </w:r>
          </w:p>
        </w:tc>
        <w:tc>
          <w:tcPr>
            <w:tcW w:w="6000" w:type="dxa"/>
            <w:tcMar>
              <w:top w:w="110" w:type="dxa"/>
              <w:left w:w="140" w:type="dxa"/>
              <w:bottom w:w="110" w:type="dxa"/>
              <w:right w:w="140" w:type="dxa"/>
            </w:tcMar>
            <w:vAlign w:val="center"/>
          </w:tcPr>
          <w:p w14:paraId="0E312211" w14:textId="4414CEB3" w:rsidR="009067DC" w:rsidRPr="00431663" w:rsidRDefault="00555766">
            <w:pPr>
              <w:spacing w:after="0"/>
            </w:pPr>
            <w:r>
              <w:t>2508019</w:t>
            </w:r>
          </w:p>
        </w:tc>
      </w:tr>
      <w:tr w:rsidR="009067DC" w:rsidRPr="00431663" w14:paraId="3F2D2557" w14:textId="77777777">
        <w:trPr>
          <w:jc w:val="center"/>
        </w:trPr>
        <w:tc>
          <w:tcPr>
            <w:tcW w:w="2200" w:type="dxa"/>
            <w:shd w:val="clear" w:color="auto" w:fill="EEF6F6"/>
            <w:tcMar>
              <w:top w:w="110" w:type="dxa"/>
              <w:left w:w="140" w:type="dxa"/>
              <w:bottom w:w="110" w:type="dxa"/>
              <w:right w:w="140" w:type="dxa"/>
            </w:tcMar>
            <w:vAlign w:val="center"/>
          </w:tcPr>
          <w:p w14:paraId="7AE876A6" w14:textId="77777777" w:rsidR="009067DC" w:rsidRPr="00431663" w:rsidRDefault="004B79CC">
            <w:pPr>
              <w:spacing w:after="0"/>
            </w:pPr>
            <w:r w:rsidRPr="00431663">
              <w:rPr>
                <w:rFonts w:ascii="Arial" w:hAnsi="Arial"/>
                <w:b/>
                <w:sz w:val="19"/>
              </w:rPr>
              <w:t>Lecturer</w:t>
            </w:r>
          </w:p>
        </w:tc>
        <w:tc>
          <w:tcPr>
            <w:tcW w:w="6000" w:type="dxa"/>
            <w:tcMar>
              <w:top w:w="110" w:type="dxa"/>
              <w:left w:w="140" w:type="dxa"/>
              <w:bottom w:w="110" w:type="dxa"/>
              <w:right w:w="140" w:type="dxa"/>
            </w:tcMar>
            <w:vAlign w:val="center"/>
          </w:tcPr>
          <w:p w14:paraId="431CB3DE" w14:textId="60A3EEDD" w:rsidR="009067DC" w:rsidRPr="00431663" w:rsidRDefault="00555766">
            <w:pPr>
              <w:spacing w:after="0"/>
            </w:pPr>
            <w:r>
              <w:t>Brian Mashumba</w:t>
            </w:r>
          </w:p>
        </w:tc>
      </w:tr>
      <w:tr w:rsidR="009067DC" w:rsidRPr="00431663" w14:paraId="12C6FEA4" w14:textId="77777777">
        <w:trPr>
          <w:jc w:val="center"/>
        </w:trPr>
        <w:tc>
          <w:tcPr>
            <w:tcW w:w="2200" w:type="dxa"/>
            <w:shd w:val="clear" w:color="auto" w:fill="EEF6F6"/>
            <w:tcMar>
              <w:top w:w="110" w:type="dxa"/>
              <w:left w:w="140" w:type="dxa"/>
              <w:bottom w:w="110" w:type="dxa"/>
              <w:right w:w="140" w:type="dxa"/>
            </w:tcMar>
            <w:vAlign w:val="center"/>
          </w:tcPr>
          <w:p w14:paraId="41FE3E57" w14:textId="77777777" w:rsidR="009067DC" w:rsidRPr="00431663" w:rsidRDefault="004B79CC">
            <w:pPr>
              <w:spacing w:after="0"/>
            </w:pPr>
            <w:r w:rsidRPr="00431663">
              <w:rPr>
                <w:rFonts w:ascii="Arial" w:hAnsi="Arial"/>
                <w:b/>
                <w:sz w:val="19"/>
              </w:rPr>
              <w:t>Submission date</w:t>
            </w:r>
          </w:p>
        </w:tc>
        <w:tc>
          <w:tcPr>
            <w:tcW w:w="6000" w:type="dxa"/>
            <w:tcMar>
              <w:top w:w="110" w:type="dxa"/>
              <w:left w:w="140" w:type="dxa"/>
              <w:bottom w:w="110" w:type="dxa"/>
              <w:right w:w="140" w:type="dxa"/>
            </w:tcMar>
            <w:vAlign w:val="center"/>
          </w:tcPr>
          <w:p w14:paraId="51AA713C" w14:textId="41EDDA17" w:rsidR="009067DC" w:rsidRPr="00431663" w:rsidRDefault="004F2ABB">
            <w:pPr>
              <w:spacing w:after="0"/>
            </w:pPr>
            <w:r>
              <w:t>16 August 2026</w:t>
            </w:r>
          </w:p>
        </w:tc>
      </w:tr>
      <w:tr w:rsidR="009067DC" w:rsidRPr="00431663" w14:paraId="2578C125" w14:textId="77777777">
        <w:trPr>
          <w:jc w:val="center"/>
        </w:trPr>
        <w:tc>
          <w:tcPr>
            <w:tcW w:w="2200" w:type="dxa"/>
            <w:shd w:val="clear" w:color="auto" w:fill="EEF6F6"/>
            <w:tcMar>
              <w:top w:w="110" w:type="dxa"/>
              <w:left w:w="140" w:type="dxa"/>
              <w:bottom w:w="110" w:type="dxa"/>
              <w:right w:w="140" w:type="dxa"/>
            </w:tcMar>
            <w:vAlign w:val="center"/>
          </w:tcPr>
          <w:p w14:paraId="77238602" w14:textId="77777777" w:rsidR="009067DC" w:rsidRPr="00431663" w:rsidRDefault="004B79CC">
            <w:pPr>
              <w:spacing w:after="0"/>
            </w:pPr>
            <w:r w:rsidRPr="00431663">
              <w:rPr>
                <w:rFonts w:ascii="Arial" w:hAnsi="Arial"/>
                <w:b/>
                <w:sz w:val="19"/>
              </w:rPr>
              <w:t>Word count</w:t>
            </w:r>
          </w:p>
        </w:tc>
        <w:tc>
          <w:tcPr>
            <w:tcW w:w="6000" w:type="dxa"/>
            <w:tcMar>
              <w:top w:w="110" w:type="dxa"/>
              <w:left w:w="140" w:type="dxa"/>
              <w:bottom w:w="110" w:type="dxa"/>
              <w:right w:w="140" w:type="dxa"/>
            </w:tcMar>
            <w:vAlign w:val="center"/>
          </w:tcPr>
          <w:p w14:paraId="28D8EFEB" w14:textId="59438917" w:rsidR="009067DC" w:rsidRPr="00431663" w:rsidRDefault="004B79CC">
            <w:r w:rsidRPr="00431663">
              <w:rPr>
                <w:rFonts w:ascii="Arial" w:hAnsi="Arial"/>
                <w:b/>
              </w:rPr>
              <w:t>15</w:t>
            </w:r>
            <w:r w:rsidR="00CB2155">
              <w:rPr>
                <w:rFonts w:ascii="Arial" w:hAnsi="Arial"/>
                <w:b/>
              </w:rPr>
              <w:t>9</w:t>
            </w:r>
            <w:r w:rsidR="00FC7437">
              <w:rPr>
                <w:rFonts w:ascii="Arial" w:hAnsi="Arial"/>
                <w:b/>
              </w:rPr>
              <w:t>6</w:t>
            </w:r>
          </w:p>
        </w:tc>
      </w:tr>
    </w:tbl>
    <w:p w14:paraId="1A12758C" w14:textId="77777777" w:rsidR="007357AB" w:rsidRDefault="007357AB"/>
    <w:p w14:paraId="3BCC0471" w14:textId="037E29B3" w:rsidR="009067DC" w:rsidRDefault="004B79CC">
      <w:r>
        <w:br w:type="page"/>
      </w:r>
    </w:p>
    <w:p w14:paraId="1CD341C3" w14:textId="77777777" w:rsidR="009067DC" w:rsidRPr="00431663" w:rsidRDefault="004B79CC">
      <w:pPr>
        <w:spacing w:before="1800"/>
        <w:jc w:val="center"/>
      </w:pPr>
      <w:r w:rsidRPr="00431663">
        <w:rPr>
          <w:rFonts w:ascii="Arial" w:hAnsi="Arial"/>
          <w:b/>
          <w:sz w:val="42"/>
        </w:rPr>
        <w:t>ACKNOWLEDGEMENT OF AI USE</w:t>
      </w:r>
    </w:p>
    <w:p w14:paraId="6F8EA017" w14:textId="77777777" w:rsidR="009067DC" w:rsidRDefault="004B79CC">
      <w:pPr>
        <w:spacing w:after="560"/>
        <w:jc w:val="center"/>
      </w:pPr>
      <w:r>
        <w:rPr>
          <w:rFonts w:ascii="Arial" w:hAnsi="Arial"/>
          <w:b/>
        </w:rPr>
        <w:t>Proofreading and limited editing support</w:t>
      </w:r>
    </w:p>
    <w:tbl>
      <w:tblPr>
        <w:tblW w:w="7900" w:type="dxa"/>
        <w:jc w:val="center"/>
        <w:tblBorders>
          <w:top w:val="single" w:sz="10" w:space="0" w:color="76AEB0"/>
          <w:left w:val="single" w:sz="10" w:space="0" w:color="76AEB0"/>
          <w:bottom w:val="single" w:sz="10" w:space="0" w:color="76AEB0"/>
          <w:right w:val="single" w:sz="10" w:space="0" w:color="76AEB0"/>
          <w:insideH w:val="single" w:sz="10" w:space="0" w:color="76AEB0"/>
          <w:insideV w:val="single" w:sz="10" w:space="0" w:color="76AEB0"/>
        </w:tblBorders>
        <w:tblLayout w:type="fixed"/>
        <w:tblLook w:val="04A0" w:firstRow="1" w:lastRow="0" w:firstColumn="1" w:lastColumn="0" w:noHBand="0" w:noVBand="1"/>
      </w:tblPr>
      <w:tblGrid>
        <w:gridCol w:w="7900"/>
      </w:tblGrid>
      <w:tr w:rsidR="009067DC" w14:paraId="242BE963" w14:textId="77777777">
        <w:trPr>
          <w:jc w:val="center"/>
        </w:trPr>
        <w:tc>
          <w:tcPr>
            <w:tcW w:w="7900" w:type="dxa"/>
            <w:shd w:val="clear" w:color="auto" w:fill="EEF6F6"/>
            <w:tcMar>
              <w:top w:w="320" w:type="dxa"/>
              <w:left w:w="360" w:type="dxa"/>
              <w:bottom w:w="320" w:type="dxa"/>
              <w:right w:w="360" w:type="dxa"/>
            </w:tcMar>
            <w:vAlign w:val="center"/>
          </w:tcPr>
          <w:p w14:paraId="4ECFDDEF" w14:textId="77777777" w:rsidR="00917B33" w:rsidRDefault="00917B33" w:rsidP="00917B33">
            <w:pPr>
              <w:pStyle w:val="ListParagraph"/>
              <w:numPr>
                <w:ilvl w:val="0"/>
                <w:numId w:val="3"/>
              </w:numPr>
            </w:pPr>
            <w:r w:rsidRPr="000C1C6E">
              <w:t xml:space="preserve">For this assessment, </w:t>
            </w:r>
            <w:r>
              <w:t>I used</w:t>
            </w:r>
            <w:r w:rsidRPr="000C1C6E">
              <w:t xml:space="preserve"> Generative AI to check </w:t>
            </w:r>
            <w:r>
              <w:t>my</w:t>
            </w:r>
            <w:r w:rsidRPr="000C1C6E">
              <w:t xml:space="preserve"> own text/creation for grammatical and syntactical mistakes, including rephrasing of </w:t>
            </w:r>
            <w:r>
              <w:t>my</w:t>
            </w:r>
            <w:r w:rsidRPr="000C1C6E">
              <w:t xml:space="preserve"> own work within specific standards.</w:t>
            </w:r>
          </w:p>
          <w:p w14:paraId="1781F41E" w14:textId="77777777" w:rsidR="00917B33" w:rsidRDefault="00917B33" w:rsidP="00917B33">
            <w:pPr>
              <w:pStyle w:val="ListParagraph"/>
              <w:numPr>
                <w:ilvl w:val="0"/>
                <w:numId w:val="3"/>
              </w:numPr>
            </w:pPr>
            <w:r>
              <w:br w:type="page"/>
              <w:t xml:space="preserve"> </w:t>
            </w:r>
            <w:r w:rsidRPr="00604766">
              <w:t xml:space="preserve">Generative AI </w:t>
            </w:r>
            <w:r>
              <w:t xml:space="preserve">was also used </w:t>
            </w:r>
            <w:r w:rsidRPr="00604766">
              <w:t>to create images</w:t>
            </w:r>
          </w:p>
          <w:p w14:paraId="4DA092C8" w14:textId="508EFDA2" w:rsidR="009067DC" w:rsidRDefault="009067DC"/>
        </w:tc>
      </w:tr>
    </w:tbl>
    <w:p w14:paraId="331E94C9" w14:textId="77777777" w:rsidR="009067DC" w:rsidRDefault="004B79CC">
      <w:r>
        <w:br w:type="page"/>
      </w:r>
    </w:p>
    <w:p w14:paraId="373EA4F5" w14:textId="77777777" w:rsidR="008A6A26" w:rsidRPr="00431663" w:rsidRDefault="008A6A26" w:rsidP="008A6A26">
      <w:pPr>
        <w:pStyle w:val="Heading1"/>
        <w:jc w:val="center"/>
        <w:rPr>
          <w:rFonts w:ascii="Arial" w:hAnsi="Arial" w:cs="Arial"/>
          <w:b/>
          <w:bCs/>
          <w:color w:val="auto"/>
          <w:sz w:val="32"/>
          <w:szCs w:val="32"/>
        </w:rPr>
      </w:pPr>
      <w:r w:rsidRPr="00431663">
        <w:rPr>
          <w:rFonts w:ascii="Arial" w:hAnsi="Arial"/>
          <w:b/>
          <w:color w:val="auto"/>
          <w:sz w:val="28"/>
        </w:rPr>
        <w:t>Discuss the Impact of Social Media on Mental Health in Adolescence</w:t>
      </w:r>
    </w:p>
    <w:p w14:paraId="794B1ED8" w14:textId="77777777" w:rsidR="008A6A26" w:rsidRDefault="008A6A26" w:rsidP="00736FAA">
      <w:pPr>
        <w:spacing w:line="360" w:lineRule="auto"/>
        <w:rPr>
          <w:rFonts w:ascii="Arial" w:hAnsi="Arial" w:cs="Arial"/>
        </w:rPr>
      </w:pPr>
    </w:p>
    <w:p w14:paraId="51EB4E7C" w14:textId="77777777" w:rsidR="008A6A26" w:rsidRDefault="008A6A26" w:rsidP="00736FAA">
      <w:pPr>
        <w:spacing w:line="360" w:lineRule="auto"/>
        <w:rPr>
          <w:rFonts w:ascii="Arial" w:hAnsi="Arial" w:cs="Arial"/>
        </w:rPr>
      </w:pPr>
    </w:p>
    <w:p w14:paraId="4B2EDB5D" w14:textId="27A8590A" w:rsidR="00736FAA" w:rsidRPr="008A6A26" w:rsidRDefault="00736FAA" w:rsidP="008A6A26">
      <w:pPr>
        <w:spacing w:line="360" w:lineRule="auto"/>
        <w:jc w:val="both"/>
        <w:rPr>
          <w:rFonts w:ascii="Arial" w:hAnsi="Arial" w:cs="Arial"/>
          <w:sz w:val="24"/>
          <w:szCs w:val="24"/>
        </w:rPr>
      </w:pPr>
      <w:r>
        <w:rPr>
          <w:rFonts w:ascii="Arial" w:hAnsi="Arial"/>
        </w:rPr>
        <w:t xml:space="preserve">Social media has become a defining feature of adolescent life, influencing how young people communicate, learn, and construct their identities. Falcón-Linares et al. (2023) describe social media as a rapidly evolving digital ecosystem that shapes </w:t>
      </w:r>
      <w:r w:rsidR="009456F8">
        <w:rPr>
          <w:rFonts w:ascii="Arial" w:hAnsi="Arial"/>
        </w:rPr>
        <w:t>adolescents' emerging needs and skills</w:t>
      </w:r>
      <w:r w:rsidR="00E86CCC">
        <w:rPr>
          <w:rFonts w:ascii="Arial" w:hAnsi="Arial"/>
        </w:rPr>
        <w:t>,</w:t>
      </w:r>
      <w:r w:rsidR="004311A9">
        <w:rPr>
          <w:rFonts w:ascii="Arial" w:hAnsi="Arial"/>
        </w:rPr>
        <w:t xml:space="preserve"> </w:t>
      </w:r>
      <w:r>
        <w:rPr>
          <w:rFonts w:ascii="Arial" w:hAnsi="Arial"/>
        </w:rPr>
        <w:t xml:space="preserve">while Smith, Leonis and Anandvalli (2021) highlight its complex relationship with belonging and loneliness. The World Health </w:t>
      </w:r>
      <w:r w:rsidR="00555766">
        <w:rPr>
          <w:rFonts w:ascii="Arial" w:hAnsi="Arial"/>
        </w:rPr>
        <w:t>Organisation</w:t>
      </w:r>
      <w:r>
        <w:rPr>
          <w:rFonts w:ascii="Arial" w:hAnsi="Arial"/>
        </w:rPr>
        <w:t xml:space="preserve"> (WHO, 2025) defines adolescence as the developmental period between ages 10 and 19, characterised by rapid biological, cognitive, and social transitions</w:t>
      </w:r>
      <w:r w:rsidR="0000166E">
        <w:rPr>
          <w:rFonts w:ascii="Arial" w:hAnsi="Arial"/>
        </w:rPr>
        <w:t xml:space="preserve">. </w:t>
      </w:r>
      <w:r w:rsidR="00555766">
        <w:rPr>
          <w:rFonts w:ascii="Arial" w:hAnsi="Arial"/>
        </w:rPr>
        <w:t>This</w:t>
      </w:r>
      <w:r>
        <w:rPr>
          <w:rFonts w:ascii="Arial" w:hAnsi="Arial"/>
        </w:rPr>
        <w:t xml:space="preserve"> includ</w:t>
      </w:r>
      <w:r w:rsidR="0000166E">
        <w:rPr>
          <w:rFonts w:ascii="Arial" w:hAnsi="Arial"/>
        </w:rPr>
        <w:t>es</w:t>
      </w:r>
      <w:r>
        <w:rPr>
          <w:rFonts w:ascii="Arial" w:hAnsi="Arial"/>
        </w:rPr>
        <w:t xml:space="preserve"> identity exploration, autonomy development, and increasing peer influence. In the United Kingdom (UK), Ofcom (2025) shows that social media and video-sharing platforms are central to the everyday online lives of children and young people. Platforms such as TikTok, Instagram, YouTube and Snapchat now function as central arenas for self-presentation, social comparison, and peer validation. While social media can promote creativity, connection, and empowerment, it is also associated with risks including cyberbullying, body dissatisfaction, anxiety, and depressive symptoms. This essay critically evaluates social media’s impact on </w:t>
      </w:r>
      <w:r w:rsidR="000A7666">
        <w:rPr>
          <w:rFonts w:ascii="Arial" w:hAnsi="Arial"/>
        </w:rPr>
        <w:t>adolescents'</w:t>
      </w:r>
      <w:r>
        <w:rPr>
          <w:rFonts w:ascii="Arial" w:hAnsi="Arial"/>
        </w:rPr>
        <w:t xml:space="preserve"> mental health through Erikson’s Psychosocial Development Theory, specifically the Identity versus Role Confusion stage, and Resilience Theory. Together, these frameworks illuminate the complex interplay between digital environments, identity formation, and individual variability in mental</w:t>
      </w:r>
      <w:r w:rsidR="00555766">
        <w:rPr>
          <w:rFonts w:ascii="Arial" w:hAnsi="Arial"/>
        </w:rPr>
        <w:t xml:space="preserve"> </w:t>
      </w:r>
      <w:r>
        <w:rPr>
          <w:rFonts w:ascii="Arial" w:hAnsi="Arial"/>
        </w:rPr>
        <w:t>health outcomes, offering implications for adolescent</w:t>
      </w:r>
      <w:r w:rsidR="00654D6D">
        <w:rPr>
          <w:rFonts w:ascii="Arial" w:hAnsi="Arial"/>
        </w:rPr>
        <w:t>s</w:t>
      </w:r>
      <w:r w:rsidR="009A4461">
        <w:rPr>
          <w:rFonts w:ascii="Arial" w:hAnsi="Arial"/>
        </w:rPr>
        <w:t>’</w:t>
      </w:r>
      <w:r>
        <w:rPr>
          <w:rFonts w:ascii="Arial" w:hAnsi="Arial"/>
        </w:rPr>
        <w:t xml:space="preserve"> well-being and professional practice.</w:t>
      </w:r>
    </w:p>
    <w:p w14:paraId="3217E344" w14:textId="586E3967" w:rsidR="00F81AF8" w:rsidRPr="008A6A26" w:rsidRDefault="00F81AF8" w:rsidP="00F81AF8">
      <w:pPr>
        <w:spacing w:line="360" w:lineRule="auto"/>
        <w:jc w:val="both"/>
        <w:rPr>
          <w:rFonts w:ascii="Arial" w:hAnsi="Arial" w:cs="Arial"/>
          <w:sz w:val="24"/>
          <w:szCs w:val="24"/>
        </w:rPr>
      </w:pPr>
      <w:r>
        <w:rPr>
          <w:rFonts w:ascii="Arial" w:hAnsi="Arial"/>
        </w:rPr>
        <w:t>Erikson (1968) proposed that human development happens across eight psychosocial stages:</w:t>
      </w:r>
      <w:r w:rsidRPr="00F81AF8">
        <w:rPr>
          <w:rFonts w:ascii="Arial" w:hAnsi="Arial"/>
        </w:rPr>
        <w:t xml:space="preserve"> trust versus mistrust, autonomy versus shame and doubt, initiative versus guilt, industry versus inferiority, identity versus role confusion, intimacy versus isolation, generativity versus stagnation, and integrity versus despair</w:t>
      </w:r>
      <w:r>
        <w:rPr>
          <w:rFonts w:ascii="Arial" w:hAnsi="Arial"/>
        </w:rPr>
        <w:t xml:space="preserve">. The fifth stage, Identity versus Role Confusion, occurs during adolescence and centres on </w:t>
      </w:r>
      <w:r w:rsidR="00EC4C5D">
        <w:rPr>
          <w:rFonts w:ascii="Arial" w:hAnsi="Arial"/>
        </w:rPr>
        <w:t>deve</w:t>
      </w:r>
      <w:r w:rsidR="006E70C5">
        <w:rPr>
          <w:rFonts w:ascii="Arial" w:hAnsi="Arial"/>
        </w:rPr>
        <w:t xml:space="preserve">loping </w:t>
      </w:r>
      <w:r>
        <w:rPr>
          <w:rFonts w:ascii="Arial" w:hAnsi="Arial"/>
        </w:rPr>
        <w:t>a coherent sense of self. Successful resolution results in fidelity, which refers to the ability to commit to values, relationships, and long-term goals. Failure leads to confusion, low self-esteem, and uncertainty. Adolescents experiment with roles across school, peer groups, and cultural contexts, and they rely heavily on</w:t>
      </w:r>
      <w:r w:rsidR="00254665">
        <w:rPr>
          <w:rFonts w:ascii="Arial" w:hAnsi="Arial"/>
        </w:rPr>
        <w:t xml:space="preserve"> having</w:t>
      </w:r>
      <w:r>
        <w:rPr>
          <w:rFonts w:ascii="Arial" w:hAnsi="Arial"/>
        </w:rPr>
        <w:t xml:space="preserve"> </w:t>
      </w:r>
      <w:r w:rsidR="00555766">
        <w:rPr>
          <w:rFonts w:ascii="Arial" w:hAnsi="Arial"/>
        </w:rPr>
        <w:t xml:space="preserve">feedback </w:t>
      </w:r>
      <w:r>
        <w:rPr>
          <w:rFonts w:ascii="Arial" w:hAnsi="Arial"/>
        </w:rPr>
        <w:t>from others to refine their emerging identities (Benson and Bundick, 2020).</w:t>
      </w:r>
    </w:p>
    <w:p w14:paraId="1C9C179C" w14:textId="77777777" w:rsidR="00F81AF8" w:rsidRDefault="00F81AF8" w:rsidP="008A6A26">
      <w:pPr>
        <w:spacing w:line="360" w:lineRule="auto"/>
        <w:jc w:val="both"/>
        <w:rPr>
          <w:rFonts w:ascii="Arial" w:hAnsi="Arial"/>
        </w:rPr>
      </w:pPr>
    </w:p>
    <w:p w14:paraId="73C9D14D" w14:textId="1374AFA3" w:rsidR="00736FAA" w:rsidRPr="008A6A26" w:rsidRDefault="00736FAA" w:rsidP="008A6A26">
      <w:pPr>
        <w:spacing w:line="360" w:lineRule="auto"/>
        <w:jc w:val="both"/>
        <w:rPr>
          <w:rFonts w:ascii="Arial" w:hAnsi="Arial" w:cs="Arial"/>
          <w:sz w:val="24"/>
          <w:szCs w:val="24"/>
        </w:rPr>
      </w:pPr>
      <w:r>
        <w:rPr>
          <w:rFonts w:ascii="Arial" w:hAnsi="Arial"/>
        </w:rPr>
        <w:t xml:space="preserve">Social media intensifies this identity work by providing continuous opportunities for exploration and self-presentation. Avci, Baams and Kretschmer (2025) argue that digital spaces allow adolescents to test interests, values, and identities </w:t>
      </w:r>
      <w:r w:rsidR="00694C29">
        <w:rPr>
          <w:rFonts w:ascii="Arial" w:hAnsi="Arial"/>
        </w:rPr>
        <w:t xml:space="preserve">by </w:t>
      </w:r>
      <w:r w:rsidR="00A7176B">
        <w:rPr>
          <w:rFonts w:ascii="Arial" w:hAnsi="Arial"/>
        </w:rPr>
        <w:t>self</w:t>
      </w:r>
      <w:r w:rsidR="00694C29">
        <w:rPr>
          <w:rFonts w:ascii="Arial" w:hAnsi="Arial"/>
        </w:rPr>
        <w:t>-</w:t>
      </w:r>
      <w:r w:rsidR="00254665">
        <w:rPr>
          <w:rFonts w:ascii="Arial" w:hAnsi="Arial"/>
        </w:rPr>
        <w:t>exploration</w:t>
      </w:r>
      <w:r>
        <w:rPr>
          <w:rFonts w:ascii="Arial" w:hAnsi="Arial"/>
        </w:rPr>
        <w:t xml:space="preserve"> and self-presentation.</w:t>
      </w:r>
      <w:r w:rsidR="00915184">
        <w:rPr>
          <w:rFonts w:ascii="Arial" w:hAnsi="Arial"/>
        </w:rPr>
        <w:t xml:space="preserve"> </w:t>
      </w:r>
      <w:r w:rsidR="009E72AE">
        <w:rPr>
          <w:rFonts w:ascii="Arial" w:hAnsi="Arial"/>
        </w:rPr>
        <w:t>Moreover</w:t>
      </w:r>
      <w:r w:rsidR="00DB7235">
        <w:rPr>
          <w:rFonts w:ascii="Arial" w:hAnsi="Arial"/>
        </w:rPr>
        <w:t>,</w:t>
      </w:r>
      <w:r>
        <w:rPr>
          <w:rFonts w:ascii="Arial" w:hAnsi="Arial"/>
        </w:rPr>
        <w:t xml:space="preserve"> Avci, Baams and Kretschmer (2025) found that identity development </w:t>
      </w:r>
      <w:r w:rsidR="00555766">
        <w:rPr>
          <w:rFonts w:ascii="Arial" w:hAnsi="Arial"/>
        </w:rPr>
        <w:t xml:space="preserve">is </w:t>
      </w:r>
      <w:r w:rsidR="00A7176B">
        <w:rPr>
          <w:rFonts w:ascii="Arial" w:hAnsi="Arial"/>
        </w:rPr>
        <w:t>shaped online</w:t>
      </w:r>
      <w:r>
        <w:rPr>
          <w:rFonts w:ascii="Arial" w:hAnsi="Arial"/>
        </w:rPr>
        <w:t xml:space="preserve"> by adolescents’ engagement with diverse communities and content, which can support exploration. Smith, Leonis and Anandvalli (2021) show that social media can function as both a supportive and challenging environment. It offers validation but also exposes adolescents to risks. These spaces can reduce isolation and support positive identity development.</w:t>
      </w:r>
    </w:p>
    <w:p w14:paraId="206F68DE" w14:textId="59AD0880" w:rsidR="00736FAA" w:rsidRPr="008A6A26" w:rsidRDefault="00736FAA" w:rsidP="008A6A26">
      <w:pPr>
        <w:spacing w:line="360" w:lineRule="auto"/>
        <w:jc w:val="both"/>
        <w:rPr>
          <w:rFonts w:ascii="Arial" w:hAnsi="Arial" w:cs="Arial"/>
          <w:sz w:val="24"/>
          <w:szCs w:val="24"/>
        </w:rPr>
      </w:pPr>
      <w:r>
        <w:rPr>
          <w:rFonts w:ascii="Arial" w:hAnsi="Arial"/>
        </w:rPr>
        <w:t xml:space="preserve">However, social media </w:t>
      </w:r>
      <w:r w:rsidR="00917B33">
        <w:rPr>
          <w:rFonts w:ascii="Arial" w:hAnsi="Arial"/>
        </w:rPr>
        <w:t>presents</w:t>
      </w:r>
      <w:r>
        <w:rPr>
          <w:rFonts w:ascii="Arial" w:hAnsi="Arial"/>
        </w:rPr>
        <w:t xml:space="preserve"> challenges that complicate identity formation. Digital platforms encourage curated self-presentation and often reward idealised images, lifestyles, and achievements. This pressure to perform an </w:t>
      </w:r>
      <w:r w:rsidR="00917B33">
        <w:rPr>
          <w:rFonts w:ascii="Arial" w:hAnsi="Arial"/>
        </w:rPr>
        <w:t>altered</w:t>
      </w:r>
      <w:r>
        <w:rPr>
          <w:rFonts w:ascii="Arial" w:hAnsi="Arial"/>
        </w:rPr>
        <w:t xml:space="preserve"> version of the self can create discrepancies between adolescents’ online and offline identities, fostering social desirability biases and making self-worth contingent on external metrics such as likes or followers (Erikson, 1968). Cyberbullying further threatens identity development. Keles, McCrae and Grealish (2020) identify cyberbullying as one of the online experiences associated with depression, anxiety and psychological distress in adolescents. These dynamics can interfere with Erikson’s expectation that adolescents require space for experimentation and reflection, with consequences for self-esteem and emotional well-being.</w:t>
      </w:r>
    </w:p>
    <w:p w14:paraId="6D16C3B8" w14:textId="7238F139" w:rsidR="00736FAA" w:rsidRPr="008A6A26" w:rsidRDefault="00736FAA" w:rsidP="008A6A26">
      <w:pPr>
        <w:spacing w:line="360" w:lineRule="auto"/>
        <w:jc w:val="both"/>
        <w:rPr>
          <w:rFonts w:ascii="Arial" w:hAnsi="Arial" w:cs="Arial"/>
          <w:sz w:val="24"/>
          <w:szCs w:val="24"/>
        </w:rPr>
      </w:pPr>
      <w:r>
        <w:rPr>
          <w:rFonts w:ascii="Arial" w:hAnsi="Arial"/>
        </w:rPr>
        <w:t xml:space="preserve">Social comparison is another significant risk. The Royal Society for Public Health (2017) identified Instagram as the platform most strongly associated with poor body image, anxiety, sleep deprivation, and fear of missing out. Burnell et al. (2024) show that momentary self-evaluations fluctuate in response to online comparison, reinforcing vulnerability. Ahmed et al. (2024) similarly found small but significant associations between social media use, depression and anxiety, as well as an important relationship with sleep. Smith, Leonis and Anandvalli (2021) identified </w:t>
      </w:r>
      <w:r w:rsidR="00694C29">
        <w:rPr>
          <w:rFonts w:ascii="Arial" w:hAnsi="Arial"/>
        </w:rPr>
        <w:t xml:space="preserve">a </w:t>
      </w:r>
      <w:r>
        <w:rPr>
          <w:rFonts w:ascii="Arial" w:hAnsi="Arial"/>
        </w:rPr>
        <w:t>complex relationship</w:t>
      </w:r>
      <w:r w:rsidR="00923EA3">
        <w:rPr>
          <w:rFonts w:ascii="Arial" w:hAnsi="Arial"/>
        </w:rPr>
        <w:t xml:space="preserve"> </w:t>
      </w:r>
      <w:r w:rsidR="006E70C5">
        <w:rPr>
          <w:rFonts w:ascii="Arial" w:hAnsi="Arial"/>
        </w:rPr>
        <w:t>among</w:t>
      </w:r>
      <w:r w:rsidR="004F574C">
        <w:rPr>
          <w:rFonts w:ascii="Arial" w:hAnsi="Arial"/>
        </w:rPr>
        <w:t xml:space="preserve"> </w:t>
      </w:r>
      <w:r w:rsidR="00923EA3">
        <w:rPr>
          <w:rFonts w:ascii="Arial" w:hAnsi="Arial"/>
        </w:rPr>
        <w:t>online</w:t>
      </w:r>
      <w:r w:rsidR="00CA1E0A">
        <w:rPr>
          <w:rFonts w:ascii="Arial" w:hAnsi="Arial"/>
        </w:rPr>
        <w:t xml:space="preserve"> </w:t>
      </w:r>
      <w:r>
        <w:rPr>
          <w:rFonts w:ascii="Arial" w:hAnsi="Arial"/>
        </w:rPr>
        <w:t>belonging, wellbeing and loneliness.</w:t>
      </w:r>
    </w:p>
    <w:p w14:paraId="1D5F5717" w14:textId="67C4F41B" w:rsidR="00736FAA" w:rsidRPr="008A6A26" w:rsidRDefault="00736FAA" w:rsidP="008A6A26">
      <w:pPr>
        <w:spacing w:line="360" w:lineRule="auto"/>
        <w:jc w:val="both"/>
        <w:rPr>
          <w:rFonts w:ascii="Arial" w:hAnsi="Arial" w:cs="Arial"/>
          <w:sz w:val="24"/>
          <w:szCs w:val="24"/>
        </w:rPr>
      </w:pPr>
      <w:r>
        <w:rPr>
          <w:rFonts w:ascii="Arial" w:hAnsi="Arial"/>
        </w:rPr>
        <w:t xml:space="preserve">Erikson’s theory remains valuable for understanding social media’s role in identity </w:t>
      </w:r>
      <w:r w:rsidR="00555766">
        <w:rPr>
          <w:rFonts w:ascii="Arial" w:hAnsi="Arial"/>
        </w:rPr>
        <w:t>formation and</w:t>
      </w:r>
      <w:r>
        <w:rPr>
          <w:rFonts w:ascii="Arial" w:hAnsi="Arial"/>
        </w:rPr>
        <w:t xml:space="preserve"> highlights that digital environments intensify identity work and magnify peer influence. However, a key critique is that Erikson did not anticipate digital contexts (Benson and Bundick, 2020). Social media </w:t>
      </w:r>
      <w:r w:rsidR="00B6374C">
        <w:rPr>
          <w:rFonts w:ascii="Arial" w:hAnsi="Arial"/>
        </w:rPr>
        <w:t>expedites</w:t>
      </w:r>
      <w:r>
        <w:rPr>
          <w:rFonts w:ascii="Arial" w:hAnsi="Arial"/>
        </w:rPr>
        <w:t xml:space="preserve"> self-discovery but reduces privacy and </w:t>
      </w:r>
      <w:r w:rsidR="000174C0">
        <w:rPr>
          <w:rFonts w:ascii="Arial" w:hAnsi="Arial"/>
        </w:rPr>
        <w:t xml:space="preserve">time for </w:t>
      </w:r>
      <w:r>
        <w:rPr>
          <w:rFonts w:ascii="Arial" w:hAnsi="Arial"/>
        </w:rPr>
        <w:t xml:space="preserve">reflection. Algorithms also shape the content and feedback adolescents encounter (Falcón-Linares et al., 2023). Benson and Bundick (2020) further imply that Erikson’s framework assumes identity formation occurs within relatively stable social structures. Social media environments, however, are shaped by rapid feedback cycles. Avci, Baams and Kretschmer (2025) suggest that social comparison and idealised self-presentation can reduce self-concept clarity and increase identity distress, complicating Erikson’s expectation of gradual, internally paced identity consolidation. This </w:t>
      </w:r>
      <w:r w:rsidR="00E604A8">
        <w:rPr>
          <w:rFonts w:ascii="Arial" w:hAnsi="Arial"/>
        </w:rPr>
        <w:t>emphasises</w:t>
      </w:r>
      <w:r>
        <w:rPr>
          <w:rFonts w:ascii="Arial" w:hAnsi="Arial"/>
        </w:rPr>
        <w:t xml:space="preserve"> a structural tension in applying Erikson’s model to digital contexts, where identity formation is shaped by accelerated, externally driven feedback cycles (Benson and Bundick, 2020).</w:t>
      </w:r>
    </w:p>
    <w:p w14:paraId="6D9CE0E6" w14:textId="77777777" w:rsidR="00736FAA" w:rsidRPr="008A6A26" w:rsidRDefault="00736FAA" w:rsidP="008A6A26">
      <w:pPr>
        <w:spacing w:line="360" w:lineRule="auto"/>
        <w:jc w:val="both"/>
        <w:rPr>
          <w:rFonts w:ascii="Arial" w:hAnsi="Arial" w:cs="Arial"/>
          <w:sz w:val="24"/>
          <w:szCs w:val="24"/>
        </w:rPr>
      </w:pPr>
      <w:r>
        <w:rPr>
          <w:rFonts w:ascii="Arial" w:hAnsi="Arial"/>
        </w:rPr>
        <w:t>Resilience Theory offers a complementary lens by focusing on how individuals adapt positively despite adversity. Resilience is not a fixed trait but a dynamic process shaped by interactions between risk factors, protective factors, and environmental contexts (Masten and Barnes, 2018). Protective factors include individual skills such as emotional regulation and problem-solving, relational supports from peers, adults, and family, and community resources such as schools, faith organisations, and safe neighbourhoods. Applying Resilience Theory to social media helps explain why adolescents with similar online experiences may have vastly different outcomes (Masten and Barnes, 2018).</w:t>
      </w:r>
    </w:p>
    <w:p w14:paraId="366CC5B3" w14:textId="77777777" w:rsidR="00736FAA" w:rsidRPr="008A6A26" w:rsidRDefault="00736FAA" w:rsidP="008A6A26">
      <w:pPr>
        <w:spacing w:line="360" w:lineRule="auto"/>
        <w:jc w:val="both"/>
        <w:rPr>
          <w:rFonts w:ascii="Arial" w:hAnsi="Arial" w:cs="Arial"/>
          <w:sz w:val="24"/>
          <w:szCs w:val="24"/>
        </w:rPr>
      </w:pPr>
      <w:r>
        <w:rPr>
          <w:rFonts w:ascii="Arial" w:hAnsi="Arial"/>
        </w:rPr>
        <w:t>Individual protective factors play a crucial role. Masten and Barnes (2018) emphasise that emotional regulation and problem-solving can protect young people when they experience adversity. Relational protective factors are equally important. Smith, Leonis and Anandvalli (2021) show that online connection can offer adolescents a sense of belonging and shared experience. Community-level protective factors, including digital citizenship education, offer external scaffolding. NICE (2022) highlights the importance of social and emotional skills in supporting young people’s wellbeing.</w:t>
      </w:r>
    </w:p>
    <w:p w14:paraId="05E93E78" w14:textId="6D8DEA3D" w:rsidR="00736FAA" w:rsidRPr="008A6A26" w:rsidRDefault="00736FAA" w:rsidP="008A6A26">
      <w:pPr>
        <w:spacing w:line="360" w:lineRule="auto"/>
        <w:jc w:val="both"/>
        <w:rPr>
          <w:rFonts w:ascii="Arial" w:hAnsi="Arial" w:cs="Arial"/>
          <w:sz w:val="24"/>
          <w:szCs w:val="24"/>
        </w:rPr>
      </w:pPr>
      <w:r>
        <w:rPr>
          <w:rFonts w:ascii="Arial" w:hAnsi="Arial"/>
        </w:rPr>
        <w:t xml:space="preserve">However, protective factors can also fail or become vulnerabilities. The WHO (2024) found that problematic social media use can emerge when adolescents struggle to control their use and experience negative consequences in everyday life. WHO Europe (2025) also highlights that resilience processes </w:t>
      </w:r>
      <w:r w:rsidR="00D6190C">
        <w:rPr>
          <w:rFonts w:ascii="Arial" w:hAnsi="Arial"/>
        </w:rPr>
        <w:t xml:space="preserve">are </w:t>
      </w:r>
      <w:r w:rsidR="007D3CCC">
        <w:rPr>
          <w:rFonts w:ascii="Arial" w:hAnsi="Arial"/>
        </w:rPr>
        <w:t>shaped</w:t>
      </w:r>
      <w:r>
        <w:rPr>
          <w:rFonts w:ascii="Arial" w:hAnsi="Arial"/>
        </w:rPr>
        <w:t xml:space="preserve"> </w:t>
      </w:r>
      <w:r w:rsidR="007D3CCC">
        <w:rPr>
          <w:rFonts w:ascii="Arial" w:hAnsi="Arial"/>
        </w:rPr>
        <w:t>through</w:t>
      </w:r>
      <w:r>
        <w:rPr>
          <w:rFonts w:ascii="Arial" w:hAnsi="Arial"/>
        </w:rPr>
        <w:t xml:space="preserve"> broader contextual inequalities. Adolescents facing socioeconomic disadvantage or limited digital literacy encounter amplified risks. Platform algorithms often prioritise sensational or appearance-focused content, creating environments that undermine resilience by amplifying risk and minimising adult oversight. This suggests that resilience cannot be understood solely at the individual level; structural and technological factors also shape adolescents’ capacity to cope with online challenges.</w:t>
      </w:r>
    </w:p>
    <w:p w14:paraId="600E3E49" w14:textId="77777777" w:rsidR="00736FAA" w:rsidRPr="008A6A26" w:rsidRDefault="00736FAA" w:rsidP="008A6A26">
      <w:pPr>
        <w:spacing w:line="360" w:lineRule="auto"/>
        <w:jc w:val="both"/>
        <w:rPr>
          <w:rFonts w:ascii="Arial" w:hAnsi="Arial" w:cs="Arial"/>
          <w:sz w:val="24"/>
          <w:szCs w:val="24"/>
        </w:rPr>
      </w:pPr>
      <w:r>
        <w:rPr>
          <w:rFonts w:ascii="Arial" w:hAnsi="Arial"/>
        </w:rPr>
        <w:t>Resilience Theory is valuable because it moves beyond simplistic claims that social media is either harmful or beneficial. Instead, it asks for whom, under what conditions, and why. It emphasises context, agency, and the balance between risks and protections. However, a critique is that resilience frameworks can inadvertently place responsibility on adolescents to cope with environments designed to maximise engagement. Therefore, interventions must address systemic factors as well as individual capacities. This includes recognising that adolescents’ digital experiences are shaped by commercial priorities that may conflict with wellbeing, and it requires practitioners to adopt a more critical stance toward the digital environments young people inhabit.</w:t>
      </w:r>
    </w:p>
    <w:p w14:paraId="1D78554E" w14:textId="61B419CD" w:rsidR="00736FAA" w:rsidRPr="008A6A26" w:rsidRDefault="00736FAA" w:rsidP="008A6A26">
      <w:pPr>
        <w:spacing w:line="360" w:lineRule="auto"/>
        <w:jc w:val="both"/>
        <w:rPr>
          <w:rFonts w:ascii="Arial" w:hAnsi="Arial" w:cs="Arial"/>
          <w:sz w:val="24"/>
          <w:szCs w:val="24"/>
        </w:rPr>
      </w:pPr>
      <w:r>
        <w:rPr>
          <w:rFonts w:ascii="Arial" w:hAnsi="Arial"/>
        </w:rPr>
        <w:t>Integrating Erikson’s Identity versus Role Confusion stage with Resilience Theory provides a more comprehensive understanding of social media’s influence. Erikson highlights adolescence as a critical period for identity formation, and peer feedback shap</w:t>
      </w:r>
      <w:r w:rsidR="00324E56">
        <w:rPr>
          <w:rFonts w:ascii="Arial" w:hAnsi="Arial"/>
        </w:rPr>
        <w:t>ing</w:t>
      </w:r>
      <w:r>
        <w:rPr>
          <w:rFonts w:ascii="Arial" w:hAnsi="Arial"/>
        </w:rPr>
        <w:t xml:space="preserve"> self-concept. Social media intensifies this process by offering constant opportunities for self-presentation and comparison (Avci, Baams and Kretschmer, 2025). Resilience Theory explains why outcomes vary. Adolescents with strong protective factors, such as supportive relationships, digital literacy, and emotional regulation, are more likely to use social media constructively. Those lacking such supports are more vulnerable to negative effects (Masten and Barnes, 2018; Avci, Baams and Kretschmer, 2025). Both theories predate the social media era and do not fully account for algorithms, data tracking, or engagement-driven design. Future research must integrate psychological theories with digital architecture analysis and longitudinal studies</w:t>
      </w:r>
      <w:r w:rsidR="00C13B4B">
        <w:rPr>
          <w:rFonts w:ascii="Arial" w:hAnsi="Arial"/>
        </w:rPr>
        <w:t>,</w:t>
      </w:r>
      <w:r>
        <w:rPr>
          <w:rFonts w:ascii="Arial" w:hAnsi="Arial"/>
        </w:rPr>
        <w:t xml:space="preserve"> </w:t>
      </w:r>
      <w:r w:rsidR="00AF2394">
        <w:rPr>
          <w:rFonts w:ascii="Arial" w:hAnsi="Arial"/>
        </w:rPr>
        <w:t xml:space="preserve">necessary </w:t>
      </w:r>
      <w:r w:rsidR="00E57592">
        <w:rPr>
          <w:rFonts w:ascii="Arial" w:hAnsi="Arial"/>
        </w:rPr>
        <w:t xml:space="preserve">to </w:t>
      </w:r>
      <w:r>
        <w:rPr>
          <w:rFonts w:ascii="Arial" w:hAnsi="Arial"/>
        </w:rPr>
        <w:t>establish causality rather than correlation (Orben and Przybylski, 2019; Valkenburg, Meier and Beyens, 2022). This integration highlights the need for interdisciplinary approaches that consider developmental psychology, digital sociology, and youth mental health together.</w:t>
      </w:r>
    </w:p>
    <w:p w14:paraId="2C6D628F" w14:textId="7FC5FBE0" w:rsidR="00736FAA" w:rsidRPr="008A6A26" w:rsidRDefault="00736FAA" w:rsidP="008A6A26">
      <w:pPr>
        <w:spacing w:line="360" w:lineRule="auto"/>
        <w:jc w:val="both"/>
        <w:rPr>
          <w:rFonts w:ascii="Arial" w:hAnsi="Arial" w:cs="Arial"/>
          <w:sz w:val="24"/>
          <w:szCs w:val="24"/>
        </w:rPr>
      </w:pPr>
      <w:r>
        <w:rPr>
          <w:rFonts w:ascii="Arial" w:hAnsi="Arial"/>
        </w:rPr>
        <w:t xml:space="preserve">The Nursing and Midwifery Council (NMC, 2018) emphasises compassionate, person-centred care and </w:t>
      </w:r>
      <w:r w:rsidR="009C345C">
        <w:rPr>
          <w:rFonts w:ascii="Arial" w:hAnsi="Arial"/>
        </w:rPr>
        <w:t xml:space="preserve">implies that </w:t>
      </w:r>
      <w:r>
        <w:rPr>
          <w:rFonts w:ascii="Arial" w:hAnsi="Arial"/>
        </w:rPr>
        <w:t>understanding</w:t>
      </w:r>
      <w:r w:rsidR="00131988">
        <w:rPr>
          <w:rFonts w:ascii="Arial" w:hAnsi="Arial"/>
        </w:rPr>
        <w:t xml:space="preserve"> the impact of</w:t>
      </w:r>
      <w:r>
        <w:rPr>
          <w:rFonts w:ascii="Arial" w:hAnsi="Arial"/>
        </w:rPr>
        <w:t xml:space="preserve"> social </w:t>
      </w:r>
      <w:r w:rsidR="00131988">
        <w:rPr>
          <w:rFonts w:ascii="Arial" w:hAnsi="Arial"/>
        </w:rPr>
        <w:t>media</w:t>
      </w:r>
      <w:r w:rsidR="00C5354B">
        <w:rPr>
          <w:rFonts w:ascii="Arial" w:hAnsi="Arial"/>
        </w:rPr>
        <w:t xml:space="preserve"> is</w:t>
      </w:r>
      <w:r w:rsidR="00545A94">
        <w:rPr>
          <w:rFonts w:ascii="Arial" w:hAnsi="Arial"/>
        </w:rPr>
        <w:t xml:space="preserve"> </w:t>
      </w:r>
      <w:r>
        <w:rPr>
          <w:rFonts w:ascii="Arial" w:hAnsi="Arial"/>
        </w:rPr>
        <w:t xml:space="preserve">essential for adolescent health assessment and intervention. Erikson-informed psychoeducation can help adolescents reflect on </w:t>
      </w:r>
      <w:r w:rsidR="00E4348B">
        <w:rPr>
          <w:rFonts w:ascii="Arial" w:hAnsi="Arial"/>
        </w:rPr>
        <w:t>the distinction between authentic and curated identities,</w:t>
      </w:r>
      <w:r>
        <w:rPr>
          <w:rFonts w:ascii="Arial" w:hAnsi="Arial"/>
        </w:rPr>
        <w:t xml:space="preserve"> supported by positive role models and safe spaces. Resilience-based interventions should strengthen protective factors, including family communication, digital literacy, coping skills, and access to safe online communities (NICE, 2022). Although the NMC (2018) emphasises holistic care, current guidance rarely addresses the complexity of adolescents’ digital ecosystems. As NICE (2022) and WHO Europe (2025) imply, practitioners need structured approaches for assessing social media-related risks in routine practice. This gap suggests a need for updated professional training that equips nurses to recognise digital stressors, facilitate conversations about online identity, and support families in navigating social media use. Strengthening </w:t>
      </w:r>
      <w:r w:rsidR="00131988">
        <w:rPr>
          <w:rFonts w:ascii="Arial" w:hAnsi="Arial"/>
        </w:rPr>
        <w:t>practitioners'</w:t>
      </w:r>
      <w:r>
        <w:rPr>
          <w:rFonts w:ascii="Arial" w:hAnsi="Arial"/>
        </w:rPr>
        <w:t xml:space="preserve"> confidence in addressing digital influences is essential, as adolescents increasingly present with concerns shaped by online interactions</w:t>
      </w:r>
      <w:r w:rsidR="00ED6518">
        <w:rPr>
          <w:rFonts w:ascii="Arial" w:hAnsi="Arial"/>
        </w:rPr>
        <w:t>,</w:t>
      </w:r>
      <w:r>
        <w:rPr>
          <w:rFonts w:ascii="Arial" w:hAnsi="Arial"/>
        </w:rPr>
        <w:t xml:space="preserve"> </w:t>
      </w:r>
      <w:r w:rsidR="00ED6518">
        <w:rPr>
          <w:rFonts w:ascii="Arial" w:hAnsi="Arial"/>
        </w:rPr>
        <w:t xml:space="preserve">which </w:t>
      </w:r>
      <w:r w:rsidR="00131988">
        <w:rPr>
          <w:rFonts w:ascii="Arial" w:hAnsi="Arial"/>
        </w:rPr>
        <w:t>require</w:t>
      </w:r>
      <w:r>
        <w:rPr>
          <w:rFonts w:ascii="Arial" w:hAnsi="Arial"/>
        </w:rPr>
        <w:t xml:space="preserve"> sensitive, developmentally informed assessment and intervention (NICE, 2022).</w:t>
      </w:r>
    </w:p>
    <w:p w14:paraId="7B6ADDE3" w14:textId="483BE06A" w:rsidR="00736FAA" w:rsidRPr="008A6A26" w:rsidRDefault="00A6292D" w:rsidP="008A6A26">
      <w:pPr>
        <w:spacing w:line="360" w:lineRule="auto"/>
        <w:jc w:val="both"/>
        <w:rPr>
          <w:rFonts w:ascii="Arial" w:hAnsi="Arial" w:cs="Arial"/>
          <w:sz w:val="24"/>
          <w:szCs w:val="24"/>
        </w:rPr>
      </w:pPr>
      <w:r>
        <w:rPr>
          <w:rFonts w:ascii="Arial" w:hAnsi="Arial"/>
        </w:rPr>
        <w:t>In conclusion, using</w:t>
      </w:r>
      <w:r w:rsidR="00736FAA">
        <w:rPr>
          <w:rFonts w:ascii="Arial" w:hAnsi="Arial"/>
        </w:rPr>
        <w:t xml:space="preserve"> Erikson’s Psychosocial Theory and Resilience Theory reveals that social media can both support and undermine adolescent</w:t>
      </w:r>
      <w:r w:rsidR="00361C33">
        <w:rPr>
          <w:rFonts w:ascii="Arial" w:hAnsi="Arial"/>
        </w:rPr>
        <w:t>s’</w:t>
      </w:r>
      <w:r w:rsidR="00736FAA">
        <w:rPr>
          <w:rFonts w:ascii="Arial" w:hAnsi="Arial"/>
        </w:rPr>
        <w:t xml:space="preserve"> mental health. Outcomes vary widely depending on protective factors, contextual supports, and individual capacities. Erikson’s theory explains how online feedback can affect identity, self-esteem</w:t>
      </w:r>
      <w:r w:rsidR="006122B9">
        <w:rPr>
          <w:rFonts w:ascii="Arial" w:hAnsi="Arial"/>
        </w:rPr>
        <w:t>, and emotional well-being, while Resilience Theory explains why outcomes m</w:t>
      </w:r>
      <w:r w:rsidR="00AB1CF6">
        <w:rPr>
          <w:rFonts w:ascii="Arial" w:hAnsi="Arial"/>
        </w:rPr>
        <w:t>ay</w:t>
      </w:r>
      <w:r w:rsidR="006122B9">
        <w:rPr>
          <w:rFonts w:ascii="Arial" w:hAnsi="Arial"/>
        </w:rPr>
        <w:t xml:space="preserve"> differ depending on</w:t>
      </w:r>
      <w:r w:rsidR="00736FAA">
        <w:rPr>
          <w:rFonts w:ascii="Arial" w:hAnsi="Arial"/>
        </w:rPr>
        <w:t xml:space="preserve"> risk and protective factors. Social media’s influence is complex</w:t>
      </w:r>
      <w:r w:rsidR="00131988">
        <w:rPr>
          <w:rFonts w:ascii="Arial" w:hAnsi="Arial"/>
        </w:rPr>
        <w:t>;</w:t>
      </w:r>
      <w:r w:rsidR="00917B33">
        <w:rPr>
          <w:rFonts w:ascii="Arial" w:hAnsi="Arial"/>
        </w:rPr>
        <w:t xml:space="preserve"> it</w:t>
      </w:r>
      <w:r w:rsidR="00736FAA">
        <w:rPr>
          <w:rFonts w:ascii="Arial" w:hAnsi="Arial"/>
        </w:rPr>
        <w:t xml:space="preserve"> </w:t>
      </w:r>
      <w:r w:rsidR="00131988">
        <w:rPr>
          <w:rFonts w:ascii="Arial" w:hAnsi="Arial"/>
        </w:rPr>
        <w:t xml:space="preserve">is </w:t>
      </w:r>
      <w:r w:rsidR="00736FAA">
        <w:rPr>
          <w:rFonts w:ascii="Arial" w:hAnsi="Arial"/>
        </w:rPr>
        <w:t>not inherently harmful or beneficial. For Health and Social Care professionals, this highlights the need for approaches that strengthen resilience, promote digital literacy, and address structural risks within online environments. Ultimately, supporting adolescents in a digital age requires recognising both the developmental opportunities social media offers and the systemic pressures that shape young people’s wellbeing.</w:t>
      </w:r>
    </w:p>
    <w:p w14:paraId="4DCF5AC7" w14:textId="77777777" w:rsidR="00736FAA" w:rsidRPr="00431663" w:rsidRDefault="00736FAA" w:rsidP="008A6A26">
      <w:pPr>
        <w:pageBreakBefore/>
        <w:spacing w:after="200" w:line="360" w:lineRule="auto"/>
        <w:rPr>
          <w:rFonts w:ascii="Arial" w:eastAsia="Times New Roman" w:hAnsi="Arial" w:cs="Arial"/>
          <w:b/>
          <w:bCs/>
          <w:sz w:val="28"/>
          <w:szCs w:val="28"/>
          <w:lang w:eastAsia="en-GB"/>
        </w:rPr>
      </w:pPr>
      <w:r w:rsidRPr="00431663">
        <w:rPr>
          <w:rFonts w:ascii="Arial" w:hAnsi="Arial"/>
          <w:b/>
          <w:sz w:val="28"/>
          <w:szCs w:val="28"/>
        </w:rPr>
        <w:t>Reference List</w:t>
      </w:r>
    </w:p>
    <w:p w14:paraId="26DA7450" w14:textId="5DA88771"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Ahmed, O., Walsh, E.I., Dawel, A., Alateeq, K., Espinoza Oyarce, D.A. and Cherbuin, N. (2024)</w:t>
      </w:r>
      <w:r w:rsidR="00B14A39">
        <w:rPr>
          <w:rFonts w:ascii="Arial" w:hAnsi="Arial"/>
        </w:rPr>
        <w:t>.</w:t>
      </w:r>
      <w:r>
        <w:rPr>
          <w:rFonts w:ascii="Arial" w:hAnsi="Arial"/>
        </w:rPr>
        <w:t xml:space="preserve"> ‘Social media use, mental health and sleep: A systematic review with meta-analyses’, Journal of Affective Disorders, 367, pp. 701–712. Available at:</w:t>
      </w:r>
      <w:r w:rsidR="00474A0B">
        <w:rPr>
          <w:rFonts w:ascii="Arial" w:hAnsi="Arial"/>
        </w:rPr>
        <w:t xml:space="preserve"> </w:t>
      </w:r>
      <w:hyperlink r:id="rId8" w:history="1">
        <w:r w:rsidR="005A3B80" w:rsidRPr="00393DAB">
          <w:rPr>
            <w:rStyle w:val="Hyperlink"/>
            <w:rFonts w:ascii="Arial" w:hAnsi="Arial"/>
          </w:rPr>
          <w:t>https://doi.org/10.1016/j.jad.2024.08.193</w:t>
        </w:r>
      </w:hyperlink>
      <w:r w:rsidR="00D31094">
        <w:rPr>
          <w:rFonts w:ascii="Arial" w:hAnsi="Arial"/>
        </w:rPr>
        <w:t xml:space="preserve"> </w:t>
      </w:r>
      <w:r>
        <w:rPr>
          <w:rFonts w:ascii="Arial" w:hAnsi="Arial"/>
        </w:rPr>
        <w:t>(Accessed: 13 August 2026).</w:t>
      </w:r>
    </w:p>
    <w:p w14:paraId="25ACE9BF" w14:textId="0BFB585C"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Avci, H., Baams, L. and Kretschmer, T. (2025)</w:t>
      </w:r>
      <w:r w:rsidR="00B14A39">
        <w:rPr>
          <w:rFonts w:ascii="Arial" w:hAnsi="Arial"/>
        </w:rPr>
        <w:t>.</w:t>
      </w:r>
      <w:r>
        <w:rPr>
          <w:rFonts w:ascii="Arial" w:hAnsi="Arial"/>
        </w:rPr>
        <w:t xml:space="preserve"> ‘A systematic review of social media use and adolescent identity development’, Adolescent Research Review, 10(2), pp. 219–236. Available at: </w:t>
      </w:r>
      <w:hyperlink r:id="rId9" w:history="1">
        <w:r w:rsidR="00B14A39" w:rsidRPr="00393DAB">
          <w:rPr>
            <w:rStyle w:val="Hyperlink"/>
            <w:rFonts w:ascii="Arial" w:hAnsi="Arial"/>
          </w:rPr>
          <w:t>https://doi.org/10.1007/s40894-024-00251-1</w:t>
        </w:r>
      </w:hyperlink>
      <w:r>
        <w:rPr>
          <w:rFonts w:ascii="Arial" w:hAnsi="Arial"/>
        </w:rPr>
        <w:t xml:space="preserve"> (Accessed: 13 August 2026).</w:t>
      </w:r>
    </w:p>
    <w:p w14:paraId="758FFF34" w14:textId="4618A5FA"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Benson, P. and Bundick, M. (2020)</w:t>
      </w:r>
      <w:r w:rsidR="00B14A39">
        <w:rPr>
          <w:rFonts w:ascii="Arial" w:hAnsi="Arial"/>
        </w:rPr>
        <w:t>.</w:t>
      </w:r>
      <w:r>
        <w:rPr>
          <w:rFonts w:ascii="Arial" w:hAnsi="Arial"/>
        </w:rPr>
        <w:t xml:space="preserve"> ‘Erikson and adolescent development’, Journal of Child and Youth Care Work, 25, pp. 195–205. Available at: </w:t>
      </w:r>
      <w:hyperlink r:id="rId10" w:history="1">
        <w:r w:rsidR="00B14A39" w:rsidRPr="00393DAB">
          <w:rPr>
            <w:rStyle w:val="Hyperlink"/>
            <w:rFonts w:ascii="Arial" w:hAnsi="Arial"/>
          </w:rPr>
          <w:t>https://doi.org/10.5195/jcycw.2015.81</w:t>
        </w:r>
      </w:hyperlink>
      <w:r w:rsidR="00B14A39">
        <w:rPr>
          <w:rFonts w:ascii="Arial" w:hAnsi="Arial"/>
        </w:rPr>
        <w:t xml:space="preserve"> </w:t>
      </w:r>
      <w:r>
        <w:rPr>
          <w:rFonts w:ascii="Arial" w:hAnsi="Arial"/>
        </w:rPr>
        <w:t xml:space="preserve"> (Accessed: 13 August 2026).</w:t>
      </w:r>
    </w:p>
    <w:p w14:paraId="303E5E49" w14:textId="15AC81A0"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Burnell, K., Trekels, J., Prinstein, M.J. and Telzer, E.H. (2024)</w:t>
      </w:r>
      <w:r w:rsidR="00B14A39">
        <w:rPr>
          <w:rFonts w:ascii="Arial" w:hAnsi="Arial"/>
        </w:rPr>
        <w:t>.</w:t>
      </w:r>
      <w:r>
        <w:rPr>
          <w:rFonts w:ascii="Arial" w:hAnsi="Arial"/>
        </w:rPr>
        <w:t xml:space="preserve"> ‘Adolescents’ social comparison on social media: Links with momentary self-evaluations’, Affective Science, 5(4), pp. 295–299. Available at: </w:t>
      </w:r>
      <w:hyperlink r:id="rId11" w:history="1">
        <w:r w:rsidR="00B14A39" w:rsidRPr="00393DAB">
          <w:rPr>
            <w:rStyle w:val="Hyperlink"/>
            <w:rFonts w:ascii="Arial" w:hAnsi="Arial"/>
          </w:rPr>
          <w:t>https://doi.org/10.1007/s42761-024-00240-6</w:t>
        </w:r>
      </w:hyperlink>
      <w:r w:rsidR="00B14A39">
        <w:rPr>
          <w:rFonts w:ascii="Arial" w:hAnsi="Arial"/>
        </w:rPr>
        <w:t xml:space="preserve"> </w:t>
      </w:r>
      <w:r>
        <w:rPr>
          <w:rFonts w:ascii="Arial" w:hAnsi="Arial"/>
        </w:rPr>
        <w:t>(Accessed: 13 August 2026).</w:t>
      </w:r>
    </w:p>
    <w:p w14:paraId="63B3DBAD" w14:textId="15F5861C"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Erikson, E.H. (1968)</w:t>
      </w:r>
      <w:r w:rsidR="00B14A39">
        <w:rPr>
          <w:rFonts w:ascii="Arial" w:hAnsi="Arial"/>
        </w:rPr>
        <w:t>.</w:t>
      </w:r>
      <w:r>
        <w:rPr>
          <w:rFonts w:ascii="Arial" w:hAnsi="Arial"/>
        </w:rPr>
        <w:t xml:space="preserve"> Identity: Youth and crisis. New York: W.W. Norton.</w:t>
      </w:r>
    </w:p>
    <w:p w14:paraId="05FF6ECB" w14:textId="31019963"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Falcón-Linares, C., González-Yubero, S., Mauri-Medrano, M. and Cardoso-Moreno, M.J. (2023)</w:t>
      </w:r>
      <w:r w:rsidR="00B14A39">
        <w:rPr>
          <w:rFonts w:ascii="Arial" w:hAnsi="Arial"/>
        </w:rPr>
        <w:t>.</w:t>
      </w:r>
      <w:r>
        <w:rPr>
          <w:rFonts w:ascii="Arial" w:hAnsi="Arial"/>
        </w:rPr>
        <w:t xml:space="preserve"> ‘Impact of social media on adolescence: Mapping emerging needs to build resilient skills’, Societies, 13(11), article 238. Available at: </w:t>
      </w:r>
      <w:hyperlink r:id="rId12" w:history="1">
        <w:r w:rsidR="00B14A39" w:rsidRPr="00393DAB">
          <w:rPr>
            <w:rStyle w:val="Hyperlink"/>
            <w:rFonts w:ascii="Arial" w:hAnsi="Arial"/>
          </w:rPr>
          <w:t>https://doi.org/10.3390/soc13110238</w:t>
        </w:r>
      </w:hyperlink>
      <w:r w:rsidR="00B14A39">
        <w:rPr>
          <w:rFonts w:ascii="Arial" w:hAnsi="Arial"/>
        </w:rPr>
        <w:t xml:space="preserve"> </w:t>
      </w:r>
      <w:r>
        <w:rPr>
          <w:rFonts w:ascii="Arial" w:hAnsi="Arial"/>
        </w:rPr>
        <w:t xml:space="preserve"> (Accessed: 13 August 2026).</w:t>
      </w:r>
    </w:p>
    <w:p w14:paraId="334A0749" w14:textId="25663811"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Keles, B., McCrae, N. and Grealish, A. (2020)</w:t>
      </w:r>
      <w:r w:rsidR="00B14A39">
        <w:rPr>
          <w:rFonts w:ascii="Arial" w:hAnsi="Arial"/>
        </w:rPr>
        <w:t>.</w:t>
      </w:r>
      <w:r>
        <w:rPr>
          <w:rFonts w:ascii="Arial" w:hAnsi="Arial"/>
        </w:rPr>
        <w:t xml:space="preserve"> ‘A systematic review: The influence of social media on depression, anxiety and psychological distress in adolescents’, International Journal of Adolescence and Youth, 25(1), pp. 79–93. Available at: </w:t>
      </w:r>
      <w:hyperlink r:id="rId13" w:history="1">
        <w:r w:rsidR="00B14A39" w:rsidRPr="00393DAB">
          <w:rPr>
            <w:rStyle w:val="Hyperlink"/>
            <w:rFonts w:ascii="Arial" w:hAnsi="Arial"/>
          </w:rPr>
          <w:t>https://doi.org/10.1080/02673843.2019.1590851</w:t>
        </w:r>
      </w:hyperlink>
      <w:r w:rsidR="00B14A39">
        <w:rPr>
          <w:rFonts w:ascii="Arial" w:hAnsi="Arial"/>
        </w:rPr>
        <w:t xml:space="preserve"> </w:t>
      </w:r>
      <w:r>
        <w:rPr>
          <w:rFonts w:ascii="Arial" w:hAnsi="Arial"/>
        </w:rPr>
        <w:t>(Accessed: 13 August 2026).</w:t>
      </w:r>
    </w:p>
    <w:p w14:paraId="3A06556F" w14:textId="5D81BA7E"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Masten, A.S. and Barnes, A.J. (2018)</w:t>
      </w:r>
      <w:r w:rsidR="00B14A39">
        <w:rPr>
          <w:rFonts w:ascii="Arial" w:hAnsi="Arial"/>
        </w:rPr>
        <w:t>.</w:t>
      </w:r>
      <w:r>
        <w:rPr>
          <w:rFonts w:ascii="Arial" w:hAnsi="Arial"/>
        </w:rPr>
        <w:t xml:space="preserve"> ‘Resilience in children: Developmental perspectives’, Children, 5(7), article 98. Available at: </w:t>
      </w:r>
      <w:hyperlink r:id="rId14" w:history="1">
        <w:r w:rsidR="00B14A39" w:rsidRPr="00393DAB">
          <w:rPr>
            <w:rStyle w:val="Hyperlink"/>
            <w:rFonts w:ascii="Arial" w:hAnsi="Arial"/>
          </w:rPr>
          <w:t>https://doi.org/10.3390/children5070098</w:t>
        </w:r>
      </w:hyperlink>
      <w:r w:rsidR="00B14A39">
        <w:rPr>
          <w:rFonts w:ascii="Arial" w:hAnsi="Arial"/>
        </w:rPr>
        <w:t xml:space="preserve"> </w:t>
      </w:r>
      <w:r>
        <w:rPr>
          <w:rFonts w:ascii="Arial" w:hAnsi="Arial"/>
        </w:rPr>
        <w:t>(Accessed: 13 August 2026).</w:t>
      </w:r>
    </w:p>
    <w:p w14:paraId="20085BF7" w14:textId="54DC5734"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 xml:space="preserve">National Institute for Health and Care </w:t>
      </w:r>
      <w:r w:rsidR="00D85361">
        <w:rPr>
          <w:rFonts w:ascii="Arial" w:hAnsi="Arial"/>
        </w:rPr>
        <w:t>Excellence</w:t>
      </w:r>
      <w:r>
        <w:rPr>
          <w:rFonts w:ascii="Arial" w:hAnsi="Arial"/>
        </w:rPr>
        <w:t xml:space="preserve"> (NICE) (2022)</w:t>
      </w:r>
      <w:r w:rsidR="00B14A39">
        <w:rPr>
          <w:rFonts w:ascii="Arial" w:hAnsi="Arial"/>
        </w:rPr>
        <w:t>.</w:t>
      </w:r>
      <w:r>
        <w:rPr>
          <w:rFonts w:ascii="Arial" w:hAnsi="Arial"/>
        </w:rPr>
        <w:t xml:space="preserve"> Social, emotional and mental wellbeing in primary and secondary education. NICE guideline NG223. Available at: </w:t>
      </w:r>
      <w:hyperlink r:id="rId15" w:history="1">
        <w:r w:rsidR="004F574C" w:rsidRPr="00393DAB">
          <w:rPr>
            <w:rStyle w:val="Hyperlink"/>
            <w:rFonts w:ascii="Arial" w:hAnsi="Arial"/>
          </w:rPr>
          <w:t>https://www.nice.org.uk/guidance/ng223</w:t>
        </w:r>
      </w:hyperlink>
      <w:r w:rsidR="004F574C">
        <w:rPr>
          <w:rFonts w:ascii="Arial" w:hAnsi="Arial"/>
        </w:rPr>
        <w:t xml:space="preserve"> </w:t>
      </w:r>
      <w:r>
        <w:rPr>
          <w:rFonts w:ascii="Arial" w:hAnsi="Arial"/>
        </w:rPr>
        <w:t xml:space="preserve"> (Accessed: 13 August 2026).</w:t>
      </w:r>
    </w:p>
    <w:p w14:paraId="7BBCE7FF" w14:textId="240A4128"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Nursing and Midwifery Council (NMC) (2018)</w:t>
      </w:r>
      <w:r w:rsidR="00B14A39">
        <w:rPr>
          <w:rFonts w:ascii="Arial" w:hAnsi="Arial"/>
        </w:rPr>
        <w:t>.</w:t>
      </w:r>
      <w:r>
        <w:rPr>
          <w:rFonts w:ascii="Arial" w:hAnsi="Arial"/>
        </w:rPr>
        <w:t xml:space="preserve"> The Code: Professional standards of practice and behaviour for nurses, midwives and nursing associates. Available at: </w:t>
      </w:r>
      <w:hyperlink r:id="rId16" w:history="1">
        <w:r w:rsidR="005F427E" w:rsidRPr="00393DAB">
          <w:rPr>
            <w:rStyle w:val="Hyperlink"/>
            <w:rFonts w:ascii="Arial" w:hAnsi="Arial"/>
          </w:rPr>
          <w:t>https://www.nmc.org.uk/code</w:t>
        </w:r>
      </w:hyperlink>
      <w:r w:rsidR="005F427E">
        <w:rPr>
          <w:rFonts w:ascii="Arial" w:hAnsi="Arial"/>
        </w:rPr>
        <w:t xml:space="preserve"> </w:t>
      </w:r>
      <w:r>
        <w:rPr>
          <w:rFonts w:ascii="Arial" w:hAnsi="Arial"/>
        </w:rPr>
        <w:t>(Accessed: 13 August 2026).</w:t>
      </w:r>
    </w:p>
    <w:p w14:paraId="191D169A" w14:textId="5EACEAD7"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Ofcom (2025)</w:t>
      </w:r>
      <w:r w:rsidR="00B14A39">
        <w:rPr>
          <w:rFonts w:ascii="Arial" w:hAnsi="Arial"/>
        </w:rPr>
        <w:t>.</w:t>
      </w:r>
      <w:r>
        <w:rPr>
          <w:rFonts w:ascii="Arial" w:hAnsi="Arial"/>
        </w:rPr>
        <w:t xml:space="preserve"> Children and parents: Media use and attitudes report 2025. Available at: </w:t>
      </w:r>
      <w:hyperlink r:id="rId17" w:history="1">
        <w:r w:rsidR="005F427E" w:rsidRPr="00393DAB">
          <w:rPr>
            <w:rStyle w:val="Hyperlink"/>
            <w:rFonts w:ascii="Arial" w:hAnsi="Arial"/>
          </w:rPr>
          <w:t>https://www.ofcom.org.uk/media-use-and-attitudes/media-habits-children/children-and-parents-media-use-and-attitudes-report-2025</w:t>
        </w:r>
      </w:hyperlink>
      <w:r>
        <w:rPr>
          <w:rFonts w:ascii="Arial" w:hAnsi="Arial"/>
        </w:rPr>
        <w:t xml:space="preserve"> (Accessed: 13 August 2026).</w:t>
      </w:r>
    </w:p>
    <w:p w14:paraId="0BF8DA41" w14:textId="6410417B"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Orben, A. and Przybylski, A.K. (2019)</w:t>
      </w:r>
      <w:r w:rsidR="00B14A39">
        <w:rPr>
          <w:rFonts w:ascii="Arial" w:hAnsi="Arial"/>
        </w:rPr>
        <w:t>.</w:t>
      </w:r>
      <w:r>
        <w:rPr>
          <w:rFonts w:ascii="Arial" w:hAnsi="Arial"/>
        </w:rPr>
        <w:t xml:space="preserve"> ‘The association between adolescent well-being and digital technology use’, Nature Human Behaviour, 3(2), pp. 173–182. Available at: </w:t>
      </w:r>
      <w:hyperlink r:id="rId18" w:history="1">
        <w:r w:rsidR="005F427E" w:rsidRPr="00393DAB">
          <w:rPr>
            <w:rStyle w:val="Hyperlink"/>
            <w:rFonts w:ascii="Arial" w:hAnsi="Arial"/>
          </w:rPr>
          <w:t>https://doi.org/10.1038/s41562-018-0506-1</w:t>
        </w:r>
      </w:hyperlink>
      <w:r>
        <w:rPr>
          <w:rFonts w:ascii="Arial" w:hAnsi="Arial"/>
        </w:rPr>
        <w:t xml:space="preserve"> (Accessed: 13 August 2026).</w:t>
      </w:r>
    </w:p>
    <w:p w14:paraId="64D9ADF4" w14:textId="474C7471"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Royal Society for Public Health (RSPH) (2017)</w:t>
      </w:r>
      <w:r w:rsidR="00B14A39">
        <w:rPr>
          <w:rFonts w:ascii="Arial" w:hAnsi="Arial"/>
        </w:rPr>
        <w:t>.</w:t>
      </w:r>
      <w:r>
        <w:rPr>
          <w:rFonts w:ascii="Arial" w:hAnsi="Arial"/>
        </w:rPr>
        <w:t xml:space="preserve"> #StatusOfMind: Social media and young people’s mental health and wellbeing. Available at: </w:t>
      </w:r>
      <w:hyperlink r:id="rId19" w:history="1">
        <w:r w:rsidR="005F427E" w:rsidRPr="00393DAB">
          <w:rPr>
            <w:rStyle w:val="Hyperlink"/>
            <w:rFonts w:ascii="Arial" w:hAnsi="Arial"/>
          </w:rPr>
          <w:t>https://www.rsph.org.uk/our-work/publications/statusofmind/</w:t>
        </w:r>
      </w:hyperlink>
      <w:r w:rsidR="005F427E">
        <w:rPr>
          <w:rFonts w:ascii="Arial" w:hAnsi="Arial"/>
        </w:rPr>
        <w:t xml:space="preserve"> </w:t>
      </w:r>
      <w:r>
        <w:rPr>
          <w:rFonts w:ascii="Arial" w:hAnsi="Arial"/>
        </w:rPr>
        <w:t>(Accessed: 13 August 2026).</w:t>
      </w:r>
    </w:p>
    <w:p w14:paraId="0DF34847" w14:textId="7E2E32B4"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Smith, D., Leonis, T. and Anandvalli, S. (2021)</w:t>
      </w:r>
      <w:r w:rsidR="00F37CA0">
        <w:rPr>
          <w:rFonts w:ascii="Arial" w:hAnsi="Arial"/>
        </w:rPr>
        <w:t>.</w:t>
      </w:r>
      <w:r>
        <w:rPr>
          <w:rFonts w:ascii="Arial" w:hAnsi="Arial"/>
        </w:rPr>
        <w:t xml:space="preserve"> ‘Belonging and loneliness in cyberspace: Impacts of social media on adolescents’ well-being’, Australian Journal of Psychology, 73(1), pp. 12–23. Available at: </w:t>
      </w:r>
      <w:hyperlink r:id="rId20" w:history="1">
        <w:r w:rsidR="00D85361" w:rsidRPr="00393DAB">
          <w:rPr>
            <w:rStyle w:val="Hyperlink"/>
            <w:rFonts w:ascii="Arial" w:hAnsi="Arial"/>
          </w:rPr>
          <w:t>https://doi.org/10.1080/00049530.2021.1898914</w:t>
        </w:r>
      </w:hyperlink>
      <w:r w:rsidR="00D85361">
        <w:rPr>
          <w:rFonts w:ascii="Arial" w:hAnsi="Arial"/>
        </w:rPr>
        <w:t xml:space="preserve"> </w:t>
      </w:r>
      <w:r>
        <w:rPr>
          <w:rFonts w:ascii="Arial" w:hAnsi="Arial"/>
        </w:rPr>
        <w:t>(Accessed: 13 August 2026).</w:t>
      </w:r>
    </w:p>
    <w:p w14:paraId="49288F14" w14:textId="4D5C2BFC"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Valkenburg, P.M., Meier, A. and Beyens, I. (2022)</w:t>
      </w:r>
      <w:r w:rsidR="00F37CA0">
        <w:rPr>
          <w:rFonts w:ascii="Arial" w:hAnsi="Arial"/>
        </w:rPr>
        <w:t>.</w:t>
      </w:r>
      <w:r>
        <w:rPr>
          <w:rFonts w:ascii="Arial" w:hAnsi="Arial"/>
        </w:rPr>
        <w:t xml:space="preserve"> ‘Social media use and its impact on adolescent mental health: An umbrella review of the evidence’, Current Opinion in Psychology, 44, pp. 58–68. Available at: </w:t>
      </w:r>
      <w:hyperlink r:id="rId21" w:history="1">
        <w:r w:rsidR="00D85361" w:rsidRPr="00393DAB">
          <w:rPr>
            <w:rStyle w:val="Hyperlink"/>
            <w:rFonts w:ascii="Arial" w:hAnsi="Arial"/>
          </w:rPr>
          <w:t>https://doi.org/10.1016/j.copsyc.2021.08.017</w:t>
        </w:r>
      </w:hyperlink>
      <w:r w:rsidR="00D85361">
        <w:rPr>
          <w:rFonts w:ascii="Arial" w:hAnsi="Arial"/>
        </w:rPr>
        <w:t xml:space="preserve"> </w:t>
      </w:r>
      <w:r>
        <w:rPr>
          <w:rFonts w:ascii="Arial" w:hAnsi="Arial"/>
        </w:rPr>
        <w:t>(Accessed: 13 August 2026).</w:t>
      </w:r>
    </w:p>
    <w:p w14:paraId="3405D074" w14:textId="2ABA2E2C"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 xml:space="preserve">World Health </w:t>
      </w:r>
      <w:r w:rsidR="004F574C">
        <w:rPr>
          <w:rFonts w:ascii="Arial" w:hAnsi="Arial"/>
        </w:rPr>
        <w:t>Organisation</w:t>
      </w:r>
      <w:r>
        <w:rPr>
          <w:rFonts w:ascii="Arial" w:hAnsi="Arial"/>
        </w:rPr>
        <w:t xml:space="preserve"> (WHO) (2024)</w:t>
      </w:r>
      <w:r w:rsidR="00F37CA0">
        <w:rPr>
          <w:rFonts w:ascii="Arial" w:hAnsi="Arial"/>
        </w:rPr>
        <w:t>.</w:t>
      </w:r>
      <w:r>
        <w:rPr>
          <w:rFonts w:ascii="Arial" w:hAnsi="Arial"/>
        </w:rPr>
        <w:t xml:space="preserve"> Teens, screens and mental health. Available at: </w:t>
      </w:r>
      <w:hyperlink r:id="rId22" w:history="1">
        <w:r w:rsidR="00B14A39" w:rsidRPr="00393DAB">
          <w:rPr>
            <w:rStyle w:val="Hyperlink"/>
            <w:rFonts w:ascii="Arial" w:hAnsi="Arial"/>
          </w:rPr>
          <w:t>https://www.who.int/europe/news/item/25-09-2024-teens--screens-and-mental-health</w:t>
        </w:r>
      </w:hyperlink>
      <w:r w:rsidR="00D85361">
        <w:rPr>
          <w:rFonts w:ascii="Arial" w:hAnsi="Arial"/>
        </w:rPr>
        <w:t xml:space="preserve"> </w:t>
      </w:r>
      <w:r>
        <w:rPr>
          <w:rFonts w:ascii="Arial" w:hAnsi="Arial"/>
        </w:rPr>
        <w:t>(Accessed: 13 August 2026).</w:t>
      </w:r>
    </w:p>
    <w:p w14:paraId="5E1AB1FA" w14:textId="438A0F52"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 xml:space="preserve">World Health </w:t>
      </w:r>
      <w:r w:rsidR="004F574C">
        <w:rPr>
          <w:rFonts w:ascii="Arial" w:hAnsi="Arial"/>
        </w:rPr>
        <w:t>Organisation</w:t>
      </w:r>
      <w:r>
        <w:rPr>
          <w:rFonts w:ascii="Arial" w:hAnsi="Arial"/>
        </w:rPr>
        <w:t xml:space="preserve"> (WHO) (2025)</w:t>
      </w:r>
      <w:r w:rsidR="00F37CA0">
        <w:rPr>
          <w:rFonts w:ascii="Arial" w:hAnsi="Arial"/>
        </w:rPr>
        <w:t>.</w:t>
      </w:r>
      <w:r>
        <w:rPr>
          <w:rFonts w:ascii="Arial" w:hAnsi="Arial"/>
        </w:rPr>
        <w:t xml:space="preserve"> Mental health of adolescents. Available at: </w:t>
      </w:r>
      <w:hyperlink r:id="rId23" w:history="1">
        <w:r w:rsidR="00B14A39" w:rsidRPr="00393DAB">
          <w:rPr>
            <w:rStyle w:val="Hyperlink"/>
            <w:rFonts w:ascii="Arial" w:hAnsi="Arial"/>
          </w:rPr>
          <w:t>https://www.who.int/news-room/fact-sheets/detail/adolescent-mental-health</w:t>
        </w:r>
      </w:hyperlink>
      <w:r>
        <w:rPr>
          <w:rFonts w:ascii="Arial" w:hAnsi="Arial"/>
        </w:rPr>
        <w:t xml:space="preserve"> (Accessed: 13 August 2026).</w:t>
      </w:r>
    </w:p>
    <w:p w14:paraId="412ABABB" w14:textId="227AA59E" w:rsidR="00736FAA" w:rsidRPr="008A6A26" w:rsidRDefault="00736FAA" w:rsidP="008A6A26">
      <w:pPr>
        <w:spacing w:before="100" w:beforeAutospacing="1" w:after="120" w:afterAutospacing="1" w:line="360" w:lineRule="auto"/>
        <w:ind w:left="360" w:hanging="360"/>
        <w:rPr>
          <w:rFonts w:ascii="Arial" w:eastAsia="Times New Roman" w:hAnsi="Arial" w:cs="Arial"/>
          <w:kern w:val="0"/>
          <w:sz w:val="24"/>
          <w:szCs w:val="24"/>
          <w:lang w:eastAsia="en-GB"/>
          <w14:ligatures w14:val="none"/>
        </w:rPr>
      </w:pPr>
      <w:r>
        <w:rPr>
          <w:rFonts w:ascii="Arial" w:hAnsi="Arial"/>
        </w:rPr>
        <w:t xml:space="preserve">World Health </w:t>
      </w:r>
      <w:r w:rsidR="004F574C">
        <w:rPr>
          <w:rFonts w:ascii="Arial" w:hAnsi="Arial"/>
        </w:rPr>
        <w:t>Organisation</w:t>
      </w:r>
      <w:r>
        <w:rPr>
          <w:rFonts w:ascii="Arial" w:hAnsi="Arial"/>
        </w:rPr>
        <w:t xml:space="preserve"> Regional Office for Europe (WHO Europe) (2025)</w:t>
      </w:r>
      <w:r w:rsidR="00F37CA0">
        <w:rPr>
          <w:rFonts w:ascii="Arial" w:hAnsi="Arial"/>
        </w:rPr>
        <w:t>.</w:t>
      </w:r>
      <w:r>
        <w:rPr>
          <w:rFonts w:ascii="Arial" w:hAnsi="Arial"/>
        </w:rPr>
        <w:t xml:space="preserve"> Addressing the digital determinants of young people’s mental health and well-being: Policy brief. Available at: </w:t>
      </w:r>
      <w:hyperlink r:id="rId24" w:history="1">
        <w:r w:rsidR="00B14A39" w:rsidRPr="00393DAB">
          <w:rPr>
            <w:rStyle w:val="Hyperlink"/>
            <w:rFonts w:ascii="Arial" w:hAnsi="Arial"/>
          </w:rPr>
          <w:t>https://www.who.int/europe/publications/i/item/WHO-EURO-2025-12187-51959-79685</w:t>
        </w:r>
      </w:hyperlink>
      <w:r>
        <w:rPr>
          <w:rFonts w:ascii="Arial" w:hAnsi="Arial"/>
        </w:rPr>
        <w:t xml:space="preserve"> (Accessed: 13 August 2026).</w:t>
      </w:r>
    </w:p>
    <w:sectPr w:rsidR="00736FAA" w:rsidRPr="008A6A26">
      <w:footerReference w:type="default" r:id="rId25"/>
      <w:pgSz w:w="11906" w:h="16838"/>
      <w:pgMar w:top="1440" w:right="1440" w:bottom="1440" w:left="1440" w:header="708" w:footer="708" w:gutter="0"/>
      <w:pgBorders w:offsetFrom="page">
        <w:top w:val="single" w:sz="12" w:space="22" w:color="1E7074"/>
        <w:left w:val="single" w:sz="12" w:space="22" w:color="1E7074"/>
        <w:bottom w:val="single" w:sz="12" w:space="22" w:color="1E7074"/>
        <w:right w:val="single" w:sz="12" w:space="22" w:color="1E707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73BE8" w14:textId="77777777" w:rsidR="00797FA1" w:rsidRDefault="00797FA1">
      <w:pPr>
        <w:spacing w:after="0" w:line="240" w:lineRule="auto"/>
      </w:pPr>
      <w:r>
        <w:separator/>
      </w:r>
    </w:p>
  </w:endnote>
  <w:endnote w:type="continuationSeparator" w:id="0">
    <w:p w14:paraId="1866068D" w14:textId="77777777" w:rsidR="00797FA1" w:rsidRDefault="00797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7353C" w14:textId="77777777" w:rsidR="009067DC" w:rsidRDefault="004B79CC">
    <w:pPr>
      <w:jc w:val="center"/>
    </w:pPr>
    <w:r>
      <w:rPr>
        <w:rFonts w:ascii="Arial" w:hAnsi="Arial"/>
        <w:sz w:val="18"/>
      </w:rPr>
      <w:fldChar w:fldCharType="begin"/>
    </w:r>
    <w:r>
      <w:rPr>
        <w:rFonts w:ascii="Arial" w:hAnsi="Arial"/>
        <w:sz w:val="18"/>
      </w:rPr>
      <w:instrText xml:space="preserve"> PAGE </w:instrText>
    </w:r>
    <w:r>
      <w:rPr>
        <w:rFonts w:ascii="Arial" w:hAnsi="Arial"/>
        <w:sz w:val="18"/>
      </w:rPr>
      <w:fldChar w:fldCharType="separate"/>
    </w:r>
    <w:r>
      <w:rPr>
        <w:rFonts w:ascii="Arial" w:hAnsi="Arial"/>
        <w:sz w:val="18"/>
      </w:rPr>
      <w:t>1</w:t>
    </w:r>
    <w:r>
      <w:rPr>
        <w:rFonts w:ascii="Arial" w:hAnsi="Arial"/>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BF1BA" w14:textId="77777777" w:rsidR="00797FA1" w:rsidRDefault="00797FA1">
      <w:pPr>
        <w:spacing w:after="0" w:line="240" w:lineRule="auto"/>
      </w:pPr>
      <w:r>
        <w:separator/>
      </w:r>
    </w:p>
  </w:footnote>
  <w:footnote w:type="continuationSeparator" w:id="0">
    <w:p w14:paraId="1597952B" w14:textId="77777777" w:rsidR="00797FA1" w:rsidRDefault="00797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262EF"/>
    <w:multiLevelType w:val="multilevel"/>
    <w:tmpl w:val="6EA07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42306"/>
    <w:multiLevelType w:val="hybridMultilevel"/>
    <w:tmpl w:val="96744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00AAD"/>
    <w:multiLevelType w:val="multilevel"/>
    <w:tmpl w:val="60CE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4908505">
    <w:abstractNumId w:val="0"/>
  </w:num>
  <w:num w:numId="2" w16cid:durableId="254289184">
    <w:abstractNumId w:val="2"/>
  </w:num>
  <w:num w:numId="3" w16cid:durableId="1788114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FAA"/>
    <w:rsid w:val="0000166E"/>
    <w:rsid w:val="000174C0"/>
    <w:rsid w:val="00045718"/>
    <w:rsid w:val="00052733"/>
    <w:rsid w:val="00094FA8"/>
    <w:rsid w:val="000A7666"/>
    <w:rsid w:val="000B0E70"/>
    <w:rsid w:val="00131988"/>
    <w:rsid w:val="00164D85"/>
    <w:rsid w:val="001D0C82"/>
    <w:rsid w:val="00236331"/>
    <w:rsid w:val="00254665"/>
    <w:rsid w:val="002B0BDB"/>
    <w:rsid w:val="002B4FB2"/>
    <w:rsid w:val="002E2367"/>
    <w:rsid w:val="00324E56"/>
    <w:rsid w:val="00361C33"/>
    <w:rsid w:val="003A6EB2"/>
    <w:rsid w:val="003D1DCA"/>
    <w:rsid w:val="004118F4"/>
    <w:rsid w:val="004311A9"/>
    <w:rsid w:val="00431663"/>
    <w:rsid w:val="00474A0B"/>
    <w:rsid w:val="004B6C56"/>
    <w:rsid w:val="004B79CC"/>
    <w:rsid w:val="004F2ABB"/>
    <w:rsid w:val="004F574C"/>
    <w:rsid w:val="00507E2E"/>
    <w:rsid w:val="005113EF"/>
    <w:rsid w:val="00545A94"/>
    <w:rsid w:val="00555766"/>
    <w:rsid w:val="005A3B80"/>
    <w:rsid w:val="005B1005"/>
    <w:rsid w:val="005C2A7D"/>
    <w:rsid w:val="005F092B"/>
    <w:rsid w:val="005F427E"/>
    <w:rsid w:val="006122B9"/>
    <w:rsid w:val="00654D6D"/>
    <w:rsid w:val="00694C29"/>
    <w:rsid w:val="006E70C5"/>
    <w:rsid w:val="007357AB"/>
    <w:rsid w:val="00736FAA"/>
    <w:rsid w:val="00792AB1"/>
    <w:rsid w:val="00797FA1"/>
    <w:rsid w:val="007A4F05"/>
    <w:rsid w:val="007B4269"/>
    <w:rsid w:val="007D3CCC"/>
    <w:rsid w:val="00834C59"/>
    <w:rsid w:val="00863B7A"/>
    <w:rsid w:val="00883A7A"/>
    <w:rsid w:val="008A6A26"/>
    <w:rsid w:val="008B71A3"/>
    <w:rsid w:val="009067DC"/>
    <w:rsid w:val="00913CF8"/>
    <w:rsid w:val="00915184"/>
    <w:rsid w:val="00917B33"/>
    <w:rsid w:val="00923EA3"/>
    <w:rsid w:val="009456F8"/>
    <w:rsid w:val="009667A3"/>
    <w:rsid w:val="009A4461"/>
    <w:rsid w:val="009A7143"/>
    <w:rsid w:val="009C345C"/>
    <w:rsid w:val="009E72AE"/>
    <w:rsid w:val="00A6292D"/>
    <w:rsid w:val="00A7176B"/>
    <w:rsid w:val="00AB1CF6"/>
    <w:rsid w:val="00AD01C9"/>
    <w:rsid w:val="00AF2394"/>
    <w:rsid w:val="00B14A39"/>
    <w:rsid w:val="00B6374C"/>
    <w:rsid w:val="00C13B4B"/>
    <w:rsid w:val="00C5354B"/>
    <w:rsid w:val="00CA1E0A"/>
    <w:rsid w:val="00CA250F"/>
    <w:rsid w:val="00CB2155"/>
    <w:rsid w:val="00CD23A4"/>
    <w:rsid w:val="00D31094"/>
    <w:rsid w:val="00D6190C"/>
    <w:rsid w:val="00D85361"/>
    <w:rsid w:val="00DB7235"/>
    <w:rsid w:val="00E4348B"/>
    <w:rsid w:val="00E57592"/>
    <w:rsid w:val="00E604A8"/>
    <w:rsid w:val="00E8361C"/>
    <w:rsid w:val="00E86CCC"/>
    <w:rsid w:val="00EB61CE"/>
    <w:rsid w:val="00EC4C5D"/>
    <w:rsid w:val="00ED5B9E"/>
    <w:rsid w:val="00ED6518"/>
    <w:rsid w:val="00F37CA0"/>
    <w:rsid w:val="00F669FB"/>
    <w:rsid w:val="00F66BD2"/>
    <w:rsid w:val="00F81AF8"/>
    <w:rsid w:val="00FB16B2"/>
    <w:rsid w:val="00FC7437"/>
    <w:rsid w:val="00FD4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281C4"/>
  <w15:chartTrackingRefBased/>
  <w15:docId w15:val="{8F5733A7-89A1-41D8-9377-68351971D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F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F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F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F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F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F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F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F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F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F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FAA"/>
    <w:rPr>
      <w:rFonts w:eastAsiaTheme="majorEastAsia" w:cstheme="majorBidi"/>
      <w:color w:val="272727" w:themeColor="text1" w:themeTint="D8"/>
    </w:rPr>
  </w:style>
  <w:style w:type="paragraph" w:styleId="Title">
    <w:name w:val="Title"/>
    <w:basedOn w:val="Normal"/>
    <w:next w:val="Normal"/>
    <w:link w:val="TitleChar"/>
    <w:uiPriority w:val="10"/>
    <w:qFormat/>
    <w:rsid w:val="00736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FAA"/>
    <w:pPr>
      <w:spacing w:before="160"/>
      <w:jc w:val="center"/>
    </w:pPr>
    <w:rPr>
      <w:i/>
      <w:iCs/>
      <w:color w:val="404040" w:themeColor="text1" w:themeTint="BF"/>
    </w:rPr>
  </w:style>
  <w:style w:type="character" w:customStyle="1" w:styleId="QuoteChar">
    <w:name w:val="Quote Char"/>
    <w:basedOn w:val="DefaultParagraphFont"/>
    <w:link w:val="Quote"/>
    <w:uiPriority w:val="29"/>
    <w:rsid w:val="00736FAA"/>
    <w:rPr>
      <w:i/>
      <w:iCs/>
      <w:color w:val="404040" w:themeColor="text1" w:themeTint="BF"/>
    </w:rPr>
  </w:style>
  <w:style w:type="paragraph" w:styleId="ListParagraph">
    <w:name w:val="List Paragraph"/>
    <w:basedOn w:val="Normal"/>
    <w:uiPriority w:val="34"/>
    <w:qFormat/>
    <w:rsid w:val="00736FAA"/>
    <w:pPr>
      <w:ind w:left="720"/>
      <w:contextualSpacing/>
    </w:pPr>
  </w:style>
  <w:style w:type="character" w:styleId="IntenseEmphasis">
    <w:name w:val="Intense Emphasis"/>
    <w:basedOn w:val="DefaultParagraphFont"/>
    <w:uiPriority w:val="21"/>
    <w:qFormat/>
    <w:rsid w:val="00736FAA"/>
    <w:rPr>
      <w:i/>
      <w:iCs/>
      <w:color w:val="0F4761" w:themeColor="accent1" w:themeShade="BF"/>
    </w:rPr>
  </w:style>
  <w:style w:type="paragraph" w:styleId="IntenseQuote">
    <w:name w:val="Intense Quote"/>
    <w:basedOn w:val="Normal"/>
    <w:next w:val="Normal"/>
    <w:link w:val="IntenseQuoteChar"/>
    <w:uiPriority w:val="30"/>
    <w:qFormat/>
    <w:rsid w:val="00736F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FAA"/>
    <w:rPr>
      <w:i/>
      <w:iCs/>
      <w:color w:val="0F4761" w:themeColor="accent1" w:themeShade="BF"/>
    </w:rPr>
  </w:style>
  <w:style w:type="character" w:styleId="IntenseReference">
    <w:name w:val="Intense Reference"/>
    <w:basedOn w:val="DefaultParagraphFont"/>
    <w:uiPriority w:val="32"/>
    <w:qFormat/>
    <w:rsid w:val="00736FAA"/>
    <w:rPr>
      <w:b/>
      <w:bCs/>
      <w:smallCaps/>
      <w:color w:val="0F4761" w:themeColor="accent1" w:themeShade="BF"/>
      <w:spacing w:val="5"/>
    </w:rPr>
  </w:style>
  <w:style w:type="character" w:styleId="Hyperlink">
    <w:name w:val="Hyperlink"/>
    <w:basedOn w:val="DefaultParagraphFont"/>
    <w:uiPriority w:val="99"/>
    <w:unhideWhenUsed/>
    <w:rsid w:val="004F574C"/>
    <w:rPr>
      <w:color w:val="467886" w:themeColor="hyperlink"/>
      <w:u w:val="single"/>
    </w:rPr>
  </w:style>
  <w:style w:type="character" w:styleId="UnresolvedMention">
    <w:name w:val="Unresolved Mention"/>
    <w:basedOn w:val="DefaultParagraphFont"/>
    <w:uiPriority w:val="99"/>
    <w:semiHidden/>
    <w:unhideWhenUsed/>
    <w:rsid w:val="004F5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d.2024.08.193" TargetMode="External"/><Relationship Id="rId13" Type="http://schemas.openxmlformats.org/officeDocument/2006/relationships/hyperlink" Target="https://doi.org/10.1080/02673843.2019.1590851" TargetMode="External"/><Relationship Id="rId18" Type="http://schemas.openxmlformats.org/officeDocument/2006/relationships/hyperlink" Target="https://doi.org/10.1038/s41562-018-0506-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16/j.copsyc.2021.08.017" TargetMode="External"/><Relationship Id="rId7" Type="http://schemas.openxmlformats.org/officeDocument/2006/relationships/image" Target="media/image1.jpg"/><Relationship Id="rId12" Type="http://schemas.openxmlformats.org/officeDocument/2006/relationships/hyperlink" Target="https://doi.org/10.3390/soc13110238" TargetMode="External"/><Relationship Id="rId17" Type="http://schemas.openxmlformats.org/officeDocument/2006/relationships/hyperlink" Target="https://www.ofcom.org.uk/media-use-and-attitudes/media-habits-children/children-and-parents-media-use-and-attitudes-report-2025"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mc.org.uk/code" TargetMode="External"/><Relationship Id="rId20" Type="http://schemas.openxmlformats.org/officeDocument/2006/relationships/hyperlink" Target="https://doi.org/10.1080/00049530.2021.18989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42761-024-00240-6" TargetMode="External"/><Relationship Id="rId24" Type="http://schemas.openxmlformats.org/officeDocument/2006/relationships/hyperlink" Target="https://www.who.int/europe/publications/i/item/WHO-EURO-2025-12187-51959-79685" TargetMode="External"/><Relationship Id="rId5" Type="http://schemas.openxmlformats.org/officeDocument/2006/relationships/footnotes" Target="footnotes.xml"/><Relationship Id="rId15" Type="http://schemas.openxmlformats.org/officeDocument/2006/relationships/hyperlink" Target="https://www.nice.org.uk/guidance/ng223" TargetMode="External"/><Relationship Id="rId23" Type="http://schemas.openxmlformats.org/officeDocument/2006/relationships/hyperlink" Target="https://www.who.int/news-room/fact-sheets/detail/adolescent-mental-health" TargetMode="External"/><Relationship Id="rId10" Type="http://schemas.openxmlformats.org/officeDocument/2006/relationships/hyperlink" Target="https://doi.org/10.5195/jcycw.2015.81" TargetMode="External"/><Relationship Id="rId19" Type="http://schemas.openxmlformats.org/officeDocument/2006/relationships/hyperlink" Target="https://www.rsph.org.uk/our-work/publications/statusofmind/" TargetMode="External"/><Relationship Id="rId4" Type="http://schemas.openxmlformats.org/officeDocument/2006/relationships/webSettings" Target="webSettings.xml"/><Relationship Id="rId9" Type="http://schemas.openxmlformats.org/officeDocument/2006/relationships/hyperlink" Target="https://doi.org/10.1007/s40894-024-00251-1" TargetMode="External"/><Relationship Id="rId14" Type="http://schemas.openxmlformats.org/officeDocument/2006/relationships/hyperlink" Target="https://doi.org/10.3390/children5070098" TargetMode="External"/><Relationship Id="rId22" Type="http://schemas.openxmlformats.org/officeDocument/2006/relationships/hyperlink" Target="https://www.who.int/europe/news/item/25-09-2024-teens--screens-and-mental-health"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2453</TotalTime>
  <Pages>1</Pages>
  <Words>2760</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Discuss the Impact of Social Media on Mental Health in Adolescence</vt:lpstr>
    </vt:vector>
  </TitlesOfParts>
  <Company/>
  <LinksUpToDate>false</LinksUpToDate>
  <CharactersWithSpaces>18462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Impact of Social Media on Mental Health in Adolescence</dc:title>
  <dc:subject>Voice-preserved revision using Erikson’s Psychosocial Theory and Resilience Theory</dc:subject>
  <dc:creator>Donna Keise Keise</dc:creator>
  <cp:keywords/>
  <dc:description/>
  <cp:lastModifiedBy>gillian gibbs</cp:lastModifiedBy>
  <cp:revision>77</cp:revision>
  <dcterms:created xsi:type="dcterms:W3CDTF">2026-08-15T19:28:00Z</dcterms:created>
  <dcterms:modified xsi:type="dcterms:W3CDTF">2026-08-17T12:21:00Z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4a55b103-ee49-425e-bf8c-eeb33cbaa4bb</vt:lpwstr>
  </property>
</Properties>
</file>