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F3053" w:rsidRDefault="006F3053" w:rsidP="00521BCB">
      <w:pPr>
        <w:pStyle w:val="NoSpacing"/>
      </w:pPr>
    </w:p>
    <w:p w14:paraId="00000002" w14:textId="77777777" w:rsidR="006F3053" w:rsidRDefault="006F3053">
      <w:pPr>
        <w:spacing w:line="360" w:lineRule="auto"/>
        <w:rPr>
          <w:rFonts w:ascii="Times New Roman" w:eastAsia="Times New Roman" w:hAnsi="Times New Roman" w:cs="Times New Roman"/>
          <w:b/>
          <w:sz w:val="72"/>
          <w:szCs w:val="72"/>
        </w:rPr>
      </w:pPr>
    </w:p>
    <w:p w14:paraId="00000003" w14:textId="77777777" w:rsidR="006F3053" w:rsidRPr="00521BCB" w:rsidRDefault="00000000">
      <w:pPr>
        <w:spacing w:line="360" w:lineRule="auto"/>
        <w:jc w:val="center"/>
        <w:rPr>
          <w:rFonts w:ascii="Times New Roman" w:eastAsia="Times New Roman" w:hAnsi="Times New Roman" w:cs="Times New Roman"/>
          <w:b/>
          <w:sz w:val="52"/>
          <w:szCs w:val="52"/>
          <w:u w:val="single"/>
        </w:rPr>
      </w:pPr>
      <w:r w:rsidRPr="00521BCB">
        <w:rPr>
          <w:rFonts w:ascii="Times New Roman" w:eastAsia="Times New Roman" w:hAnsi="Times New Roman" w:cs="Times New Roman"/>
          <w:b/>
          <w:sz w:val="52"/>
          <w:szCs w:val="52"/>
          <w:u w:val="single"/>
        </w:rPr>
        <w:t>HRM</w:t>
      </w:r>
    </w:p>
    <w:p w14:paraId="00000004" w14:textId="77777777" w:rsidR="006F3053" w:rsidRPr="00521BCB" w:rsidRDefault="00000000">
      <w:pPr>
        <w:spacing w:line="360" w:lineRule="auto"/>
        <w:jc w:val="center"/>
        <w:rPr>
          <w:rFonts w:ascii="Times New Roman" w:eastAsia="Times New Roman" w:hAnsi="Times New Roman" w:cs="Times New Roman"/>
          <w:b/>
          <w:sz w:val="52"/>
          <w:szCs w:val="52"/>
        </w:rPr>
      </w:pPr>
      <w:r w:rsidRPr="00521BCB">
        <w:rPr>
          <w:rFonts w:ascii="Times New Roman" w:eastAsia="Times New Roman" w:hAnsi="Times New Roman" w:cs="Times New Roman"/>
          <w:b/>
          <w:sz w:val="52"/>
          <w:szCs w:val="52"/>
        </w:rPr>
        <w:t>LABOR MARKET UK</w:t>
      </w:r>
    </w:p>
    <w:p w14:paraId="00000005" w14:textId="77777777" w:rsidR="006F3053" w:rsidRPr="00521BCB" w:rsidRDefault="00000000">
      <w:pPr>
        <w:spacing w:line="360" w:lineRule="auto"/>
        <w:jc w:val="center"/>
        <w:rPr>
          <w:rFonts w:ascii="Times New Roman" w:eastAsia="Times New Roman" w:hAnsi="Times New Roman" w:cs="Times New Roman"/>
          <w:b/>
          <w:sz w:val="52"/>
          <w:szCs w:val="52"/>
        </w:rPr>
      </w:pPr>
      <w:r w:rsidRPr="00521BCB">
        <w:rPr>
          <w:rFonts w:ascii="Times New Roman" w:eastAsia="Times New Roman" w:hAnsi="Times New Roman" w:cs="Times New Roman"/>
          <w:b/>
          <w:sz w:val="52"/>
          <w:szCs w:val="52"/>
        </w:rPr>
        <w:t>(Current Trends)</w:t>
      </w:r>
    </w:p>
    <w:p w14:paraId="00000006" w14:textId="77777777" w:rsidR="006F3053" w:rsidRDefault="006F3053">
      <w:pPr>
        <w:spacing w:line="360" w:lineRule="auto"/>
        <w:rPr>
          <w:rFonts w:ascii="Times New Roman" w:eastAsia="Times New Roman" w:hAnsi="Times New Roman" w:cs="Times New Roman"/>
          <w:b/>
          <w:sz w:val="24"/>
          <w:szCs w:val="24"/>
        </w:rPr>
      </w:pPr>
    </w:p>
    <w:p w14:paraId="00000007" w14:textId="77777777" w:rsidR="006F3053" w:rsidRDefault="006F3053">
      <w:pPr>
        <w:spacing w:line="360" w:lineRule="auto"/>
        <w:rPr>
          <w:rFonts w:ascii="Times New Roman" w:eastAsia="Times New Roman" w:hAnsi="Times New Roman" w:cs="Times New Roman"/>
          <w:b/>
          <w:sz w:val="24"/>
          <w:szCs w:val="24"/>
        </w:rPr>
      </w:pPr>
    </w:p>
    <w:p w14:paraId="00000008" w14:textId="77777777" w:rsidR="006F3053" w:rsidRDefault="006F3053">
      <w:pPr>
        <w:spacing w:line="360" w:lineRule="auto"/>
        <w:rPr>
          <w:rFonts w:ascii="Times New Roman" w:eastAsia="Times New Roman" w:hAnsi="Times New Roman" w:cs="Times New Roman"/>
          <w:b/>
          <w:sz w:val="24"/>
          <w:szCs w:val="24"/>
        </w:rPr>
      </w:pPr>
    </w:p>
    <w:p w14:paraId="00000009" w14:textId="77777777" w:rsidR="006F3053" w:rsidRDefault="006F3053">
      <w:pPr>
        <w:spacing w:line="360" w:lineRule="auto"/>
        <w:rPr>
          <w:rFonts w:ascii="Times New Roman" w:eastAsia="Times New Roman" w:hAnsi="Times New Roman" w:cs="Times New Roman"/>
          <w:b/>
          <w:sz w:val="24"/>
          <w:szCs w:val="24"/>
        </w:rPr>
      </w:pPr>
    </w:p>
    <w:p w14:paraId="0000000A" w14:textId="77777777" w:rsidR="006F3053" w:rsidRDefault="006F3053">
      <w:pPr>
        <w:spacing w:line="360" w:lineRule="auto"/>
        <w:rPr>
          <w:rFonts w:ascii="Times New Roman" w:eastAsia="Times New Roman" w:hAnsi="Times New Roman" w:cs="Times New Roman"/>
          <w:b/>
          <w:sz w:val="24"/>
          <w:szCs w:val="24"/>
        </w:rPr>
      </w:pPr>
    </w:p>
    <w:p w14:paraId="0000000B" w14:textId="77777777" w:rsidR="006F3053" w:rsidRDefault="006F3053">
      <w:pPr>
        <w:spacing w:line="360" w:lineRule="auto"/>
        <w:rPr>
          <w:rFonts w:ascii="Times New Roman" w:eastAsia="Times New Roman" w:hAnsi="Times New Roman" w:cs="Times New Roman"/>
          <w:b/>
          <w:sz w:val="24"/>
          <w:szCs w:val="24"/>
        </w:rPr>
      </w:pPr>
    </w:p>
    <w:p w14:paraId="0000000C" w14:textId="77777777" w:rsidR="006F3053" w:rsidRDefault="006F3053">
      <w:pPr>
        <w:spacing w:line="360" w:lineRule="auto"/>
        <w:rPr>
          <w:rFonts w:ascii="Times New Roman" w:eastAsia="Times New Roman" w:hAnsi="Times New Roman" w:cs="Times New Roman"/>
          <w:b/>
          <w:sz w:val="24"/>
          <w:szCs w:val="24"/>
        </w:rPr>
      </w:pPr>
    </w:p>
    <w:p w14:paraId="0000000D" w14:textId="77777777" w:rsidR="006F3053" w:rsidRDefault="006F3053">
      <w:pPr>
        <w:spacing w:line="360" w:lineRule="auto"/>
        <w:rPr>
          <w:rFonts w:ascii="Times New Roman" w:eastAsia="Times New Roman" w:hAnsi="Times New Roman" w:cs="Times New Roman"/>
          <w:b/>
          <w:sz w:val="24"/>
          <w:szCs w:val="24"/>
        </w:rPr>
      </w:pPr>
    </w:p>
    <w:p w14:paraId="0000000E" w14:textId="77777777" w:rsidR="006F3053" w:rsidRDefault="006F3053">
      <w:pPr>
        <w:spacing w:line="360" w:lineRule="auto"/>
        <w:rPr>
          <w:rFonts w:ascii="Times New Roman" w:eastAsia="Times New Roman" w:hAnsi="Times New Roman" w:cs="Times New Roman"/>
          <w:b/>
          <w:sz w:val="24"/>
          <w:szCs w:val="24"/>
        </w:rPr>
      </w:pPr>
    </w:p>
    <w:p w14:paraId="0000000F" w14:textId="77777777" w:rsidR="006F3053" w:rsidRDefault="00000000">
      <w:pPr>
        <w:spacing w:line="360" w:lineRule="auto"/>
        <w:rPr>
          <w:rFonts w:ascii="Times New Roman" w:eastAsia="Times New Roman" w:hAnsi="Times New Roman" w:cs="Times New Roman"/>
          <w:sz w:val="28"/>
          <w:szCs w:val="28"/>
        </w:rPr>
      </w:pPr>
      <w:r>
        <w:rPr>
          <w:rFonts w:ascii="Times New Roman" w:eastAsia="Times New Roman" w:hAnsi="Times New Roman" w:cs="Times New Roman"/>
          <w:b/>
          <w:sz w:val="28"/>
          <w:szCs w:val="28"/>
        </w:rPr>
        <w:t xml:space="preserve">Student Name: </w:t>
      </w:r>
      <w:r>
        <w:rPr>
          <w:rFonts w:ascii="Times New Roman" w:eastAsia="Times New Roman" w:hAnsi="Times New Roman" w:cs="Times New Roman"/>
          <w:sz w:val="28"/>
          <w:szCs w:val="28"/>
        </w:rPr>
        <w:t>Kalpesh Kumar Manilal Prajapati</w:t>
      </w:r>
    </w:p>
    <w:p w14:paraId="00000010" w14:textId="77777777" w:rsidR="006F3053"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8"/>
          <w:szCs w:val="28"/>
        </w:rPr>
        <w:t xml:space="preserve">Student ID: </w:t>
      </w:r>
      <w:r>
        <w:rPr>
          <w:rFonts w:ascii="Times New Roman" w:eastAsia="Times New Roman" w:hAnsi="Times New Roman" w:cs="Times New Roman"/>
          <w:sz w:val="28"/>
          <w:szCs w:val="28"/>
        </w:rPr>
        <w:t>2212573</w:t>
      </w:r>
      <w:r>
        <w:br w:type="page"/>
      </w:r>
    </w:p>
    <w:sdt>
      <w:sdtPr>
        <w:id w:val="-509523904"/>
        <w:docPartObj>
          <w:docPartGallery w:val="Table of Contents"/>
          <w:docPartUnique/>
        </w:docPartObj>
      </w:sdtPr>
      <w:sdtEndPr>
        <w:rPr>
          <w:rFonts w:ascii="Arial" w:eastAsia="Arial" w:hAnsi="Arial" w:cs="Arial"/>
          <w:b/>
          <w:bCs/>
          <w:noProof/>
          <w:color w:val="auto"/>
          <w:sz w:val="22"/>
          <w:szCs w:val="22"/>
          <w:lang w:val="en" w:eastAsia="en-IN"/>
        </w:rPr>
      </w:sdtEndPr>
      <w:sdtContent>
        <w:p w14:paraId="23017C38" w14:textId="2D4DAFAD" w:rsidR="00521BCB" w:rsidRDefault="00521BCB">
          <w:pPr>
            <w:pStyle w:val="TOCHeading"/>
          </w:pPr>
          <w:r>
            <w:t>Table of Contents</w:t>
          </w:r>
        </w:p>
        <w:p w14:paraId="6D07900C" w14:textId="43597B7C" w:rsidR="00521BCB" w:rsidRPr="00521BCB" w:rsidRDefault="00521BCB">
          <w:pPr>
            <w:pStyle w:val="TOC1"/>
            <w:tabs>
              <w:tab w:val="right" w:leader="dot" w:pos="9350"/>
            </w:tabs>
            <w:rPr>
              <w:noProof/>
            </w:rPr>
          </w:pPr>
          <w:r>
            <w:fldChar w:fldCharType="begin"/>
          </w:r>
          <w:r>
            <w:instrText xml:space="preserve"> TOC \o "1-3" \h \z \u </w:instrText>
          </w:r>
          <w:r>
            <w:fldChar w:fldCharType="separate"/>
          </w:r>
          <w:hyperlink w:anchor="_Toc123723047" w:history="1">
            <w:r w:rsidRPr="00521BCB">
              <w:rPr>
                <w:rStyle w:val="Hyperlink"/>
                <w:rFonts w:ascii="Times New Roman" w:hAnsi="Times New Roman" w:cs="Times New Roman"/>
                <w:noProof/>
              </w:rPr>
              <w:t>Current State of Labor Market in UK</w:t>
            </w:r>
            <w:r w:rsidRPr="00521BCB">
              <w:rPr>
                <w:noProof/>
                <w:webHidden/>
              </w:rPr>
              <w:tab/>
            </w:r>
            <w:r w:rsidRPr="00521BCB">
              <w:rPr>
                <w:noProof/>
                <w:webHidden/>
              </w:rPr>
              <w:fldChar w:fldCharType="begin"/>
            </w:r>
            <w:r w:rsidRPr="00521BCB">
              <w:rPr>
                <w:noProof/>
                <w:webHidden/>
              </w:rPr>
              <w:instrText xml:space="preserve"> PAGEREF _Toc123723047 \h </w:instrText>
            </w:r>
            <w:r w:rsidRPr="00521BCB">
              <w:rPr>
                <w:noProof/>
                <w:webHidden/>
              </w:rPr>
            </w:r>
            <w:r w:rsidRPr="00521BCB">
              <w:rPr>
                <w:noProof/>
                <w:webHidden/>
              </w:rPr>
              <w:fldChar w:fldCharType="separate"/>
            </w:r>
            <w:r w:rsidRPr="00521BCB">
              <w:rPr>
                <w:noProof/>
                <w:webHidden/>
              </w:rPr>
              <w:t>3</w:t>
            </w:r>
            <w:r w:rsidRPr="00521BCB">
              <w:rPr>
                <w:noProof/>
                <w:webHidden/>
              </w:rPr>
              <w:fldChar w:fldCharType="end"/>
            </w:r>
          </w:hyperlink>
        </w:p>
        <w:p w14:paraId="562E1298" w14:textId="7578C508" w:rsidR="00521BCB" w:rsidRPr="00521BCB" w:rsidRDefault="00521BCB">
          <w:pPr>
            <w:pStyle w:val="TOC1"/>
            <w:tabs>
              <w:tab w:val="right" w:leader="dot" w:pos="9350"/>
            </w:tabs>
            <w:rPr>
              <w:noProof/>
            </w:rPr>
          </w:pPr>
          <w:hyperlink w:anchor="_Toc123723048" w:history="1">
            <w:r w:rsidRPr="00521BCB">
              <w:rPr>
                <w:rStyle w:val="Hyperlink"/>
                <w:rFonts w:ascii="Times New Roman" w:hAnsi="Times New Roman" w:cs="Times New Roman"/>
                <w:noProof/>
              </w:rPr>
              <w:t>Emerging Changes in Human Resourcing Strategies in Post COVID, post Brexit External Environment</w:t>
            </w:r>
            <w:r w:rsidRPr="00521BCB">
              <w:rPr>
                <w:noProof/>
                <w:webHidden/>
              </w:rPr>
              <w:tab/>
            </w:r>
            <w:r w:rsidRPr="00521BCB">
              <w:rPr>
                <w:noProof/>
                <w:webHidden/>
              </w:rPr>
              <w:fldChar w:fldCharType="begin"/>
            </w:r>
            <w:r w:rsidRPr="00521BCB">
              <w:rPr>
                <w:noProof/>
                <w:webHidden/>
              </w:rPr>
              <w:instrText xml:space="preserve"> PAGEREF _Toc123723048 \h </w:instrText>
            </w:r>
            <w:r w:rsidRPr="00521BCB">
              <w:rPr>
                <w:noProof/>
                <w:webHidden/>
              </w:rPr>
            </w:r>
            <w:r w:rsidRPr="00521BCB">
              <w:rPr>
                <w:noProof/>
                <w:webHidden/>
              </w:rPr>
              <w:fldChar w:fldCharType="separate"/>
            </w:r>
            <w:r w:rsidRPr="00521BCB">
              <w:rPr>
                <w:noProof/>
                <w:webHidden/>
              </w:rPr>
              <w:t>4</w:t>
            </w:r>
            <w:r w:rsidRPr="00521BCB">
              <w:rPr>
                <w:noProof/>
                <w:webHidden/>
              </w:rPr>
              <w:fldChar w:fldCharType="end"/>
            </w:r>
          </w:hyperlink>
        </w:p>
        <w:p w14:paraId="408C4356" w14:textId="5D587780" w:rsidR="00521BCB" w:rsidRPr="00521BCB" w:rsidRDefault="00521BCB">
          <w:pPr>
            <w:pStyle w:val="TOC2"/>
            <w:tabs>
              <w:tab w:val="right" w:leader="dot" w:pos="9350"/>
            </w:tabs>
            <w:rPr>
              <w:noProof/>
            </w:rPr>
          </w:pPr>
          <w:hyperlink w:anchor="_Toc123723049" w:history="1">
            <w:r w:rsidRPr="00521BCB">
              <w:rPr>
                <w:rStyle w:val="Hyperlink"/>
                <w:rFonts w:ascii="Times New Roman" w:hAnsi="Times New Roman" w:cs="Times New Roman"/>
                <w:noProof/>
              </w:rPr>
              <w:t>Employment</w:t>
            </w:r>
            <w:r w:rsidRPr="00521BCB">
              <w:rPr>
                <w:noProof/>
                <w:webHidden/>
              </w:rPr>
              <w:tab/>
            </w:r>
            <w:r w:rsidRPr="00521BCB">
              <w:rPr>
                <w:noProof/>
                <w:webHidden/>
              </w:rPr>
              <w:fldChar w:fldCharType="begin"/>
            </w:r>
            <w:r w:rsidRPr="00521BCB">
              <w:rPr>
                <w:noProof/>
                <w:webHidden/>
              </w:rPr>
              <w:instrText xml:space="preserve"> PAGEREF _Toc123723049 \h </w:instrText>
            </w:r>
            <w:r w:rsidRPr="00521BCB">
              <w:rPr>
                <w:noProof/>
                <w:webHidden/>
              </w:rPr>
            </w:r>
            <w:r w:rsidRPr="00521BCB">
              <w:rPr>
                <w:noProof/>
                <w:webHidden/>
              </w:rPr>
              <w:fldChar w:fldCharType="separate"/>
            </w:r>
            <w:r w:rsidRPr="00521BCB">
              <w:rPr>
                <w:noProof/>
                <w:webHidden/>
              </w:rPr>
              <w:t>5</w:t>
            </w:r>
            <w:r w:rsidRPr="00521BCB">
              <w:rPr>
                <w:noProof/>
                <w:webHidden/>
              </w:rPr>
              <w:fldChar w:fldCharType="end"/>
            </w:r>
          </w:hyperlink>
        </w:p>
        <w:p w14:paraId="60000638" w14:textId="5A0CB51F" w:rsidR="00521BCB" w:rsidRPr="00521BCB" w:rsidRDefault="00521BCB">
          <w:pPr>
            <w:pStyle w:val="TOC1"/>
            <w:tabs>
              <w:tab w:val="right" w:leader="dot" w:pos="9350"/>
            </w:tabs>
            <w:rPr>
              <w:noProof/>
            </w:rPr>
          </w:pPr>
          <w:hyperlink w:anchor="_Toc123723050" w:history="1">
            <w:r w:rsidRPr="00521BCB">
              <w:rPr>
                <w:rStyle w:val="Hyperlink"/>
                <w:rFonts w:ascii="Times New Roman" w:hAnsi="Times New Roman" w:cs="Times New Roman"/>
                <w:noProof/>
              </w:rPr>
              <w:t>References</w:t>
            </w:r>
            <w:r w:rsidRPr="00521BCB">
              <w:rPr>
                <w:noProof/>
                <w:webHidden/>
              </w:rPr>
              <w:tab/>
            </w:r>
            <w:r w:rsidRPr="00521BCB">
              <w:rPr>
                <w:noProof/>
                <w:webHidden/>
              </w:rPr>
              <w:fldChar w:fldCharType="begin"/>
            </w:r>
            <w:r w:rsidRPr="00521BCB">
              <w:rPr>
                <w:noProof/>
                <w:webHidden/>
              </w:rPr>
              <w:instrText xml:space="preserve"> PAGEREF _Toc123723050 \h </w:instrText>
            </w:r>
            <w:r w:rsidRPr="00521BCB">
              <w:rPr>
                <w:noProof/>
                <w:webHidden/>
              </w:rPr>
            </w:r>
            <w:r w:rsidRPr="00521BCB">
              <w:rPr>
                <w:noProof/>
                <w:webHidden/>
              </w:rPr>
              <w:fldChar w:fldCharType="separate"/>
            </w:r>
            <w:r w:rsidRPr="00521BCB">
              <w:rPr>
                <w:noProof/>
                <w:webHidden/>
              </w:rPr>
              <w:t>10</w:t>
            </w:r>
            <w:r w:rsidRPr="00521BCB">
              <w:rPr>
                <w:noProof/>
                <w:webHidden/>
              </w:rPr>
              <w:fldChar w:fldCharType="end"/>
            </w:r>
          </w:hyperlink>
        </w:p>
        <w:p w14:paraId="0B072D0B" w14:textId="348D56F4" w:rsidR="00521BCB" w:rsidRDefault="00521BCB">
          <w:r>
            <w:rPr>
              <w:b/>
              <w:bCs/>
              <w:noProof/>
            </w:rPr>
            <w:fldChar w:fldCharType="end"/>
          </w:r>
        </w:p>
      </w:sdtContent>
    </w:sdt>
    <w:p w14:paraId="39CCBD92" w14:textId="77777777" w:rsidR="00521BCB" w:rsidRDefault="00521BCB">
      <w:pPr>
        <w:rPr>
          <w:rFonts w:ascii="Times New Roman" w:hAnsi="Times New Roman" w:cs="Times New Roman"/>
          <w:b/>
          <w:bCs/>
          <w:sz w:val="24"/>
          <w:szCs w:val="24"/>
        </w:rPr>
      </w:pPr>
      <w:r>
        <w:rPr>
          <w:rFonts w:ascii="Times New Roman" w:hAnsi="Times New Roman" w:cs="Times New Roman"/>
          <w:b/>
          <w:bCs/>
          <w:sz w:val="24"/>
          <w:szCs w:val="24"/>
        </w:rPr>
        <w:br w:type="page"/>
      </w:r>
    </w:p>
    <w:p w14:paraId="00000011" w14:textId="67A18088" w:rsidR="006F3053" w:rsidRPr="00521BCB" w:rsidRDefault="00000000" w:rsidP="00521BCB">
      <w:pPr>
        <w:pStyle w:val="Heading1"/>
        <w:spacing w:line="360" w:lineRule="auto"/>
        <w:rPr>
          <w:rFonts w:ascii="Times New Roman" w:hAnsi="Times New Roman" w:cs="Times New Roman"/>
          <w:b/>
          <w:bCs/>
          <w:sz w:val="24"/>
          <w:szCs w:val="24"/>
        </w:rPr>
      </w:pPr>
      <w:bookmarkStart w:id="0" w:name="_Toc123723047"/>
      <w:r w:rsidRPr="00521BCB">
        <w:rPr>
          <w:rFonts w:ascii="Times New Roman" w:hAnsi="Times New Roman" w:cs="Times New Roman"/>
          <w:b/>
          <w:bCs/>
          <w:sz w:val="24"/>
          <w:szCs w:val="24"/>
        </w:rPr>
        <w:lastRenderedPageBreak/>
        <w:t>Current State of Labor Market in UK</w:t>
      </w:r>
      <w:bookmarkEnd w:id="0"/>
    </w:p>
    <w:p w14:paraId="00000012" w14:textId="5806239E" w:rsidR="006F3053" w:rsidRDefault="008B0539">
      <w:pPr>
        <w:spacing w:line="360" w:lineRule="auto"/>
        <w:rPr>
          <w:rFonts w:ascii="Times New Roman" w:eastAsia="Times New Roman" w:hAnsi="Times New Roman" w:cs="Times New Roman"/>
          <w:sz w:val="24"/>
          <w:szCs w:val="24"/>
        </w:rPr>
      </w:pPr>
      <w:r w:rsidRPr="008B0539">
        <w:rPr>
          <w:rFonts w:ascii="Times New Roman" w:eastAsia="Times New Roman" w:hAnsi="Times New Roman" w:cs="Times New Roman"/>
          <w:sz w:val="24"/>
          <w:szCs w:val="24"/>
        </w:rPr>
        <w:t>The UK labor participation rate from June to August 2022 was 75.5%, a slight decrease from the previous quarter (Spring to May 2022), which had seen an increase in business activity compared to earlier periods.</w:t>
      </w:r>
      <w:r>
        <w:rPr>
          <w:rFonts w:ascii="Times New Roman" w:eastAsia="Times New Roman" w:hAnsi="Times New Roman" w:cs="Times New Roman"/>
          <w:sz w:val="24"/>
          <w:szCs w:val="24"/>
        </w:rPr>
        <w:t xml:space="preserve"> On a quarterly basis, fewer people were used, while more people were working autonomously. In comparison to before the epidemic, the work rate is close to 1.0 rate.</w:t>
      </w:r>
    </w:p>
    <w:p w14:paraId="00000013" w14:textId="19D62876"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recent projections indicate that there would be a record 29.7 million paid representatives in September 2022, an increase of 69,000 above the updated August 2022 projections. </w:t>
      </w:r>
      <w:r w:rsidR="00B413A3" w:rsidRPr="00B413A3">
        <w:rPr>
          <w:rFonts w:ascii="Times New Roman" w:eastAsia="Times New Roman" w:hAnsi="Times New Roman" w:cs="Times New Roman"/>
          <w:sz w:val="24"/>
          <w:szCs w:val="24"/>
        </w:rPr>
        <w:t xml:space="preserve">In the three months from June to August of 2022, the unemployment rate fell by 0.3%, bringing it to 3.5%. The number of individuals without work for less than a year, as well as more than a year decreased, while the amount of people unemployed for between six and twelve months rose to 25%. </w:t>
      </w:r>
      <w:r>
        <w:rPr>
          <w:rFonts w:ascii="Times New Roman" w:eastAsia="Times New Roman" w:hAnsi="Times New Roman" w:cs="Times New Roman"/>
          <w:sz w:val="24"/>
          <w:szCs w:val="24"/>
        </w:rPr>
        <w:t>(2022)</w:t>
      </w:r>
      <w:r w:rsidR="008B053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ratio of unemployed people to open positions reached a noteworthy low of 0.9 from June to August 2022. </w:t>
      </w:r>
    </w:p>
    <w:p w14:paraId="00000014"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rate of monetary idleness grew by 0.6 rate points to 21.7% as compared to the prior quarter (Walk to May 2022), which had a significantly lower rate of financial inertia than other quarters. In the most recent quarter, age groups 50 to 64 and 16 to 24 were mostly responsible for this development. Looking at monetary delay by reason, the quarter's increase was primarily caused by persons who couldn't work because of chronic illness or because they were enrolled in education. A record number of people are currently chronically ill and financially inactive. The normal number of opportunities decreased by 46,000 from July to September 2022, to 1,246,000; this is the most significant decrease since June to August 2020. Despite the fact that there are currently undeniable levels, the number of available positions has decreased numerous times in a row. (</w:t>
      </w:r>
      <w:proofErr w:type="spellStart"/>
      <w:r>
        <w:rPr>
          <w:rFonts w:ascii="Times New Roman" w:eastAsia="Times New Roman" w:hAnsi="Times New Roman" w:cs="Times New Roman"/>
          <w:i/>
          <w:sz w:val="24"/>
          <w:szCs w:val="24"/>
        </w:rPr>
        <w:t>Labour</w:t>
      </w:r>
      <w:proofErr w:type="spellEnd"/>
      <w:r>
        <w:rPr>
          <w:rFonts w:ascii="Times New Roman" w:eastAsia="Times New Roman" w:hAnsi="Times New Roman" w:cs="Times New Roman"/>
          <w:i/>
          <w:sz w:val="24"/>
          <w:szCs w:val="24"/>
        </w:rPr>
        <w:t xml:space="preserve"> market outlook: Surveys</w:t>
      </w:r>
      <w:r>
        <w:rPr>
          <w:rFonts w:ascii="Times New Roman" w:eastAsia="Times New Roman" w:hAnsi="Times New Roman" w:cs="Times New Roman"/>
          <w:sz w:val="24"/>
          <w:szCs w:val="24"/>
        </w:rPr>
        <w:t>)</w:t>
      </w:r>
    </w:p>
    <w:p w14:paraId="00000015"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Representatives' ordinary remuneration (excluding bonuses) increased by 5.4% from June to August 2022, while their usual absolute compensation (including bonuses) increased by 6.0%. The rate of normal compensating increase has not been as rapid since the Covid (Coronavirus) pandemic. The normal standard increase in remuneration in the secret sector was 6.2%, whereas it was 2.2% in the public area. This is the most significant development for the confidential sector and the widest gap between the private and public sectors seen since the pandemic's peak.</w:t>
      </w:r>
    </w:p>
    <w:p w14:paraId="00000016"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the year, absolute compensation fell by 2.4%, while standard pay fell by 2.9% in real terms (adapted to expansion).</w:t>
      </w:r>
    </w:p>
    <w:p w14:paraId="5B843521" w14:textId="33834C3A" w:rsidR="00B2330E"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is quite possibly the greatest drop in development since comparison data began in 2001, but it is far less severe than the record drop in genuine ordinary compensation we saw from April to June 2022 (3.0%). Insights into the labor market that measure various work and company indicators and deal data on the economy. (</w:t>
      </w:r>
      <w:proofErr w:type="spellStart"/>
      <w:r>
        <w:rPr>
          <w:rFonts w:ascii="Times New Roman" w:eastAsia="Times New Roman" w:hAnsi="Times New Roman" w:cs="Times New Roman"/>
          <w:i/>
          <w:sz w:val="24"/>
          <w:szCs w:val="24"/>
        </w:rPr>
        <w:t>Labour</w:t>
      </w:r>
      <w:proofErr w:type="spellEnd"/>
      <w:r>
        <w:rPr>
          <w:rFonts w:ascii="Times New Roman" w:eastAsia="Times New Roman" w:hAnsi="Times New Roman" w:cs="Times New Roman"/>
          <w:i/>
          <w:sz w:val="24"/>
          <w:szCs w:val="24"/>
        </w:rPr>
        <w:t xml:space="preserve"> market trends 2022</w:t>
      </w:r>
      <w:r>
        <w:rPr>
          <w:rFonts w:ascii="Times New Roman" w:eastAsia="Times New Roman" w:hAnsi="Times New Roman" w:cs="Times New Roman"/>
          <w:sz w:val="24"/>
          <w:szCs w:val="24"/>
        </w:rPr>
        <w:t xml:space="preserve">) The key ideas in the labor market and how they interact with one another are portrayed using a structure for labor market metrics. </w:t>
      </w:r>
      <w:r w:rsidR="00B2330E" w:rsidRPr="00B2330E">
        <w:rPr>
          <w:rFonts w:ascii="Times New Roman" w:eastAsia="Times New Roman" w:hAnsi="Times New Roman" w:cs="Times New Roman"/>
          <w:sz w:val="24"/>
          <w:szCs w:val="24"/>
        </w:rPr>
        <w:t xml:space="preserve">The foundation of this system is built upon two principles, namely "work supply" and "work interest," that when combined together can create an exhaustive view from both the employers' and employees' perspectives. This approach has long been in use and is highly regarded by institutions like the International </w:t>
      </w:r>
      <w:proofErr w:type="spellStart"/>
      <w:r w:rsidR="00B2330E" w:rsidRPr="00B2330E">
        <w:rPr>
          <w:rFonts w:ascii="Times New Roman" w:eastAsia="Times New Roman" w:hAnsi="Times New Roman" w:cs="Times New Roman"/>
          <w:sz w:val="24"/>
          <w:szCs w:val="24"/>
        </w:rPr>
        <w:t>Labour</w:t>
      </w:r>
      <w:proofErr w:type="spellEnd"/>
      <w:r w:rsidR="00B2330E" w:rsidRPr="00B2330E">
        <w:rPr>
          <w:rFonts w:ascii="Times New Roman" w:eastAsia="Times New Roman" w:hAnsi="Times New Roman" w:cs="Times New Roman"/>
          <w:sz w:val="24"/>
          <w:szCs w:val="24"/>
        </w:rPr>
        <w:t xml:space="preserve"> Organization (ILO). </w:t>
      </w:r>
    </w:p>
    <w:p w14:paraId="00000019" w14:textId="3F9CD460"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Employed Individuals as well as unemployed or financially inactive make up the labor supply. It is estimated using family overviews. Bosses who demand work and compensate (profit) specialists who complete it are examples of work interest. Business reviews are the most common method for determining job interest. Along with management information, compensation data from the two families and businesses is gathered for use in labor market assessments. As part of larger reform efforts, we have been attempting to locate and incorporate additional information sources, </w:t>
      </w:r>
      <w:r w:rsidR="009621B9" w:rsidRPr="009621B9">
        <w:rPr>
          <w:rFonts w:ascii="Times New Roman" w:eastAsia="Times New Roman" w:hAnsi="Times New Roman" w:cs="Times New Roman"/>
          <w:sz w:val="24"/>
          <w:szCs w:val="24"/>
        </w:rPr>
        <w:t xml:space="preserve">such as those from clandestine industries and government organizations. This is finished to give a quicker or perhaps a fuller picture of </w:t>
      </w:r>
      <w:r w:rsidR="009621B9">
        <w:rPr>
          <w:rFonts w:ascii="Times New Roman" w:eastAsia="Times New Roman" w:hAnsi="Times New Roman" w:cs="Times New Roman"/>
          <w:sz w:val="24"/>
          <w:szCs w:val="24"/>
        </w:rPr>
        <w:t>the</w:t>
      </w:r>
      <w:r w:rsidR="009621B9" w:rsidRPr="009621B9">
        <w:rPr>
          <w:rFonts w:ascii="Times New Roman" w:eastAsia="Times New Roman" w:hAnsi="Times New Roman" w:cs="Times New Roman"/>
          <w:sz w:val="24"/>
          <w:szCs w:val="24"/>
        </w:rPr>
        <w:t xml:space="preserve"> economy</w:t>
      </w:r>
      <w:r w:rsidR="009621B9">
        <w:rPr>
          <w:rFonts w:ascii="Times New Roman" w:eastAsia="Times New Roman" w:hAnsi="Times New Roman" w:cs="Times New Roman"/>
          <w:sz w:val="24"/>
          <w:szCs w:val="24"/>
        </w:rPr>
        <w:t xml:space="preserve"> of the country.</w:t>
      </w:r>
    </w:p>
    <w:p w14:paraId="0000001A" w14:textId="77777777" w:rsidR="006F3053" w:rsidRPr="00521BCB" w:rsidRDefault="00000000" w:rsidP="00521BCB">
      <w:pPr>
        <w:pStyle w:val="Heading1"/>
        <w:spacing w:line="360" w:lineRule="auto"/>
        <w:rPr>
          <w:rFonts w:ascii="Times New Roman" w:hAnsi="Times New Roman" w:cs="Times New Roman"/>
          <w:b/>
          <w:bCs/>
          <w:sz w:val="24"/>
          <w:szCs w:val="24"/>
        </w:rPr>
      </w:pPr>
      <w:bookmarkStart w:id="1" w:name="_Toc123723048"/>
      <w:r w:rsidRPr="00521BCB">
        <w:rPr>
          <w:rFonts w:ascii="Times New Roman" w:hAnsi="Times New Roman" w:cs="Times New Roman"/>
          <w:b/>
          <w:bCs/>
          <w:sz w:val="24"/>
          <w:szCs w:val="24"/>
        </w:rPr>
        <w:t>Emerging Changes in Human Resourcing Strategies in Post COVID, post Brexit External Environment</w:t>
      </w:r>
      <w:bookmarkEnd w:id="1"/>
    </w:p>
    <w:p w14:paraId="0000001B"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government's response to the Covid (Coronavirus) outbreak and its effects had a substantial effect on the UK job market. Numerous businesses had to shut down or modify their operations as a result of the Covid epidemic, and government mediations determined that workers should be paid while they were not at work. The emergence of social segregation had an impact on how individuals worked and how they looked for and pursued business.</w:t>
      </w:r>
    </w:p>
    <w:p w14:paraId="0000001C"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Our ability to quantify the UK labor market has changed as a result of the factors' combined influence. Visit our post on Covid and its impacts on UK labor market measures for more details. The great majority of our data is derived from data gathered through organizational and family overviews. (</w:t>
      </w:r>
      <w:r>
        <w:rPr>
          <w:rFonts w:ascii="Times New Roman" w:eastAsia="Times New Roman" w:hAnsi="Times New Roman" w:cs="Times New Roman"/>
          <w:i/>
          <w:sz w:val="24"/>
          <w:szCs w:val="24"/>
        </w:rPr>
        <w:t>Comparison of labor market data sources</w:t>
      </w:r>
      <w:r>
        <w:rPr>
          <w:rFonts w:ascii="Times New Roman" w:eastAsia="Times New Roman" w:hAnsi="Times New Roman" w:cs="Times New Roman"/>
          <w:sz w:val="24"/>
          <w:szCs w:val="24"/>
        </w:rPr>
        <w:t xml:space="preserve">) Acquiring this summary data is </w:t>
      </w:r>
      <w:r>
        <w:rPr>
          <w:rFonts w:ascii="Times New Roman" w:eastAsia="Times New Roman" w:hAnsi="Times New Roman" w:cs="Times New Roman"/>
          <w:sz w:val="24"/>
          <w:szCs w:val="24"/>
        </w:rPr>
        <w:lastRenderedPageBreak/>
        <w:t>nevertheless impacted by the quick demise of businesses, the rise of remote labor, and familiarity with social networking.</w:t>
      </w:r>
    </w:p>
    <w:p w14:paraId="0000001E" w14:textId="3DAB1716"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While presenting a thorough picture of the labor market, giving core data from various information sources, changing how our overviews function, and assessing procedures can all present challenges. (2022) This research analyzes the benefits and drawbacks of the primary data sources used to generate labor market statistics. This covers both the benefits of fresh regulatory information sources and some of our dispersed numbers' restrictions. When we have a better knowledge of the other sources, we plan to update this page.</w:t>
      </w:r>
    </w:p>
    <w:p w14:paraId="0000001F" w14:textId="77777777" w:rsidR="006F3053" w:rsidRPr="00521BCB" w:rsidRDefault="00000000" w:rsidP="00521BCB">
      <w:pPr>
        <w:pStyle w:val="Heading2"/>
        <w:spacing w:line="360" w:lineRule="auto"/>
        <w:rPr>
          <w:rFonts w:ascii="Times New Roman" w:hAnsi="Times New Roman" w:cs="Times New Roman"/>
          <w:b/>
          <w:bCs/>
          <w:sz w:val="24"/>
          <w:szCs w:val="24"/>
        </w:rPr>
      </w:pPr>
      <w:bookmarkStart w:id="2" w:name="_Toc123723049"/>
      <w:r w:rsidRPr="00521BCB">
        <w:rPr>
          <w:rFonts w:ascii="Times New Roman" w:hAnsi="Times New Roman" w:cs="Times New Roman"/>
          <w:b/>
          <w:bCs/>
          <w:sz w:val="24"/>
          <w:szCs w:val="24"/>
        </w:rPr>
        <w:t>Employment</w:t>
      </w:r>
      <w:bookmarkEnd w:id="2"/>
    </w:p>
    <w:p w14:paraId="6F21784A" w14:textId="77777777" w:rsidR="00FB4EEE" w:rsidRDefault="00FB4EEE">
      <w:pPr>
        <w:spacing w:line="360" w:lineRule="auto"/>
        <w:rPr>
          <w:rFonts w:ascii="Times New Roman" w:eastAsia="Times New Roman" w:hAnsi="Times New Roman" w:cs="Times New Roman"/>
          <w:sz w:val="24"/>
          <w:szCs w:val="24"/>
        </w:rPr>
      </w:pPr>
      <w:r w:rsidRPr="00FB4EEE">
        <w:rPr>
          <w:rFonts w:ascii="Times New Roman" w:eastAsia="Times New Roman" w:hAnsi="Times New Roman" w:cs="Times New Roman"/>
          <w:sz w:val="24"/>
          <w:szCs w:val="24"/>
        </w:rPr>
        <w:t>The idea of profession and business differ in that one's employment may involve having more than one job, and certain roles can be fulfilled by multiple individuals.</w:t>
      </w:r>
    </w:p>
    <w:p w14:paraId="00000021" w14:textId="303B5465"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HMRC's Compensation as You Acquire Constant Data vs the Workforce Overview business. There are two primary sources of information on work:</w:t>
      </w:r>
    </w:p>
    <w:p w14:paraId="00000022" w14:textId="77777777" w:rsidR="006F3053"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Workforce Study (LFS) company </w:t>
      </w:r>
    </w:p>
    <w:p w14:paraId="00000023" w14:textId="77777777" w:rsidR="006F3053"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Exploratory Insights (Test Measurements) from Constant Data (RTI) </w:t>
      </w:r>
      <w:proofErr w:type="spellStart"/>
      <w:r>
        <w:rPr>
          <w:rFonts w:ascii="Times New Roman" w:eastAsia="Times New Roman" w:hAnsi="Times New Roman" w:cs="Times New Roman"/>
          <w:sz w:val="24"/>
          <w:szCs w:val="24"/>
        </w:rPr>
        <w:t>payrolled</w:t>
      </w:r>
      <w:proofErr w:type="spellEnd"/>
      <w:r>
        <w:rPr>
          <w:rFonts w:ascii="Times New Roman" w:eastAsia="Times New Roman" w:hAnsi="Times New Roman" w:cs="Times New Roman"/>
          <w:sz w:val="24"/>
          <w:szCs w:val="24"/>
        </w:rPr>
        <w:t xml:space="preserve"> reps </w:t>
      </w:r>
    </w:p>
    <w:p w14:paraId="00000024" w14:textId="2B893CAB" w:rsidR="006F3053" w:rsidRDefault="00FB4EEE">
      <w:pPr>
        <w:spacing w:line="360" w:lineRule="auto"/>
        <w:rPr>
          <w:rFonts w:ascii="Times New Roman" w:eastAsia="Times New Roman" w:hAnsi="Times New Roman" w:cs="Times New Roman"/>
          <w:sz w:val="24"/>
          <w:szCs w:val="24"/>
        </w:rPr>
      </w:pPr>
      <w:r w:rsidRPr="00FB4EEE">
        <w:rPr>
          <w:rFonts w:ascii="Times New Roman" w:eastAsia="Times New Roman" w:hAnsi="Times New Roman" w:cs="Times New Roman"/>
          <w:sz w:val="24"/>
          <w:szCs w:val="24"/>
        </w:rPr>
        <w:t>The PAYE Real Time Information (RTI) system is employed by both the HM Revenue and Customs (</w:t>
      </w:r>
      <w:r>
        <w:rPr>
          <w:rFonts w:ascii="Times New Roman" w:eastAsia="Times New Roman" w:hAnsi="Times New Roman" w:cs="Times New Roman"/>
          <w:sz w:val="24"/>
          <w:szCs w:val="24"/>
        </w:rPr>
        <w:t>HMRC</w:t>
      </w:r>
      <w:r w:rsidRPr="00FB4EEE">
        <w:rPr>
          <w:rFonts w:ascii="Times New Roman" w:eastAsia="Times New Roman" w:hAnsi="Times New Roman" w:cs="Times New Roman"/>
          <w:sz w:val="24"/>
          <w:szCs w:val="24"/>
        </w:rPr>
        <w:t>) and the Low Pay Commission (LFS), for tracking various data points.</w:t>
      </w:r>
      <w:r>
        <w:rPr>
          <w:rFonts w:ascii="Times New Roman" w:eastAsia="Times New Roman" w:hAnsi="Times New Roman" w:cs="Times New Roman"/>
          <w:sz w:val="24"/>
          <w:szCs w:val="24"/>
        </w:rPr>
        <w:t xml:space="preserve"> According to the LFS's adherence to the Global Work Association's (ILO) definition of business, everyone aged 16 or older who engaged in one or more hours of paid work in the preceding week, as well as anyone who had some work that they were temporarily away from, is considered to be in business (for instance, since they were on vacation, off debilitated or, presently, on leave).</w:t>
      </w:r>
    </w:p>
    <w:p w14:paraId="00000025"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RTI uses organization payrolls to determine how many people are paid via the PAYE system. If a person holds both a worker job and an independent job, it may include them, but it does not include people whose roles are not funded by the organization or whose employers do not pay them through the PAYE system. Unlike the raw functional data, which is covered in another article, the RTI data used for distribution is taken from a dataset created for use in measurements.</w:t>
      </w:r>
    </w:p>
    <w:p w14:paraId="00000026"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Contrasts at their core</w:t>
      </w:r>
    </w:p>
    <w:p w14:paraId="12149254" w14:textId="77777777" w:rsidR="00FB4EEE" w:rsidRDefault="00000000" w:rsidP="00FB4EE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sources can be distinguished in a number of ways, and Extension 1 provides more details on these differences. The difference in inclusion between RTI and LFS work is that RTI only </w:t>
      </w:r>
      <w:r>
        <w:rPr>
          <w:rFonts w:ascii="Times New Roman" w:eastAsia="Times New Roman" w:hAnsi="Times New Roman" w:cs="Times New Roman"/>
          <w:sz w:val="24"/>
          <w:szCs w:val="24"/>
        </w:rPr>
        <w:lastRenderedPageBreak/>
        <w:t xml:space="preserve">includes individuals who are paid under the PAYE system through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finance. To assess the LFS industry, a case study from the UK's private sector that prohibits people from residing in a few mutual foundations is employed (NHS convenience is incorporated, while private consideration homes, jails and safeguard foundations are barred). The lower profit limit purchasers, self-employed people, participants in government training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(some of whom were remembered for RTI), unpaid family workers, and people who were employed but not paid for a certain reference period are all included in the LFS. (Murphy et al.)</w:t>
      </w:r>
    </w:p>
    <w:p w14:paraId="00000028" w14:textId="2DFE5BCD" w:rsidR="006F3053" w:rsidRDefault="00000000" w:rsidP="00FB4EE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LFS is gathered through a questionnaire, offering a remarkable opportunity for clarification and introducing respondents to the ILO definition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t>
      </w:r>
      <w:r w:rsidR="00FB4EEE" w:rsidRPr="00FB4EEE">
        <w:rPr>
          <w:rFonts w:ascii="Times New Roman" w:eastAsia="Times New Roman" w:hAnsi="Times New Roman" w:cs="Times New Roman"/>
          <w:sz w:val="24"/>
          <w:szCs w:val="24"/>
        </w:rPr>
        <w:t xml:space="preserve">Consequently, reactions are strongly linked to an individual's relation with the job market - some who are currently inactive but aim to return will regard themselves as employed, while others </w:t>
      </w:r>
      <w:proofErr w:type="spellStart"/>
      <w:proofErr w:type="gramStart"/>
      <w:r w:rsidR="00FB4EEE" w:rsidRPr="00FB4EEE">
        <w:rPr>
          <w:rFonts w:ascii="Times New Roman" w:eastAsia="Times New Roman" w:hAnsi="Times New Roman" w:cs="Times New Roman"/>
          <w:sz w:val="24"/>
          <w:szCs w:val="24"/>
        </w:rPr>
        <w:t>won't.</w:t>
      </w:r>
      <w:r w:rsidR="00FB4EEE">
        <w:rPr>
          <w:rFonts w:ascii="Times New Roman" w:eastAsia="Times New Roman" w:hAnsi="Times New Roman" w:cs="Times New Roman"/>
          <w:sz w:val="24"/>
          <w:szCs w:val="24"/>
        </w:rPr>
        <w:t>Apart</w:t>
      </w:r>
      <w:proofErr w:type="spellEnd"/>
      <w:proofErr w:type="gramEnd"/>
      <w:r w:rsidR="00FB4EEE">
        <w:rPr>
          <w:rFonts w:ascii="Times New Roman" w:eastAsia="Times New Roman" w:hAnsi="Times New Roman" w:cs="Times New Roman"/>
          <w:sz w:val="24"/>
          <w:szCs w:val="24"/>
        </w:rPr>
        <w:t xml:space="preserve"> from this</w:t>
      </w:r>
      <w:r>
        <w:rPr>
          <w:rFonts w:ascii="Times New Roman" w:eastAsia="Times New Roman" w:hAnsi="Times New Roman" w:cs="Times New Roman"/>
          <w:sz w:val="24"/>
          <w:szCs w:val="24"/>
        </w:rPr>
        <w:t>, a respondent designates whether they are a representative of their company or independently employed; independent workers are those who, whether or not they employ others, work largely for themselves. A portion of those who are compensated through finance may be considered self-employed because they own the company.</w:t>
      </w:r>
    </w:p>
    <w:p w14:paraId="00000029" w14:textId="3DD7FF8D"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RTI figures rely on workers being paid through finance and do not entirely conform to international definitions of labor; they are obtained by employers' legally required obligation to send PAYE data to HMRC. RTI categorizes any person who holds a worker job as a used person; nevertheless, LFS may categorize a person as a representative if a worker job is their primary occupation. </w:t>
      </w:r>
      <w:r w:rsidR="00F26080" w:rsidRPr="00F26080">
        <w:rPr>
          <w:rFonts w:ascii="Times New Roman" w:eastAsia="Times New Roman" w:hAnsi="Times New Roman" w:cs="Times New Roman"/>
          <w:sz w:val="24"/>
          <w:szCs w:val="24"/>
        </w:rPr>
        <w:t xml:space="preserve">The </w:t>
      </w:r>
      <w:proofErr w:type="spellStart"/>
      <w:r w:rsidR="00F26080" w:rsidRPr="00F26080">
        <w:rPr>
          <w:rFonts w:ascii="Times New Roman" w:eastAsia="Times New Roman" w:hAnsi="Times New Roman" w:cs="Times New Roman"/>
          <w:sz w:val="24"/>
          <w:szCs w:val="24"/>
        </w:rPr>
        <w:t>Labour</w:t>
      </w:r>
      <w:proofErr w:type="spellEnd"/>
      <w:r w:rsidR="00F26080" w:rsidRPr="00F26080">
        <w:rPr>
          <w:rFonts w:ascii="Times New Roman" w:eastAsia="Times New Roman" w:hAnsi="Times New Roman" w:cs="Times New Roman"/>
          <w:sz w:val="24"/>
          <w:szCs w:val="24"/>
        </w:rPr>
        <w:t xml:space="preserve"> Force Survey (LFS) series focuses on the job market situation of individuals during a reference week, whereas the Regular Time Income (RTI) is an average of monthly employees in paid work. </w:t>
      </w:r>
      <w:r>
        <w:rPr>
          <w:rFonts w:ascii="Times New Roman" w:eastAsia="Times New Roman" w:hAnsi="Times New Roman" w:cs="Times New Roman"/>
          <w:sz w:val="24"/>
          <w:szCs w:val="24"/>
        </w:rPr>
        <w:t>(</w:t>
      </w:r>
      <w:r>
        <w:rPr>
          <w:rFonts w:ascii="Times New Roman" w:eastAsia="Times New Roman" w:hAnsi="Times New Roman" w:cs="Times New Roman"/>
          <w:i/>
          <w:sz w:val="24"/>
          <w:szCs w:val="24"/>
        </w:rPr>
        <w:t>UK labor market statistics - house of commons library</w:t>
      </w:r>
      <w:r>
        <w:rPr>
          <w:rFonts w:ascii="Times New Roman" w:eastAsia="Times New Roman" w:hAnsi="Times New Roman" w:cs="Times New Roman"/>
          <w:sz w:val="24"/>
          <w:szCs w:val="24"/>
        </w:rPr>
        <w:t>) The LFS gauges are then calculated using meetings over a lengthy period of a three-month term.</w:t>
      </w:r>
    </w:p>
    <w:p w14:paraId="0000002A" w14:textId="21D5EEAD"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 fact that the Office for Public Measurements (ONS) places a strong emphasis on obtaining high reaction rates, the LFS is a study, and the propensity from non-response and checking inconstancy is one additional explanation for the distinctive variances noticed. Instead of being used to estimate population size, the LFS is weighted to a form of currently distributed population prediction. As a result, it can at any time allocate to a projection of the current population, with gauges continuously adding new people to that particular population overall. </w:t>
      </w:r>
      <w:r w:rsidR="00F26080" w:rsidRPr="00F26080">
        <w:rPr>
          <w:rFonts w:ascii="Times New Roman" w:eastAsia="Times New Roman" w:hAnsi="Times New Roman" w:cs="Times New Roman"/>
          <w:sz w:val="24"/>
          <w:szCs w:val="24"/>
        </w:rPr>
        <w:t xml:space="preserve">To take into account the effects of the novel coronavirus on population movements, the </w:t>
      </w:r>
      <w:proofErr w:type="spellStart"/>
      <w:r w:rsidR="00F26080" w:rsidRPr="00F26080">
        <w:rPr>
          <w:rFonts w:ascii="Times New Roman" w:eastAsia="Times New Roman" w:hAnsi="Times New Roman" w:cs="Times New Roman"/>
          <w:sz w:val="24"/>
          <w:szCs w:val="24"/>
        </w:rPr>
        <w:t>Labour</w:t>
      </w:r>
      <w:proofErr w:type="spellEnd"/>
      <w:r w:rsidR="00F26080" w:rsidRPr="00F26080">
        <w:rPr>
          <w:rFonts w:ascii="Times New Roman" w:eastAsia="Times New Roman" w:hAnsi="Times New Roman" w:cs="Times New Roman"/>
          <w:sz w:val="24"/>
          <w:szCs w:val="24"/>
        </w:rPr>
        <w:t xml:space="preserve"> Force Survey was adjusted in October 2020; however, it is not designed to track short-term </w:t>
      </w:r>
      <w:r w:rsidR="00F26080" w:rsidRPr="00F26080">
        <w:rPr>
          <w:rFonts w:ascii="Times New Roman" w:eastAsia="Times New Roman" w:hAnsi="Times New Roman" w:cs="Times New Roman"/>
          <w:sz w:val="24"/>
          <w:szCs w:val="24"/>
        </w:rPr>
        <w:lastRenderedPageBreak/>
        <w:t>fluctuations.</w:t>
      </w:r>
      <w:r>
        <w:rPr>
          <w:rFonts w:ascii="Times New Roman" w:eastAsia="Times New Roman" w:hAnsi="Times New Roman" w:cs="Times New Roman"/>
          <w:sz w:val="24"/>
          <w:szCs w:val="24"/>
        </w:rPr>
        <w:t xml:space="preserve"> There could be more adjustments made to the method as well, which would result in future improvements and revisions. We'll keep looking into these possibilities and, if they offer enough value, we'll put them into practice.</w:t>
      </w:r>
    </w:p>
    <w:p w14:paraId="0000002B"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charge entries that are anticipated but haven't yet been received for each work are allotted RTI payments. These are then updated based on established earning criteria that take into account the potential for receiving those related payments in the future. However, compared to past months, this cycle has a higher impact on recent occurrences and, thus, recent time frames.</w:t>
      </w:r>
    </w:p>
    <w:p w14:paraId="7E03C250" w14:textId="77777777" w:rsidR="00F26080" w:rsidRDefault="00000000" w:rsidP="00F2608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Correlation of most recent data</w:t>
      </w:r>
    </w:p>
    <w:p w14:paraId="43F17756" w14:textId="7D389046" w:rsidR="00F26080" w:rsidRPr="00F26080" w:rsidRDefault="00000000" w:rsidP="00F2608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two sources are connected, and their characteristics and motions are frequently interchangeable. There are circumstances, nonetheless, in which you wouldn't anticipate them to adhere to similar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because they measure other items. Here, we examine the distinctions between the LFS's work and representation and the RTI's </w:t>
      </w:r>
      <w:proofErr w:type="spellStart"/>
      <w:r>
        <w:rPr>
          <w:rFonts w:ascii="Times New Roman" w:eastAsia="Times New Roman" w:hAnsi="Times New Roman" w:cs="Times New Roman"/>
          <w:sz w:val="24"/>
          <w:szCs w:val="24"/>
        </w:rPr>
        <w:t>payrolled</w:t>
      </w:r>
      <w:proofErr w:type="spellEnd"/>
      <w:r>
        <w:rPr>
          <w:rFonts w:ascii="Times New Roman" w:eastAsia="Times New Roman" w:hAnsi="Times New Roman" w:cs="Times New Roman"/>
          <w:sz w:val="24"/>
          <w:szCs w:val="24"/>
        </w:rPr>
        <w:t xml:space="preserve"> representatives. </w:t>
      </w:r>
      <w:r w:rsidR="00F26080" w:rsidRPr="00F26080">
        <w:rPr>
          <w:rFonts w:ascii="Times New Roman" w:eastAsia="Times New Roman" w:hAnsi="Times New Roman" w:cs="Times New Roman"/>
          <w:sz w:val="24"/>
          <w:szCs w:val="24"/>
        </w:rPr>
        <w:t>Since the beginning of 2020, RTI employee numbers and LFS business have decreased but LFS sales personnel have remained stable.</w:t>
      </w:r>
    </w:p>
    <w:p w14:paraId="0000002D" w14:textId="217C0592"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two series have generally displayed a significantly divergent rate of business expansion in recent years. After April 2020, significant discrepancies have been noted, nevertheless.</w:t>
      </w:r>
    </w:p>
    <w:p w14:paraId="0000002E"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annual decline of representation on Continuous Data has been larger than the Workforce Study since around April 2020. The group of independent contractors adopts a shrewd strategy for comprehending the distinction between the LFS company and the LFS employees. Although the number of persons who changed roles did not rise above average levels, the period from April to June 2020 had record-low levels of independent work together with large progressions of people moving from independent employment to becoming a representative.</w:t>
      </w:r>
    </w:p>
    <w:p w14:paraId="0000002F"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even though </w:t>
      </w:r>
      <w:proofErr w:type="spellStart"/>
      <w:r>
        <w:rPr>
          <w:rFonts w:ascii="Times New Roman" w:eastAsia="Times New Roman" w:hAnsi="Times New Roman" w:cs="Times New Roman"/>
          <w:sz w:val="24"/>
          <w:szCs w:val="24"/>
        </w:rPr>
        <w:t>individuals's</w:t>
      </w:r>
      <w:proofErr w:type="spellEnd"/>
      <w:r>
        <w:rPr>
          <w:rFonts w:ascii="Times New Roman" w:eastAsia="Times New Roman" w:hAnsi="Times New Roman" w:cs="Times New Roman"/>
          <w:sz w:val="24"/>
          <w:szCs w:val="24"/>
        </w:rPr>
        <w:t xml:space="preserve"> roles haven't changed, more people are ordering themselves as a representative, which accounts for a portion of the drop in independent work. This classification is self-defined in the LFS, as was previously mentioned. It is possible that recent government assistance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for Covid (Coronavirus), such as the Covid Occupation Maintenance Plan (CJRS), have impacted respondents' perceptions of whether they are actually workers or independent contractors. To identify the self-employed group and those who are rebranding themselves as representatives, more study is required.</w:t>
      </w:r>
    </w:p>
    <w:p w14:paraId="00000030"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in April 2020, government regulations governing off-finance working were expected to take effect, improving coordination across diverse business settings. Although the </w:t>
      </w:r>
      <w:r>
        <w:rPr>
          <w:rFonts w:ascii="Times New Roman" w:eastAsia="Times New Roman" w:hAnsi="Times New Roman" w:cs="Times New Roman"/>
          <w:sz w:val="24"/>
          <w:szCs w:val="24"/>
        </w:rPr>
        <w:lastRenderedPageBreak/>
        <w:t>introduction of this law has been postponed until 2021, some businesses may have taken preemptive measures to be compliant by April 2020, which could also have an impact on the number of representatives.</w:t>
      </w:r>
    </w:p>
    <w:p w14:paraId="00000031"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compared to the prior year, the flow of people from self-employment to representation nearly tripled between July and September 2020. The number of RTI financial professionals has dropped by about 767,000 since February 2020; the Covid pandemic's beginning was when the biggest drops were seen. According to the LFS, between December 2019 and February 2020 and July 2019 and September 2020, there were approximately 566,000 fewer individuals working. (During the same time frame, LFS representation decreased by 9,000). Additionally, because to the outbreak, about 210,000 people lost their jobs and would not be compensated starting in September 2020.</w:t>
      </w:r>
    </w:p>
    <w:p w14:paraId="00000032" w14:textId="77604BD1" w:rsidR="006F3053" w:rsidRDefault="00F26080">
      <w:pPr>
        <w:spacing w:line="360" w:lineRule="auto"/>
        <w:rPr>
          <w:rFonts w:ascii="Times New Roman" w:eastAsia="Times New Roman" w:hAnsi="Times New Roman" w:cs="Times New Roman"/>
          <w:sz w:val="24"/>
          <w:szCs w:val="24"/>
        </w:rPr>
      </w:pPr>
      <w:r w:rsidRPr="00F26080">
        <w:rPr>
          <w:rFonts w:ascii="Times New Roman" w:eastAsia="Times New Roman" w:hAnsi="Times New Roman" w:cs="Times New Roman"/>
          <w:sz w:val="24"/>
          <w:szCs w:val="24"/>
        </w:rPr>
        <w:t>People who are not compensated financially should not be taken into account when computing RTI figures, as the definition of RTI stipulates that an individual must not have gone without a salary for more than one pay period</w:t>
      </w:r>
      <w:r>
        <w:rPr>
          <w:rFonts w:ascii="Times New Roman" w:eastAsia="Times New Roman" w:hAnsi="Times New Roman" w:cs="Times New Roman"/>
          <w:sz w:val="24"/>
          <w:szCs w:val="24"/>
        </w:rPr>
        <w:t xml:space="preserve"> (for example, if they are paid weekly, they should not have missed more than one week's pay, and if they are paid monthly, they should not have missed more than one month's pay). It goes a long way toward explaining the more dramatic decline in RTI data that the group will be within the LFS while they revealed holding a position.</w:t>
      </w:r>
    </w:p>
    <w:p w14:paraId="00000033" w14:textId="264FED6F"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variance in RTI representatives from week to week paints a varied picture of how LFS employees—including those who are absent without pay—are adjusting. The weekly change of RTI representatives is anticipated given the adjustment of LFS business, including those absences from work that are not compensated. There is still more to be done, but we did a respectable job of clarifying </w:t>
      </w:r>
      <w:r w:rsidR="00F26080">
        <w:rPr>
          <w:rFonts w:ascii="Times New Roman" w:eastAsia="Times New Roman" w:hAnsi="Times New Roman" w:cs="Times New Roman"/>
          <w:sz w:val="24"/>
          <w:szCs w:val="24"/>
        </w:rPr>
        <w:t>the key differences between RTI and LFS.</w:t>
      </w:r>
      <w:r>
        <w:rPr>
          <w:rFonts w:ascii="Times New Roman" w:eastAsia="Times New Roman" w:hAnsi="Times New Roman" w:cs="Times New Roman"/>
          <w:sz w:val="24"/>
          <w:szCs w:val="24"/>
        </w:rPr>
        <w:t xml:space="preserve"> Although a total compromise won't be achievable, the ONS and HMRC will collaborate closely to identify the differences and measure where appropriate.</w:t>
      </w:r>
    </w:p>
    <w:p w14:paraId="00000034" w14:textId="439E7E84" w:rsidR="006F3053" w:rsidRDefault="00F26080">
      <w:pPr>
        <w:spacing w:line="360" w:lineRule="auto"/>
        <w:rPr>
          <w:rFonts w:ascii="Times New Roman" w:eastAsia="Times New Roman" w:hAnsi="Times New Roman" w:cs="Times New Roman"/>
          <w:sz w:val="24"/>
          <w:szCs w:val="24"/>
        </w:rPr>
      </w:pPr>
      <w:r w:rsidRPr="00F26080">
        <w:rPr>
          <w:rFonts w:ascii="Times New Roman" w:eastAsia="Times New Roman" w:hAnsi="Times New Roman" w:cs="Times New Roman"/>
          <w:sz w:val="24"/>
          <w:szCs w:val="24"/>
        </w:rPr>
        <w:t>The RTI covers employees who receive remuneration via financial means, whereas the LFS caters to a broader range of individuals employed in various industries</w:t>
      </w:r>
      <w:r>
        <w:rPr>
          <w:rFonts w:ascii="Times New Roman" w:eastAsia="Times New Roman" w:hAnsi="Times New Roman" w:cs="Times New Roman"/>
          <w:sz w:val="24"/>
          <w:szCs w:val="24"/>
        </w:rPr>
        <w:t xml:space="preserve">, but it gives a more realistic picture of finance workers in the UK and provinces. Similar to LFS, it lacks the level of detail; however, HMRC is working to enhance its performance and may eventually recall more breakdowns. LFS business includes representatives, the self-employed, people enrolled in government training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people who are underrepresented in privately held </w:t>
      </w:r>
      <w:r>
        <w:rPr>
          <w:rFonts w:ascii="Times New Roman" w:eastAsia="Times New Roman" w:hAnsi="Times New Roman" w:cs="Times New Roman"/>
          <w:sz w:val="24"/>
          <w:szCs w:val="24"/>
        </w:rPr>
        <w:lastRenderedPageBreak/>
        <w:t>companies, so it provides a more complete picture of the labor market. Search criteria for the LFS labor information include age, gender, identification, capabilities, occupation, and industry.</w:t>
      </w:r>
    </w:p>
    <w:p w14:paraId="00000035"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study changes over longer time periods, LFS-based company levels and rates are also available going back to 1971. Two standard estimations are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to supply grasp extra work. Based on management information from benefit systems, the Workforce Overview (LFS) and the Inquirer Count measure unemployment. In any case, each of these significant work limits reflect separate features of underemployment in the UK economy.</w:t>
      </w:r>
    </w:p>
    <w:p w14:paraId="00000036" w14:textId="77777777" w:rsidR="006F305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petition signers has increased since Walk 2020. The petitioner count numbers represent an accurate count of those requesting unemployment benefits (and remain so under Coronavirus). The inquirer responsibility and work search requirements for the independently employed have been temporarily suspended, the Base Pay Floor requirements have been relaxed, and Coronavirus separation notes have been introduced to replace fit notes, among other modifications and easements that have an impact on the insights.</w:t>
      </w:r>
    </w:p>
    <w:p w14:paraId="00000037" w14:textId="77777777" w:rsidR="006F3053" w:rsidRDefault="006F3053">
      <w:pPr>
        <w:spacing w:line="360" w:lineRule="auto"/>
        <w:rPr>
          <w:rFonts w:ascii="Times New Roman" w:eastAsia="Times New Roman" w:hAnsi="Times New Roman" w:cs="Times New Roman"/>
          <w:sz w:val="24"/>
          <w:szCs w:val="24"/>
        </w:rPr>
      </w:pPr>
    </w:p>
    <w:p w14:paraId="6E99DF25" w14:textId="77777777" w:rsidR="00521BCB" w:rsidRDefault="00521BCB">
      <w:pPr>
        <w:rPr>
          <w:rFonts w:ascii="Times New Roman" w:hAnsi="Times New Roman" w:cs="Times New Roman"/>
          <w:b/>
          <w:bCs/>
          <w:sz w:val="24"/>
          <w:szCs w:val="24"/>
        </w:rPr>
      </w:pPr>
      <w:r>
        <w:rPr>
          <w:rFonts w:ascii="Times New Roman" w:hAnsi="Times New Roman" w:cs="Times New Roman"/>
          <w:b/>
          <w:bCs/>
          <w:sz w:val="24"/>
          <w:szCs w:val="24"/>
        </w:rPr>
        <w:br w:type="page"/>
      </w:r>
    </w:p>
    <w:p w14:paraId="00000038" w14:textId="201276D2" w:rsidR="006F3053" w:rsidRPr="00521BCB" w:rsidRDefault="00000000" w:rsidP="00521BCB">
      <w:pPr>
        <w:pStyle w:val="Heading1"/>
        <w:spacing w:line="360" w:lineRule="auto"/>
        <w:rPr>
          <w:rFonts w:ascii="Times New Roman" w:hAnsi="Times New Roman" w:cs="Times New Roman"/>
          <w:b/>
          <w:bCs/>
          <w:sz w:val="24"/>
          <w:szCs w:val="24"/>
        </w:rPr>
      </w:pPr>
      <w:bookmarkStart w:id="3" w:name="_Toc123723050"/>
      <w:r w:rsidRPr="00521BCB">
        <w:rPr>
          <w:rFonts w:ascii="Times New Roman" w:hAnsi="Times New Roman" w:cs="Times New Roman"/>
          <w:b/>
          <w:bCs/>
          <w:sz w:val="24"/>
          <w:szCs w:val="24"/>
        </w:rPr>
        <w:lastRenderedPageBreak/>
        <w:t>References</w:t>
      </w:r>
      <w:bookmarkEnd w:id="3"/>
    </w:p>
    <w:p w14:paraId="00000039" w14:textId="77777777" w:rsidR="006F3053" w:rsidRDefault="00000000" w:rsidP="00521BCB">
      <w:pPr>
        <w:spacing w:before="240" w:after="24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Comparison of </w:t>
      </w:r>
      <w:proofErr w:type="spellStart"/>
      <w:r>
        <w:rPr>
          <w:rFonts w:ascii="Times New Roman" w:eastAsia="Times New Roman" w:hAnsi="Times New Roman" w:cs="Times New Roman"/>
          <w:i/>
          <w:sz w:val="24"/>
          <w:szCs w:val="24"/>
        </w:rPr>
        <w:t>labour</w:t>
      </w:r>
      <w:proofErr w:type="spellEnd"/>
      <w:r>
        <w:rPr>
          <w:rFonts w:ascii="Times New Roman" w:eastAsia="Times New Roman" w:hAnsi="Times New Roman" w:cs="Times New Roman"/>
          <w:i/>
          <w:sz w:val="24"/>
          <w:szCs w:val="24"/>
        </w:rPr>
        <w:t xml:space="preserve"> market data sources</w:t>
      </w:r>
      <w:r>
        <w:rPr>
          <w:rFonts w:ascii="Times New Roman" w:eastAsia="Times New Roman" w:hAnsi="Times New Roman" w:cs="Times New Roman"/>
          <w:sz w:val="24"/>
          <w:szCs w:val="24"/>
        </w:rPr>
        <w:t xml:space="preserve">. Comparison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data sources - Office for National Statistics. (n.d.). Retrieved December 20, 2022, from </w:t>
      </w:r>
      <w:hyperlink r:id="rId8">
        <w:r>
          <w:rPr>
            <w:rFonts w:ascii="Times New Roman" w:eastAsia="Times New Roman" w:hAnsi="Times New Roman" w:cs="Times New Roman"/>
            <w:color w:val="1155CC"/>
            <w:sz w:val="24"/>
            <w:szCs w:val="24"/>
            <w:u w:val="single"/>
          </w:rPr>
          <w:t>https://www.ons.gov.uk/employmentandlabourmarket/peopleinwork/employmentandemployeetypes/methodologies/comparisonoflabourmarketdatasources</w:t>
        </w:r>
      </w:hyperlink>
      <w:r>
        <w:rPr>
          <w:rFonts w:ascii="Times New Roman" w:eastAsia="Times New Roman" w:hAnsi="Times New Roman" w:cs="Times New Roman"/>
          <w:sz w:val="24"/>
          <w:szCs w:val="24"/>
        </w:rPr>
        <w:t xml:space="preserve"> </w:t>
      </w:r>
    </w:p>
    <w:p w14:paraId="0000003A" w14:textId="77777777" w:rsidR="006F3053" w:rsidRDefault="00000000" w:rsidP="00521BCB">
      <w:pPr>
        <w:spacing w:before="240" w:after="24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Guardian News and Media. (2022, November 15). </w:t>
      </w:r>
      <w:r>
        <w:rPr>
          <w:rFonts w:ascii="Times New Roman" w:eastAsia="Times New Roman" w:hAnsi="Times New Roman" w:cs="Times New Roman"/>
          <w:i/>
          <w:sz w:val="24"/>
          <w:szCs w:val="24"/>
        </w:rPr>
        <w:t xml:space="preserve">UK </w:t>
      </w:r>
      <w:proofErr w:type="spellStart"/>
      <w:r>
        <w:rPr>
          <w:rFonts w:ascii="Times New Roman" w:eastAsia="Times New Roman" w:hAnsi="Times New Roman" w:cs="Times New Roman"/>
          <w:i/>
          <w:sz w:val="24"/>
          <w:szCs w:val="24"/>
        </w:rPr>
        <w:t>labour</w:t>
      </w:r>
      <w:proofErr w:type="spellEnd"/>
      <w:r>
        <w:rPr>
          <w:rFonts w:ascii="Times New Roman" w:eastAsia="Times New Roman" w:hAnsi="Times New Roman" w:cs="Times New Roman"/>
          <w:i/>
          <w:sz w:val="24"/>
          <w:szCs w:val="24"/>
        </w:rPr>
        <w:t xml:space="preserve"> market is changing as inflation squeezes real pay</w:t>
      </w:r>
      <w:r>
        <w:rPr>
          <w:rFonts w:ascii="Times New Roman" w:eastAsia="Times New Roman" w:hAnsi="Times New Roman" w:cs="Times New Roman"/>
          <w:sz w:val="24"/>
          <w:szCs w:val="24"/>
        </w:rPr>
        <w:t xml:space="preserve">. The Guardian. Retrieved December 20, 2022, from </w:t>
      </w:r>
      <w:hyperlink r:id="rId9">
        <w:r>
          <w:rPr>
            <w:rFonts w:ascii="Times New Roman" w:eastAsia="Times New Roman" w:hAnsi="Times New Roman" w:cs="Times New Roman"/>
            <w:color w:val="1155CC"/>
            <w:sz w:val="24"/>
            <w:szCs w:val="24"/>
            <w:u w:val="single"/>
          </w:rPr>
          <w:t>https://www.theguardian.com/business/2022/nov/15/uk-labour-market-inflation-real-pay-unemployment</w:t>
        </w:r>
      </w:hyperlink>
      <w:r>
        <w:rPr>
          <w:rFonts w:ascii="Times New Roman" w:eastAsia="Times New Roman" w:hAnsi="Times New Roman" w:cs="Times New Roman"/>
          <w:sz w:val="24"/>
          <w:szCs w:val="24"/>
        </w:rPr>
        <w:t xml:space="preserve"> </w:t>
      </w:r>
    </w:p>
    <w:p w14:paraId="0000003B" w14:textId="77777777" w:rsidR="006F3053" w:rsidRDefault="00000000" w:rsidP="00521BCB">
      <w:pPr>
        <w:spacing w:before="240" w:after="240"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i/>
          <w:sz w:val="24"/>
          <w:szCs w:val="24"/>
        </w:rPr>
        <w:t>Labour</w:t>
      </w:r>
      <w:proofErr w:type="spellEnd"/>
      <w:r>
        <w:rPr>
          <w:rFonts w:ascii="Times New Roman" w:eastAsia="Times New Roman" w:hAnsi="Times New Roman" w:cs="Times New Roman"/>
          <w:i/>
          <w:sz w:val="24"/>
          <w:szCs w:val="24"/>
        </w:rPr>
        <w:t xml:space="preserve"> market outlook: Surveys</w:t>
      </w:r>
      <w:r>
        <w:rPr>
          <w:rFonts w:ascii="Times New Roman" w:eastAsia="Times New Roman" w:hAnsi="Times New Roman" w:cs="Times New Roman"/>
          <w:sz w:val="24"/>
          <w:szCs w:val="24"/>
        </w:rPr>
        <w:t xml:space="preserve">. CIPD. (n.d.). Retrieved December 20, 2022, from </w:t>
      </w:r>
      <w:hyperlink r:id="rId10" w:anchor="gref">
        <w:r>
          <w:rPr>
            <w:rFonts w:ascii="Times New Roman" w:eastAsia="Times New Roman" w:hAnsi="Times New Roman" w:cs="Times New Roman"/>
            <w:color w:val="1155CC"/>
            <w:sz w:val="24"/>
            <w:szCs w:val="24"/>
            <w:u w:val="single"/>
          </w:rPr>
          <w:t>https://www.cipd.co.uk/knowledge/work/trends/labour-market-outlook#gref</w:t>
        </w:r>
      </w:hyperlink>
      <w:r>
        <w:rPr>
          <w:rFonts w:ascii="Times New Roman" w:eastAsia="Times New Roman" w:hAnsi="Times New Roman" w:cs="Times New Roman"/>
          <w:sz w:val="24"/>
          <w:szCs w:val="24"/>
        </w:rPr>
        <w:t xml:space="preserve"> </w:t>
      </w:r>
    </w:p>
    <w:p w14:paraId="0000003C" w14:textId="77777777" w:rsidR="006F3053" w:rsidRDefault="00000000" w:rsidP="00521BCB">
      <w:pPr>
        <w:spacing w:before="240" w:after="240" w:line="36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i/>
          <w:sz w:val="24"/>
          <w:szCs w:val="24"/>
        </w:rPr>
        <w:t>Labour</w:t>
      </w:r>
      <w:proofErr w:type="spellEnd"/>
      <w:r>
        <w:rPr>
          <w:rFonts w:ascii="Times New Roman" w:eastAsia="Times New Roman" w:hAnsi="Times New Roman" w:cs="Times New Roman"/>
          <w:i/>
          <w:sz w:val="24"/>
          <w:szCs w:val="24"/>
        </w:rPr>
        <w:t xml:space="preserve"> market trends 2022</w:t>
      </w:r>
      <w:r>
        <w:rPr>
          <w:rFonts w:ascii="Times New Roman" w:eastAsia="Times New Roman" w:hAnsi="Times New Roman" w:cs="Times New Roman"/>
          <w:sz w:val="24"/>
          <w:szCs w:val="24"/>
        </w:rPr>
        <w:t xml:space="preserve">. NHS Employers. (n.d.). Retrieved December 20, 2022, from </w:t>
      </w:r>
      <w:hyperlink r:id="rId11">
        <w:r>
          <w:rPr>
            <w:rFonts w:ascii="Times New Roman" w:eastAsia="Times New Roman" w:hAnsi="Times New Roman" w:cs="Times New Roman"/>
            <w:color w:val="1155CC"/>
            <w:sz w:val="24"/>
            <w:szCs w:val="24"/>
            <w:u w:val="single"/>
          </w:rPr>
          <w:t>https://www.nhsemployers.org/publications/labour-market-trends-2022</w:t>
        </w:r>
      </w:hyperlink>
      <w:r>
        <w:rPr>
          <w:rFonts w:ascii="Times New Roman" w:eastAsia="Times New Roman" w:hAnsi="Times New Roman" w:cs="Times New Roman"/>
          <w:sz w:val="24"/>
          <w:szCs w:val="24"/>
        </w:rPr>
        <w:t xml:space="preserve"> </w:t>
      </w:r>
    </w:p>
    <w:p w14:paraId="0000003D" w14:textId="77777777" w:rsidR="006F3053" w:rsidRDefault="00000000" w:rsidP="00521BCB">
      <w:pPr>
        <w:spacing w:before="240" w:after="24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or state: Differences in the regulations and practices of bankers’ remuneration in the UK and China. (2022). </w:t>
      </w:r>
      <w:r>
        <w:rPr>
          <w:rFonts w:ascii="Times New Roman" w:eastAsia="Times New Roman" w:hAnsi="Times New Roman" w:cs="Times New Roman"/>
          <w:i/>
          <w:sz w:val="24"/>
          <w:szCs w:val="24"/>
        </w:rPr>
        <w:t>Market or State</w:t>
      </w:r>
      <w:r>
        <w:rPr>
          <w:rFonts w:ascii="Times New Roman" w:eastAsia="Times New Roman" w:hAnsi="Times New Roman" w:cs="Times New Roman"/>
          <w:sz w:val="24"/>
          <w:szCs w:val="24"/>
        </w:rPr>
        <w:t xml:space="preserve">, 206–227. </w:t>
      </w:r>
      <w:hyperlink r:id="rId12">
        <w:r>
          <w:rPr>
            <w:rFonts w:ascii="Times New Roman" w:eastAsia="Times New Roman" w:hAnsi="Times New Roman" w:cs="Times New Roman"/>
            <w:color w:val="1155CC"/>
            <w:sz w:val="24"/>
            <w:szCs w:val="24"/>
            <w:u w:val="single"/>
          </w:rPr>
          <w:t>https://doi.org/10.1017/9781009076401.009</w:t>
        </w:r>
      </w:hyperlink>
      <w:r>
        <w:rPr>
          <w:rFonts w:ascii="Times New Roman" w:eastAsia="Times New Roman" w:hAnsi="Times New Roman" w:cs="Times New Roman"/>
          <w:sz w:val="24"/>
          <w:szCs w:val="24"/>
        </w:rPr>
        <w:t xml:space="preserve"> </w:t>
      </w:r>
    </w:p>
    <w:p w14:paraId="0000003E" w14:textId="77777777" w:rsidR="006F3053" w:rsidRDefault="00000000" w:rsidP="00521BCB">
      <w:pPr>
        <w:spacing w:before="240" w:after="24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Murphy, L., Thwaites, G., Slaughter, H., &amp; McCurdy, N. C. and C. (n.d.). </w:t>
      </w:r>
      <w:proofErr w:type="spellStart"/>
      <w:r>
        <w:rPr>
          <w:rFonts w:ascii="Times New Roman" w:eastAsia="Times New Roman" w:hAnsi="Times New Roman" w:cs="Times New Roman"/>
          <w:i/>
          <w:sz w:val="24"/>
          <w:szCs w:val="24"/>
        </w:rPr>
        <w:t>Labour</w:t>
      </w:r>
      <w:proofErr w:type="spellEnd"/>
      <w:r>
        <w:rPr>
          <w:rFonts w:ascii="Times New Roman" w:eastAsia="Times New Roman" w:hAnsi="Times New Roman" w:cs="Times New Roman"/>
          <w:i/>
          <w:sz w:val="24"/>
          <w:szCs w:val="24"/>
        </w:rPr>
        <w:t xml:space="preserve"> Market • Resolution Foundation Research on UK jobs, skills and more</w:t>
      </w:r>
      <w:r>
        <w:rPr>
          <w:rFonts w:ascii="Times New Roman" w:eastAsia="Times New Roman" w:hAnsi="Times New Roman" w:cs="Times New Roman"/>
          <w:sz w:val="24"/>
          <w:szCs w:val="24"/>
        </w:rPr>
        <w:t xml:space="preserve">. Resolution Foundation. Retrieved December 20, 2022, from </w:t>
      </w:r>
      <w:hyperlink r:id="rId13">
        <w:r>
          <w:rPr>
            <w:rFonts w:ascii="Times New Roman" w:eastAsia="Times New Roman" w:hAnsi="Times New Roman" w:cs="Times New Roman"/>
            <w:color w:val="1155CC"/>
            <w:sz w:val="24"/>
            <w:szCs w:val="24"/>
            <w:u w:val="single"/>
          </w:rPr>
          <w:t>https://www.resolutionfoundation.org/our-work/labour-market/</w:t>
        </w:r>
      </w:hyperlink>
      <w:r>
        <w:rPr>
          <w:rFonts w:ascii="Times New Roman" w:eastAsia="Times New Roman" w:hAnsi="Times New Roman" w:cs="Times New Roman"/>
          <w:sz w:val="24"/>
          <w:szCs w:val="24"/>
        </w:rPr>
        <w:t xml:space="preserve"> </w:t>
      </w:r>
    </w:p>
    <w:p w14:paraId="0000003F" w14:textId="77777777" w:rsidR="006F3053" w:rsidRDefault="00000000" w:rsidP="00521BCB">
      <w:pPr>
        <w:spacing w:before="240" w:after="24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UK </w:t>
      </w:r>
      <w:proofErr w:type="spellStart"/>
      <w:r>
        <w:rPr>
          <w:rFonts w:ascii="Times New Roman" w:eastAsia="Times New Roman" w:hAnsi="Times New Roman" w:cs="Times New Roman"/>
          <w:i/>
          <w:sz w:val="24"/>
          <w:szCs w:val="24"/>
        </w:rPr>
        <w:t>labour</w:t>
      </w:r>
      <w:proofErr w:type="spellEnd"/>
      <w:r>
        <w:rPr>
          <w:rFonts w:ascii="Times New Roman" w:eastAsia="Times New Roman" w:hAnsi="Times New Roman" w:cs="Times New Roman"/>
          <w:i/>
          <w:sz w:val="24"/>
          <w:szCs w:val="24"/>
        </w:rPr>
        <w:t xml:space="preserve"> market statistics - house of commons library</w:t>
      </w:r>
      <w:r>
        <w:rPr>
          <w:rFonts w:ascii="Times New Roman" w:eastAsia="Times New Roman" w:hAnsi="Times New Roman" w:cs="Times New Roman"/>
          <w:sz w:val="24"/>
          <w:szCs w:val="24"/>
        </w:rPr>
        <w:t xml:space="preserve">. (n.d.). Retrieved December 20, 2022, from </w:t>
      </w:r>
      <w:hyperlink r:id="rId14">
        <w:r>
          <w:rPr>
            <w:rFonts w:ascii="Times New Roman" w:eastAsia="Times New Roman" w:hAnsi="Times New Roman" w:cs="Times New Roman"/>
            <w:color w:val="1155CC"/>
            <w:sz w:val="24"/>
            <w:szCs w:val="24"/>
            <w:u w:val="single"/>
          </w:rPr>
          <w:t>https://commonslibrary.parliament.uk/research-briefings/cbp-9366/</w:t>
        </w:r>
      </w:hyperlink>
      <w:r>
        <w:rPr>
          <w:rFonts w:ascii="Times New Roman" w:eastAsia="Times New Roman" w:hAnsi="Times New Roman" w:cs="Times New Roman"/>
          <w:sz w:val="24"/>
          <w:szCs w:val="24"/>
        </w:rPr>
        <w:t xml:space="preserve"> </w:t>
      </w:r>
    </w:p>
    <w:sectPr w:rsidR="006F3053">
      <w:head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21E60" w14:textId="77777777" w:rsidR="00E5738F" w:rsidRDefault="00E5738F">
      <w:pPr>
        <w:spacing w:line="240" w:lineRule="auto"/>
      </w:pPr>
      <w:r>
        <w:separator/>
      </w:r>
    </w:p>
  </w:endnote>
  <w:endnote w:type="continuationSeparator" w:id="0">
    <w:p w14:paraId="72F22601" w14:textId="77777777" w:rsidR="00E5738F" w:rsidRDefault="00E573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E497D" w14:textId="77777777" w:rsidR="00E5738F" w:rsidRDefault="00E5738F">
      <w:pPr>
        <w:spacing w:line="240" w:lineRule="auto"/>
      </w:pPr>
      <w:r>
        <w:separator/>
      </w:r>
    </w:p>
  </w:footnote>
  <w:footnote w:type="continuationSeparator" w:id="0">
    <w:p w14:paraId="66C7C40C" w14:textId="77777777" w:rsidR="00E5738F" w:rsidRDefault="00E573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77777777" w:rsidR="006F3053" w:rsidRDefault="006F305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E659B"/>
    <w:multiLevelType w:val="multilevel"/>
    <w:tmpl w:val="682A69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84309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053"/>
    <w:rsid w:val="00521BCB"/>
    <w:rsid w:val="006F3053"/>
    <w:rsid w:val="008B0539"/>
    <w:rsid w:val="009621B9"/>
    <w:rsid w:val="00B2330E"/>
    <w:rsid w:val="00B413A3"/>
    <w:rsid w:val="00B456B6"/>
    <w:rsid w:val="00E5738F"/>
    <w:rsid w:val="00F26080"/>
    <w:rsid w:val="00FB4E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2F383"/>
  <w15:docId w15:val="{DF2D9F8B-89DC-4EF3-87E0-567DA4317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uiPriority w:val="1"/>
    <w:qFormat/>
    <w:rsid w:val="00521BCB"/>
    <w:pPr>
      <w:spacing w:line="240" w:lineRule="auto"/>
    </w:pPr>
  </w:style>
  <w:style w:type="paragraph" w:styleId="TOCHeading">
    <w:name w:val="TOC Heading"/>
    <w:basedOn w:val="Heading1"/>
    <w:next w:val="Normal"/>
    <w:uiPriority w:val="39"/>
    <w:unhideWhenUsed/>
    <w:qFormat/>
    <w:rsid w:val="00521BC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521BCB"/>
    <w:pPr>
      <w:spacing w:after="100"/>
    </w:pPr>
  </w:style>
  <w:style w:type="paragraph" w:styleId="TOC2">
    <w:name w:val="toc 2"/>
    <w:basedOn w:val="Normal"/>
    <w:next w:val="Normal"/>
    <w:autoRedefine/>
    <w:uiPriority w:val="39"/>
    <w:unhideWhenUsed/>
    <w:rsid w:val="00521BCB"/>
    <w:pPr>
      <w:spacing w:after="100"/>
      <w:ind w:left="220"/>
    </w:pPr>
  </w:style>
  <w:style w:type="character" w:styleId="Hyperlink">
    <w:name w:val="Hyperlink"/>
    <w:basedOn w:val="DefaultParagraphFont"/>
    <w:uiPriority w:val="99"/>
    <w:unhideWhenUsed/>
    <w:rsid w:val="00521B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20995">
      <w:bodyDiv w:val="1"/>
      <w:marLeft w:val="0"/>
      <w:marRight w:val="0"/>
      <w:marTop w:val="0"/>
      <w:marBottom w:val="0"/>
      <w:divBdr>
        <w:top w:val="none" w:sz="0" w:space="0" w:color="auto"/>
        <w:left w:val="none" w:sz="0" w:space="0" w:color="auto"/>
        <w:bottom w:val="none" w:sz="0" w:space="0" w:color="auto"/>
        <w:right w:val="none" w:sz="0" w:space="0" w:color="auto"/>
      </w:divBdr>
    </w:div>
    <w:div w:id="1027410003">
      <w:bodyDiv w:val="1"/>
      <w:marLeft w:val="0"/>
      <w:marRight w:val="0"/>
      <w:marTop w:val="0"/>
      <w:marBottom w:val="0"/>
      <w:divBdr>
        <w:top w:val="none" w:sz="0" w:space="0" w:color="auto"/>
        <w:left w:val="none" w:sz="0" w:space="0" w:color="auto"/>
        <w:bottom w:val="none" w:sz="0" w:space="0" w:color="auto"/>
        <w:right w:val="none" w:sz="0" w:space="0" w:color="auto"/>
      </w:divBdr>
    </w:div>
    <w:div w:id="1306355961">
      <w:bodyDiv w:val="1"/>
      <w:marLeft w:val="0"/>
      <w:marRight w:val="0"/>
      <w:marTop w:val="0"/>
      <w:marBottom w:val="0"/>
      <w:divBdr>
        <w:top w:val="none" w:sz="0" w:space="0" w:color="auto"/>
        <w:left w:val="none" w:sz="0" w:space="0" w:color="auto"/>
        <w:bottom w:val="none" w:sz="0" w:space="0" w:color="auto"/>
        <w:right w:val="none" w:sz="0" w:space="0" w:color="auto"/>
      </w:divBdr>
    </w:div>
    <w:div w:id="21143519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methodologies/comparisonoflabourmarketdatasources" TargetMode="External"/><Relationship Id="rId13" Type="http://schemas.openxmlformats.org/officeDocument/2006/relationships/hyperlink" Target="https://www.resolutionfoundation.org/our-work/labour-marke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7/9781009076401.00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employers.org/publications/labour-market-trends-202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ipd.co.uk/knowledge/work/trends/labour-market-outlook" TargetMode="External"/><Relationship Id="rId4" Type="http://schemas.openxmlformats.org/officeDocument/2006/relationships/settings" Target="settings.xml"/><Relationship Id="rId9" Type="http://schemas.openxmlformats.org/officeDocument/2006/relationships/hyperlink" Target="https://www.theguardian.com/business/2022/nov/15/uk-labour-market-inflation-real-pay-unemployment" TargetMode="External"/><Relationship Id="rId14" Type="http://schemas.openxmlformats.org/officeDocument/2006/relationships/hyperlink" Target="https://commonslibrary.parliament.uk/research-briefings/cbp-93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1B2975-DDC3-4481-8B13-FC78D6092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10</Pages>
  <Words>2874</Words>
  <Characters>16384</Characters>
  <Application>Microsoft Office Word</Application>
  <DocSecurity>0</DocSecurity>
  <Lines>136</Lines>
  <Paragraphs>38</Paragraphs>
  <ScaleCrop>false</ScaleCrop>
  <Company/>
  <LinksUpToDate>false</LinksUpToDate>
  <CharactersWithSpaces>19220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Imran Alam</cp:lastModifiedBy>
  <cp:revision>8</cp:revision>
  <dcterms:created xsi:type="dcterms:W3CDTF">2022-12-24T04:20:00Z</dcterms:created>
  <dcterms:modified xsi:type="dcterms:W3CDTF">2023-01-04T05:40:00Z</dcterms:modified>
</cp:coreProperties>
</file>