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D8498" w14:textId="77777777" w:rsidR="00112AE7" w:rsidRDefault="00112AE7" w:rsidP="00112AE7">
      <w:pPr>
        <w:spacing w:before="166" w:after="166" w:line="360" w:lineRule="auto"/>
        <w:jc w:val="center"/>
        <w:rPr>
          <w:b/>
          <w:bCs/>
          <w:u w:val="single"/>
        </w:rPr>
      </w:pPr>
      <w:r>
        <w:rPr>
          <w:b/>
          <w:bCs/>
          <w:u w:val="single"/>
        </w:rPr>
        <w:t>Script</w:t>
      </w:r>
    </w:p>
    <w:p w14:paraId="4B948A6B" w14:textId="77777777" w:rsidR="00112AE7" w:rsidRPr="0079263E" w:rsidRDefault="00112AE7" w:rsidP="00112AE7">
      <w:pPr>
        <w:spacing w:before="166" w:after="166" w:line="360" w:lineRule="auto"/>
        <w:jc w:val="center"/>
        <w:rPr>
          <w:b/>
          <w:bCs/>
        </w:rPr>
      </w:pPr>
      <w:r w:rsidRPr="0079263E">
        <w:rPr>
          <w:b/>
          <w:bCs/>
        </w:rPr>
        <w:t>SLIDE 1: Title Slide</w:t>
      </w:r>
    </w:p>
    <w:p w14:paraId="1C8F047D" w14:textId="77777777" w:rsidR="00112AE7" w:rsidRPr="00CA4CE5" w:rsidRDefault="00112AE7" w:rsidP="00112AE7">
      <w:pPr>
        <w:spacing w:before="166" w:after="166" w:line="360" w:lineRule="auto"/>
      </w:pPr>
      <w:r w:rsidRPr="00CA4CE5">
        <w:t>Welcome to this presentation which will contain a rehabilitative proposal for Major Depressive Disorder (MDD) in Children and Adolescents with Autism Spectrum Disorder (ASD).</w:t>
      </w:r>
    </w:p>
    <w:p w14:paraId="35ABEC2E" w14:textId="77777777" w:rsidR="00112AE7" w:rsidRPr="0079263E" w:rsidRDefault="00112AE7" w:rsidP="00112AE7">
      <w:pPr>
        <w:spacing w:before="166" w:after="166" w:line="360" w:lineRule="auto"/>
        <w:jc w:val="center"/>
        <w:rPr>
          <w:b/>
          <w:bCs/>
        </w:rPr>
      </w:pPr>
      <w:r w:rsidRPr="0079263E">
        <w:rPr>
          <w:b/>
          <w:bCs/>
        </w:rPr>
        <w:t xml:space="preserve">SLIDE 2: Contents </w:t>
      </w:r>
    </w:p>
    <w:p w14:paraId="1F90601A" w14:textId="77777777" w:rsidR="00112AE7" w:rsidRPr="00CA4CE5" w:rsidRDefault="00112AE7" w:rsidP="00112AE7">
      <w:pPr>
        <w:spacing w:before="166" w:after="166" w:line="360" w:lineRule="auto"/>
      </w:pPr>
      <w:r w:rsidRPr="00CA4CE5">
        <w:t>As shown, here is the content for this presentation which will be discussed in more detail throughout.</w:t>
      </w:r>
    </w:p>
    <w:p w14:paraId="00C3928D" w14:textId="77777777" w:rsidR="00112AE7" w:rsidRPr="0079263E" w:rsidRDefault="00112AE7" w:rsidP="00112AE7">
      <w:pPr>
        <w:spacing w:before="166" w:after="166" w:line="360" w:lineRule="auto"/>
        <w:jc w:val="center"/>
        <w:rPr>
          <w:b/>
          <w:bCs/>
          <w:color w:val="000000"/>
        </w:rPr>
      </w:pPr>
      <w:r>
        <w:rPr>
          <w:b/>
          <w:bCs/>
          <w:color w:val="000000"/>
        </w:rPr>
        <w:t xml:space="preserve">SLIDE 3: </w:t>
      </w:r>
      <w:r w:rsidRPr="0079263E">
        <w:rPr>
          <w:b/>
          <w:bCs/>
          <w:color w:val="000000"/>
        </w:rPr>
        <w:t>MDD and ASD</w:t>
      </w:r>
    </w:p>
    <w:p w14:paraId="69D9DB2D" w14:textId="77777777" w:rsidR="00112AE7" w:rsidRPr="00CA4CE5" w:rsidRDefault="00112AE7" w:rsidP="00112A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CA4CE5">
        <w:rPr>
          <w:color w:val="000000"/>
        </w:rPr>
        <w:t>MDD is</w:t>
      </w:r>
      <w:r w:rsidRPr="00CA4CE5">
        <w:t xml:space="preserve"> characterised as “a major depressive episode for a period of at least 2 weeks” … consisting of …” depressed mood or the loss of interest or pleasure in nearly all activi</w:t>
      </w:r>
      <w:r w:rsidRPr="00CA4CE5">
        <w:softHyphen/>
        <w:t xml:space="preserve">ties”. Children and adolescents with the disorder may present as irritable or sad (DSM-5, 2013) </w:t>
      </w:r>
      <w:r w:rsidRPr="00CA4CE5">
        <w:rPr>
          <w:color w:val="000000"/>
        </w:rPr>
        <w:t>(American Psychiatric Association, 2013).</w:t>
      </w:r>
      <w:r w:rsidRPr="00CA4CE5">
        <w:rPr>
          <w:color w:val="262626"/>
        </w:rPr>
        <w:t xml:space="preserve"> </w:t>
      </w:r>
      <w:r w:rsidRPr="00CA4CE5">
        <w:rPr>
          <w:color w:val="111111"/>
        </w:rPr>
        <w:t>Autism Spectrum Disorder or ASD is a neurodevelopmental disorder characterised by “</w:t>
      </w:r>
      <w:r w:rsidRPr="00CA4CE5">
        <w:t>Persistent deficits in social communication and social interaction across multiple con</w:t>
      </w:r>
      <w:r w:rsidRPr="00CA4CE5">
        <w:softHyphen/>
        <w:t xml:space="preserve">texts with restricted, repetitive patterns of behaviour, interests, or activities” </w:t>
      </w:r>
      <w:r w:rsidRPr="00CA4CE5">
        <w:rPr>
          <w:color w:val="000000"/>
        </w:rPr>
        <w:t>American Psychiatric Association, 2013).</w:t>
      </w:r>
      <w:r w:rsidRPr="00CA4CE5">
        <w:t xml:space="preserve"> </w:t>
      </w:r>
      <w:r w:rsidRPr="00CA4CE5">
        <w:rPr>
          <w:color w:val="111111"/>
        </w:rPr>
        <w:t>The prevalence of MDD in children and adolescents with ASD varies across studies but the comorbidity of the two disorders appears significant (</w:t>
      </w:r>
      <w:r w:rsidRPr="00CA4CE5">
        <w:rPr>
          <w:color w:val="000000"/>
        </w:rPr>
        <w:t xml:space="preserve">Chandrasekhar &amp; Sikich, 2015; </w:t>
      </w:r>
      <w:r w:rsidRPr="00CA4CE5">
        <w:rPr>
          <w:color w:val="111111"/>
        </w:rPr>
        <w:t>Halvorsen et al., 2024; Henry et al., 2014; Hudson et al., 2018; Stewart et al., 2021)</w:t>
      </w:r>
    </w:p>
    <w:p w14:paraId="65BA30C7" w14:textId="77777777" w:rsidR="00112AE7" w:rsidRPr="00CA4CE5" w:rsidRDefault="00112AE7" w:rsidP="00112A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141413"/>
          <w:u w:val="single"/>
        </w:rPr>
      </w:pPr>
    </w:p>
    <w:p w14:paraId="32EE2905" w14:textId="77777777" w:rsidR="00112AE7" w:rsidRPr="0079263E" w:rsidRDefault="00112AE7" w:rsidP="00112A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pPr>
      <w:r w:rsidRPr="0079263E">
        <w:rPr>
          <w:b/>
          <w:bCs/>
          <w:color w:val="141413"/>
        </w:rPr>
        <w:t>SLIDE 4: Lay Summary</w:t>
      </w:r>
    </w:p>
    <w:p w14:paraId="75A87FC7" w14:textId="77777777" w:rsidR="00112AE7" w:rsidRPr="00CA4CE5" w:rsidRDefault="00112AE7" w:rsidP="00112AE7">
      <w:pPr>
        <w:pStyle w:val="NormalWeb"/>
        <w:spacing w:line="360" w:lineRule="auto"/>
        <w:rPr>
          <w:color w:val="000000"/>
        </w:rPr>
      </w:pPr>
      <w:r w:rsidRPr="00CA4CE5">
        <w:rPr>
          <w:color w:val="000000"/>
        </w:rPr>
        <w:t>Here is a lay summary of the intended rehabilitative treatment plan.</w:t>
      </w:r>
    </w:p>
    <w:p w14:paraId="5C3AE2C3" w14:textId="77777777" w:rsidR="00112AE7" w:rsidRPr="00CA4CE5" w:rsidRDefault="00112AE7" w:rsidP="00112A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bCs/>
          <w:color w:val="000000"/>
        </w:rPr>
      </w:pPr>
      <w:r w:rsidRPr="00CA4CE5">
        <w:rPr>
          <w:b/>
          <w:bCs/>
          <w:color w:val="000000"/>
        </w:rPr>
        <w:t>SLIDES 5 &amp; 6: Literature Review</w:t>
      </w:r>
    </w:p>
    <w:p w14:paraId="5A1A3B37" w14:textId="77777777" w:rsidR="00112AE7" w:rsidRPr="00CA4CE5" w:rsidRDefault="00112AE7" w:rsidP="00112A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141413"/>
        </w:rPr>
      </w:pPr>
    </w:p>
    <w:p w14:paraId="3B5E87CB" w14:textId="77777777" w:rsidR="00112AE7" w:rsidRPr="00CA4CE5" w:rsidRDefault="00112AE7" w:rsidP="00112A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CA4CE5">
        <w:rPr>
          <w:color w:val="141413"/>
        </w:rPr>
        <w:t xml:space="preserve">There are apparent issues present in the screening of MDD. Although some authors claim that screening is successful at identifying this often-disregarded disorder among medical professionals </w:t>
      </w:r>
      <w:r w:rsidRPr="00CA4CE5">
        <w:rPr>
          <w:color w:val="000000"/>
        </w:rPr>
        <w:t>(Otte et al., 2016; Reynolds &amp; Frank, 2016), others argue that a universal screening process for MDD is unfeasible and lacks empirical support (</w:t>
      </w:r>
      <w:r w:rsidRPr="00CA4CE5">
        <w:rPr>
          <w:i/>
          <w:iCs/>
          <w:color w:val="000000"/>
        </w:rPr>
        <w:t xml:space="preserve">Screening for Depression in Adults: An Updated Systematic Evidence Review for the U.S. Preventive </w:t>
      </w:r>
      <w:r w:rsidRPr="00CA4CE5">
        <w:rPr>
          <w:i/>
          <w:iCs/>
          <w:color w:val="000000"/>
        </w:rPr>
        <w:lastRenderedPageBreak/>
        <w:t>Services Task Force [Internet]</w:t>
      </w:r>
      <w:r w:rsidRPr="00CA4CE5">
        <w:rPr>
          <w:color w:val="000000"/>
        </w:rPr>
        <w:t xml:space="preserve">, 2016; Thombs et al., 2014). </w:t>
      </w:r>
      <w:r w:rsidRPr="00CA4CE5">
        <w:rPr>
          <w:color w:val="1F1F1F"/>
        </w:rPr>
        <w:t xml:space="preserve">In the current case regarding children and adolescents with ASD and co-existing MDD, more specific, standardised methods for diagnosis are required, as is the exploration into the efficacy of treatment using medication and psychosocial therapy </w:t>
      </w:r>
      <w:r w:rsidRPr="00CA4CE5">
        <w:rPr>
          <w:color w:val="000000"/>
        </w:rPr>
        <w:t xml:space="preserve">(Chandrasekhar &amp; Sikich, 2015; Magnuson &amp; Constantino, 2011, Stewart et al., 2021). </w:t>
      </w:r>
      <w:r w:rsidRPr="00CA4CE5">
        <w:t>This is concerning considering that diagnoses for mood</w:t>
      </w:r>
      <w:r w:rsidRPr="007D22A4">
        <w:rPr>
          <w:rFonts w:eastAsiaTheme="minorEastAsia"/>
        </w:rPr>
        <w:t xml:space="preserve"> disorders </w:t>
      </w:r>
      <w:r w:rsidRPr="00CA4CE5">
        <w:t>inform clinical care. Prompt</w:t>
      </w:r>
      <w:r w:rsidRPr="007D22A4">
        <w:rPr>
          <w:rFonts w:eastAsiaTheme="minorEastAsia"/>
        </w:rPr>
        <w:t xml:space="preserve"> and accurate</w:t>
      </w:r>
      <w:r w:rsidRPr="00CA4CE5">
        <w:t xml:space="preserve"> diagnosis could allow</w:t>
      </w:r>
      <w:r w:rsidRPr="007D22A4">
        <w:rPr>
          <w:rFonts w:eastAsiaTheme="minorEastAsia"/>
        </w:rPr>
        <w:t xml:space="preserve"> individuals the best possible outcome</w:t>
      </w:r>
      <w:r w:rsidRPr="00CA4CE5">
        <w:t xml:space="preserve">s </w:t>
      </w:r>
      <w:r w:rsidRPr="00CA4CE5">
        <w:rPr>
          <w:color w:val="000000"/>
        </w:rPr>
        <w:t>(Halvorsen et al., 2024)</w:t>
      </w:r>
      <w:r w:rsidRPr="007D22A4">
        <w:rPr>
          <w:rFonts w:eastAsiaTheme="minorEastAsia"/>
        </w:rPr>
        <w:t xml:space="preserve"> by receiving timely, relevant, and informed </w:t>
      </w:r>
      <w:r w:rsidRPr="00CA4CE5">
        <w:t>treatment</w:t>
      </w:r>
      <w:r w:rsidRPr="007D22A4">
        <w:rPr>
          <w:rFonts w:eastAsiaTheme="minorEastAsia"/>
        </w:rPr>
        <w:t xml:space="preserve"> (Holmboe &amp; Durning, 2014)</w:t>
      </w:r>
      <w:r w:rsidRPr="00CA4CE5">
        <w:t xml:space="preserve">. </w:t>
      </w:r>
      <w:r>
        <w:tab/>
      </w:r>
      <w:r>
        <w:tab/>
      </w:r>
      <w:r>
        <w:tab/>
      </w:r>
      <w:r>
        <w:tab/>
      </w:r>
      <w:r>
        <w:tab/>
      </w:r>
      <w:r>
        <w:tab/>
      </w:r>
      <w:r>
        <w:tab/>
      </w:r>
      <w:r>
        <w:tab/>
      </w:r>
      <w:r w:rsidRPr="00CA4CE5">
        <w:t xml:space="preserve">The characteristics of ASD in social, cognitive and </w:t>
      </w:r>
      <w:r w:rsidRPr="00CA4CE5">
        <w:rPr>
          <w:color w:val="333333"/>
        </w:rPr>
        <w:t>communication deficits may further complicate the diagnostic process as MDD in children and adolescents with ASD can present challenges due to atypical expressions and difficulty in articulating depressive symptoms (</w:t>
      </w:r>
      <w:r w:rsidRPr="00CA4CE5">
        <w:rPr>
          <w:color w:val="000000"/>
        </w:rPr>
        <w:t xml:space="preserve">Chandrasekhar &amp; Sikich, 2015) which could explain the previously mentioned variation in prevalence rates throughout research of depressive disorders among children with ASD (Magnuson &amp; Constantino, 2011). </w:t>
      </w:r>
      <w:r w:rsidRPr="00CA4CE5">
        <w:rPr>
          <w:color w:val="333333"/>
        </w:rPr>
        <w:t>Further, research within this population is insufficient in standardised diagnostic criteria for identifying depression in individuals with ASD, and trajectories of depressive disorders into adulthood</w:t>
      </w:r>
      <w:r w:rsidRPr="00CA4CE5">
        <w:rPr>
          <w:color w:val="000000"/>
        </w:rPr>
        <w:t xml:space="preserve"> (Henry et al., 2014).</w:t>
      </w:r>
      <w:r w:rsidRPr="00CA4CE5">
        <w:rPr>
          <w:color w:val="1F1F1F"/>
        </w:rPr>
        <w:t xml:space="preserve"> A validated diagnostic method suitable for this age group such as the </w:t>
      </w:r>
      <w:r w:rsidRPr="00CA4CE5">
        <w:rPr>
          <w:color w:val="212121"/>
          <w:shd w:val="clear" w:color="auto" w:fill="FFFFFF"/>
        </w:rPr>
        <w:t>Autism Comorbidity Interview-Present and Lifetime Version (ACI-PL)</w:t>
      </w:r>
      <w:r w:rsidRPr="00CA4CE5">
        <w:rPr>
          <w:color w:val="000000"/>
        </w:rPr>
        <w:t xml:space="preserve"> (Leyfer et al., 2006) should be used as it contains robust psychometric properties. However, the evaluation of symptoms should be conducted by a clinician with comprehensive knowledge of ASD and its related symptoms and the ability to distinguish these from symptoms of depressive disorders</w:t>
      </w:r>
      <w:r w:rsidRPr="00CA4CE5">
        <w:rPr>
          <w:color w:val="222222"/>
          <w:shd w:val="clear" w:color="auto" w:fill="FFFFFF"/>
        </w:rPr>
        <w:t xml:space="preserve"> which may overlap could be attributable to genetic influences (</w:t>
      </w:r>
      <w:r w:rsidRPr="00CA4CE5">
        <w:rPr>
          <w:color w:val="000000"/>
        </w:rPr>
        <w:t>Halvorsen et al., 2024).</w:t>
      </w:r>
      <w:r w:rsidRPr="00CA4CE5">
        <w:t xml:space="preserve"> </w:t>
      </w:r>
      <w:r>
        <w:tab/>
      </w:r>
      <w:r>
        <w:tab/>
      </w:r>
      <w:r>
        <w:tab/>
      </w:r>
      <w:r>
        <w:tab/>
      </w:r>
      <w:r>
        <w:tab/>
      </w:r>
      <w:r>
        <w:tab/>
      </w:r>
      <w:r w:rsidRPr="00CA4CE5">
        <w:t xml:space="preserve">Both pharmacotherapy and psychotherapy are most effective when administered in combination to individuals with MDD rather than individually </w:t>
      </w:r>
      <w:r w:rsidRPr="00CA4CE5">
        <w:rPr>
          <w:color w:val="000000"/>
        </w:rPr>
        <w:t xml:space="preserve">(Cuijpers et al., 2015; Dunlop, 2016; </w:t>
      </w:r>
      <w:r w:rsidRPr="00CA4CE5">
        <w:t xml:space="preserve">Hudson et al., 2018; </w:t>
      </w:r>
      <w:r w:rsidRPr="00CA4CE5">
        <w:rPr>
          <w:color w:val="000000"/>
        </w:rPr>
        <w:t>Otte et al., 2016). However, they are difficult to compare individually due to methodological discrepancies between research studies such as various blinding stages</w:t>
      </w:r>
      <w:r w:rsidRPr="00CA4CE5">
        <w:rPr>
          <w:color w:val="141413"/>
        </w:rPr>
        <w:t xml:space="preserve"> during randomised controlled trials </w:t>
      </w:r>
      <w:r w:rsidRPr="00CA4CE5">
        <w:rPr>
          <w:color w:val="000000"/>
        </w:rPr>
        <w:t>(Amick et al., 2015; Boutron et al., 2006)</w:t>
      </w:r>
      <w:r w:rsidRPr="00CA4CE5">
        <w:rPr>
          <w:color w:val="141413"/>
        </w:rPr>
        <w:t xml:space="preserve">. </w:t>
      </w:r>
      <w:r w:rsidRPr="00CA4CE5">
        <w:rPr>
          <w:color w:val="000000"/>
        </w:rPr>
        <w:t xml:space="preserve">Most patients respond instantly and positively towards medication in the treatment of their symptoms of MDD. Escitalopram (aged </w:t>
      </w:r>
      <w:r w:rsidRPr="00CA4CE5">
        <w:rPr>
          <w:color w:val="262626"/>
        </w:rPr>
        <w:t xml:space="preserve">12+ years) </w:t>
      </w:r>
      <w:r w:rsidRPr="00CA4CE5">
        <w:rPr>
          <w:color w:val="000000"/>
        </w:rPr>
        <w:t xml:space="preserve">is the preferred form of SSRI followed by fluoxetine (aged 8+ years) due to their efficacy and tolerability in children and adolescents. However, previous pharmacological history of the child and family members should be used to inform the decision of prescribed medications.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sidRPr="00CA4CE5">
        <w:rPr>
          <w:color w:val="000000"/>
        </w:rPr>
        <w:t xml:space="preserve">After receiving the lowest dosage of escitalopram for 2 weeks, this can be increased if symptoms do not improve (Warnick et al., 2021). If after 6 weeks there is still no progress, </w:t>
      </w:r>
      <w:r w:rsidRPr="00CA4CE5">
        <w:rPr>
          <w:color w:val="000000"/>
        </w:rPr>
        <w:lastRenderedPageBreak/>
        <w:t xml:space="preserve">consider fluoxetine as a replacement SSRI (Brent et al., 2009), or another class of medication to increase norepinephrine alongside escitalopram should be used. This additional medication may improve functioning, energy, and concentration levels. Patients should receive engaging and collaborative care whereby they are educated throughout their treatment of MDD and their medication, including its side effects (Warnick et al., 2021) and non-compliance risks (in developmentally appropriate ways) to prevent nonadherence to medication, which may be a common occurrence (Katon et al., 2015; Sirey et al., 2017). Importantly, the FDA had issued a black box warning for SSRIs in adolescents, yet more recent systematic review showed that both fluoxetine and escitalopram improved depressive symptoms in adolescents, and this included randomised placebo-controlled trials (Ignaszewski &amp; Waslick, 2018). </w:t>
      </w:r>
      <w:r>
        <w:rPr>
          <w:color w:val="000000"/>
        </w:rPr>
        <w:tab/>
      </w:r>
      <w:r>
        <w:rPr>
          <w:color w:val="000000"/>
        </w:rPr>
        <w:tab/>
      </w:r>
      <w:r w:rsidRPr="00CA4CE5">
        <w:rPr>
          <w:color w:val="141413"/>
        </w:rPr>
        <w:t xml:space="preserve">Wide scale research has demonstrated cognitive-behavioural therapy as an effective treatment for treatment resistant and severe depression </w:t>
      </w:r>
      <w:r w:rsidRPr="00CA4CE5">
        <w:rPr>
          <w:color w:val="000000"/>
        </w:rPr>
        <w:t>(Negt et al., 2016; Wiles et al., 2013; Wiles et al., 2016). CBT focuses on the interactive effects on one’s thoughts, behaviours, and physiology by utilising cognitive and behavioural restructuring techniques to navigate through stressful circumstances and redirect negative thoughts</w:t>
      </w:r>
      <w:r w:rsidRPr="00CA4CE5">
        <w:t xml:space="preserve"> </w:t>
      </w:r>
      <w:r w:rsidRPr="00CA4CE5">
        <w:rPr>
          <w:color w:val="000000"/>
        </w:rPr>
        <w:t xml:space="preserve">(Craske, 2017). CBT can be provided in person or through digitalised means based on the preferences of the child or young person, without comprising its efficacy (Amick et al., 2015; Gajaria et al., 2015; Khatri et al., 2014; Sztein et al., 2017).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sidRPr="00CA4CE5">
        <w:rPr>
          <w:color w:val="000000"/>
        </w:rPr>
        <w:t xml:space="preserve">More recently, due to the rising numbers of mental health issues in children and young people, digital CBT has been offered as a supposedly accessible, and preferred, simplistic method of therapy for this population (Lehtimaki et al., 2021; NICE, 2023). CBT for depressive disorders has also demonstrated neurological alterations among brain regions involved in emotional regulation processing including the </w:t>
      </w:r>
      <w:r w:rsidRPr="00CA4CE5">
        <w:rPr>
          <w:color w:val="222222"/>
          <w:shd w:val="clear" w:color="auto" w:fill="FFFFFF"/>
        </w:rPr>
        <w:t xml:space="preserve">amygdala, anterior cingulate cortex, and the prefrontal cortex. However, further exploration is needed to understand how this may relate to clinical research findings </w:t>
      </w:r>
      <w:r w:rsidRPr="00CA4CE5">
        <w:rPr>
          <w:color w:val="000000"/>
        </w:rPr>
        <w:t>(Young &amp; Craske, 2018).</w:t>
      </w:r>
      <w:r w:rsidRPr="00CA4CE5">
        <w:t xml:space="preserve"> </w:t>
      </w:r>
      <w:r>
        <w:tab/>
      </w:r>
      <w:r>
        <w:tab/>
      </w:r>
      <w:r>
        <w:tab/>
      </w:r>
      <w:r>
        <w:tab/>
      </w:r>
      <w:r>
        <w:tab/>
      </w:r>
      <w:r w:rsidRPr="00CA4CE5">
        <w:rPr>
          <w:color w:val="333333"/>
        </w:rPr>
        <w:t xml:space="preserve">The bidirectional impact of living with an individual with ASD is also an important and complex consideration on the family system; relative to parental stress, escalation in ASD symptoms, and the effect of this on neurotypical siblings </w:t>
      </w:r>
      <w:r w:rsidRPr="00CA4CE5">
        <w:rPr>
          <w:color w:val="000000"/>
        </w:rPr>
        <w:t>(Tudor &amp; Lerner, 2014). Family therapy should be incorporated into the treatment of MDD in ASD children and adolescents to improve their support systems, reduce familial stress levels and adverse behaviours, and increase holistic individual and family welfare (Chandrasekhar &amp; Sikich, 2015; Ramanuj et al., 2019).</w:t>
      </w:r>
    </w:p>
    <w:p w14:paraId="348C5648" w14:textId="77777777" w:rsidR="00112AE7" w:rsidRPr="00CA4CE5" w:rsidRDefault="00112AE7" w:rsidP="00112AE7">
      <w:pPr>
        <w:spacing w:before="166" w:after="166" w:line="360" w:lineRule="auto"/>
        <w:jc w:val="center"/>
        <w:rPr>
          <w:b/>
          <w:bCs/>
          <w:color w:val="000000"/>
        </w:rPr>
      </w:pPr>
      <w:r w:rsidRPr="00CA4CE5">
        <w:rPr>
          <w:b/>
          <w:bCs/>
          <w:color w:val="000000"/>
        </w:rPr>
        <w:t>SLIDE 7: Proposed methodology</w:t>
      </w:r>
    </w:p>
    <w:p w14:paraId="06D6D257" w14:textId="77777777" w:rsidR="00112AE7" w:rsidRPr="00CA4CE5" w:rsidRDefault="00112AE7" w:rsidP="00112AE7">
      <w:pPr>
        <w:spacing w:before="166" w:after="166" w:line="360" w:lineRule="auto"/>
        <w:rPr>
          <w:color w:val="000000"/>
        </w:rPr>
      </w:pPr>
      <w:r w:rsidRPr="00CA4CE5">
        <w:rPr>
          <w:color w:val="000000"/>
        </w:rPr>
        <w:lastRenderedPageBreak/>
        <w:t>The proposed methodology will be discussed next and will involve these presented elements.</w:t>
      </w:r>
    </w:p>
    <w:p w14:paraId="7A500056" w14:textId="77777777" w:rsidR="00112AE7" w:rsidRPr="00CA4CE5" w:rsidRDefault="00112AE7" w:rsidP="00112AE7">
      <w:pPr>
        <w:spacing w:before="166" w:after="166" w:line="360" w:lineRule="auto"/>
        <w:jc w:val="center"/>
        <w:rPr>
          <w:color w:val="000000"/>
        </w:rPr>
      </w:pPr>
      <w:r w:rsidRPr="00CA4CE5">
        <w:rPr>
          <w:b/>
          <w:bCs/>
          <w:color w:val="000000"/>
        </w:rPr>
        <w:t>SLIDE 8: Rehabilitative treatment</w:t>
      </w:r>
    </w:p>
    <w:p w14:paraId="6A29CDF0" w14:textId="77777777" w:rsidR="00112AE7" w:rsidRPr="00CA4CE5" w:rsidRDefault="00112AE7" w:rsidP="00112AE7">
      <w:pPr>
        <w:spacing w:before="166" w:after="166" w:line="360" w:lineRule="auto"/>
        <w:rPr>
          <w:color w:val="000000"/>
        </w:rPr>
      </w:pPr>
      <w:r w:rsidRPr="00CA4CE5">
        <w:rPr>
          <w:color w:val="000000"/>
        </w:rPr>
        <w:t>The design is a rehabilitative intervention for children and adolescents with comorbid MDD and ASD. An ACI-PL will be completed at baseline and throughout stages of treatment. Pharmacological and psychotherapeutic collaborative care will be provided and the use of SSRI's.</w:t>
      </w:r>
    </w:p>
    <w:p w14:paraId="60CE6333" w14:textId="77777777" w:rsidR="00112AE7" w:rsidRPr="00CA4CE5" w:rsidRDefault="00112AE7" w:rsidP="00112AE7">
      <w:pPr>
        <w:pStyle w:val="NormalWeb"/>
        <w:spacing w:before="166" w:beforeAutospacing="0" w:after="166" w:afterAutospacing="0" w:line="360" w:lineRule="auto"/>
        <w:jc w:val="center"/>
        <w:rPr>
          <w:b/>
          <w:bCs/>
          <w:color w:val="000000"/>
        </w:rPr>
      </w:pPr>
      <w:r w:rsidRPr="00CA4CE5">
        <w:rPr>
          <w:b/>
          <w:bCs/>
          <w:color w:val="000000"/>
        </w:rPr>
        <w:t>SLIDE 9: Target population and recruitment</w:t>
      </w:r>
    </w:p>
    <w:p w14:paraId="68C094C2" w14:textId="77777777" w:rsidR="00112AE7" w:rsidRPr="00CA4CE5" w:rsidRDefault="00112AE7" w:rsidP="00112AE7">
      <w:pPr>
        <w:pStyle w:val="NormalWeb"/>
        <w:spacing w:before="166" w:beforeAutospacing="0" w:after="166" w:afterAutospacing="0" w:line="360" w:lineRule="auto"/>
        <w:rPr>
          <w:color w:val="000000"/>
        </w:rPr>
      </w:pPr>
      <w:r w:rsidRPr="00CA4CE5">
        <w:rPr>
          <w:color w:val="000000"/>
        </w:rPr>
        <w:t>The target population is children and adolescents aged 8-19 years based on medication requirements and adolescence age range (Warnick et al., 2021; World Health Organization: WHO, 2019) who are diagnosed with both ASD and MDD. They will be invited to partake in this rehabilitative treatment plan with their parents or legal guardians. Permission with aim to prevent misdiagnosis and relapse into recurrent depressive episodes and suicide occuring in in this population. Further reducing the impact of MDD on children and adolescents with ASD and the cost on public health services, whilst providing protection from progression of the disorder and improving prognosis.</w:t>
      </w:r>
    </w:p>
    <w:p w14:paraId="3F17D2A2" w14:textId="77777777" w:rsidR="00112AE7" w:rsidRPr="00CA4CE5" w:rsidRDefault="00112AE7" w:rsidP="00112AE7">
      <w:pPr>
        <w:pStyle w:val="NormalWeb"/>
        <w:spacing w:before="166" w:beforeAutospacing="0" w:after="166" w:afterAutospacing="0" w:line="360" w:lineRule="auto"/>
        <w:jc w:val="center"/>
        <w:rPr>
          <w:b/>
          <w:bCs/>
          <w:color w:val="000000"/>
        </w:rPr>
      </w:pPr>
      <w:r w:rsidRPr="00CA4CE5">
        <w:rPr>
          <w:b/>
          <w:bCs/>
          <w:color w:val="000000"/>
        </w:rPr>
        <w:t>SLIDE 10: Materials/measures</w:t>
      </w:r>
    </w:p>
    <w:p w14:paraId="0FF869DF" w14:textId="77777777" w:rsidR="00112AE7" w:rsidRPr="00CA4CE5" w:rsidRDefault="00112AE7" w:rsidP="00112AE7">
      <w:pPr>
        <w:pStyle w:val="NormalWeb"/>
        <w:spacing w:before="166" w:beforeAutospacing="0" w:after="166" w:afterAutospacing="0" w:line="360" w:lineRule="auto"/>
        <w:rPr>
          <w:color w:val="000000"/>
        </w:rPr>
      </w:pPr>
      <w:r w:rsidRPr="00CA4CE5">
        <w:rPr>
          <w:color w:val="000000"/>
        </w:rPr>
        <w:t>Here is a list of the materials and measures needed to carry out the rehabilitative treatment.</w:t>
      </w:r>
    </w:p>
    <w:p w14:paraId="48023B65" w14:textId="77777777" w:rsidR="00112AE7" w:rsidRPr="00CA4CE5" w:rsidRDefault="00112AE7" w:rsidP="00112AE7">
      <w:pPr>
        <w:pStyle w:val="NormalWeb"/>
        <w:spacing w:before="166" w:beforeAutospacing="0" w:after="166" w:afterAutospacing="0" w:line="360" w:lineRule="auto"/>
        <w:jc w:val="center"/>
        <w:rPr>
          <w:b/>
          <w:bCs/>
          <w:color w:val="000000"/>
        </w:rPr>
      </w:pPr>
      <w:r w:rsidRPr="00CA4CE5">
        <w:rPr>
          <w:b/>
          <w:bCs/>
          <w:color w:val="000000"/>
        </w:rPr>
        <w:t xml:space="preserve">SLIDE 11: Procedure </w:t>
      </w:r>
    </w:p>
    <w:p w14:paraId="18AD720D" w14:textId="77777777" w:rsidR="00112AE7" w:rsidRPr="00CA4CE5" w:rsidRDefault="00112AE7" w:rsidP="00112AE7">
      <w:pPr>
        <w:pStyle w:val="NormalWeb"/>
        <w:spacing w:before="166" w:beforeAutospacing="0" w:after="166" w:afterAutospacing="0" w:line="360" w:lineRule="auto"/>
        <w:rPr>
          <w:color w:val="000000"/>
        </w:rPr>
      </w:pPr>
      <w:r w:rsidRPr="00CA4CE5">
        <w:rPr>
          <w:color w:val="000000"/>
        </w:rPr>
        <w:t xml:space="preserve">The treatment plan will begin in 3 stages based on research findings from randomised controlled trials and systematic reviews of randomised controlled trials (Warnick et al., 2021). An ACI-PL will be conducted before beginning treatment and will start with the acute stage. Where the patients will be monitored every week for the first 4 weeks (using the </w:t>
      </w:r>
      <w:r w:rsidRPr="00CA4CE5">
        <w:rPr>
          <w:color w:val="212121"/>
          <w:shd w:val="clear" w:color="auto" w:fill="FFFFFF"/>
        </w:rPr>
        <w:t xml:space="preserve">ACI-PL) after beginning escitalopram. </w:t>
      </w:r>
      <w:r>
        <w:rPr>
          <w:color w:val="212121"/>
          <w:shd w:val="clear" w:color="auto" w:fill="FFFFFF"/>
        </w:rPr>
        <w:tab/>
      </w:r>
      <w:r>
        <w:rPr>
          <w:color w:val="212121"/>
          <w:shd w:val="clear" w:color="auto" w:fill="FFFFFF"/>
        </w:rPr>
        <w:tab/>
      </w:r>
      <w:r>
        <w:rPr>
          <w:color w:val="212121"/>
          <w:shd w:val="clear" w:color="auto" w:fill="FFFFFF"/>
        </w:rPr>
        <w:tab/>
      </w:r>
      <w:r>
        <w:rPr>
          <w:color w:val="212121"/>
          <w:shd w:val="clear" w:color="auto" w:fill="FFFFFF"/>
        </w:rPr>
        <w:tab/>
      </w:r>
      <w:r>
        <w:rPr>
          <w:color w:val="212121"/>
          <w:shd w:val="clear" w:color="auto" w:fill="FFFFFF"/>
        </w:rPr>
        <w:tab/>
      </w:r>
      <w:r>
        <w:rPr>
          <w:color w:val="212121"/>
          <w:shd w:val="clear" w:color="auto" w:fill="FFFFFF"/>
        </w:rPr>
        <w:tab/>
      </w:r>
      <w:r>
        <w:rPr>
          <w:color w:val="212121"/>
          <w:shd w:val="clear" w:color="auto" w:fill="FFFFFF"/>
        </w:rPr>
        <w:tab/>
      </w:r>
      <w:r>
        <w:rPr>
          <w:color w:val="212121"/>
          <w:shd w:val="clear" w:color="auto" w:fill="FFFFFF"/>
        </w:rPr>
        <w:tab/>
      </w:r>
      <w:r w:rsidRPr="00CA4CE5">
        <w:rPr>
          <w:color w:val="212121"/>
          <w:shd w:val="clear" w:color="auto" w:fill="FFFFFF"/>
        </w:rPr>
        <w:t>Then fortnightly for a month, and finally every 12 weeks</w:t>
      </w:r>
      <w:r w:rsidRPr="00CA4CE5">
        <w:rPr>
          <w:color w:val="000000"/>
        </w:rPr>
        <w:t xml:space="preserve"> to assess treatment efficacy and potential side effects from medication, specifically risk of suicide in this population. Provide CBT to the patient and family therapy via an integrated behavioural health care (Warnick et al., 2021) model. This means providing a service to increase the quality and accessibility of mental health care collaboratively with patients (and their families) to overcome mental health issues and adverse behaviours (Ramanuj et al., 2019).</w:t>
      </w:r>
      <w:r w:rsidRPr="00CA4CE5">
        <w:t xml:space="preserve"> </w:t>
      </w:r>
      <w:r w:rsidRPr="00CA4CE5">
        <w:rPr>
          <w:color w:val="000000"/>
        </w:rPr>
        <w:t xml:space="preserve">Positive effects of treatment could vary from 2 weeks after commencement to more than 12 weeks </w:t>
      </w:r>
      <w:r w:rsidRPr="00CA4CE5">
        <w:rPr>
          <w:color w:val="000000"/>
        </w:rPr>
        <w:lastRenderedPageBreak/>
        <w:t xml:space="preserve">later, consider fluoxetine as a replacement SSRI if no change is seen (Brent et al., 2009). In person or phone consults may be used dependent on the impact of the patients’ symptoms on their functioning, access to resources, and their preference. These assessments have shown efficacy in support for MDD symptom alleviation </w:t>
      </w:r>
      <w:r w:rsidRPr="00CA4CE5">
        <w:rPr>
          <w:color w:val="000000"/>
          <w:u w:val="single"/>
        </w:rPr>
        <w:t>(</w:t>
      </w:r>
      <w:r w:rsidRPr="00CA4CE5">
        <w:rPr>
          <w:color w:val="000000"/>
        </w:rPr>
        <w:t xml:space="preserve">Otte et al., 2016; Warnick et al., 2021). </w:t>
      </w:r>
      <w:r>
        <w:rPr>
          <w:color w:val="000000"/>
        </w:rPr>
        <w:tab/>
      </w:r>
      <w:r w:rsidRPr="00CA4CE5">
        <w:rPr>
          <w:color w:val="000000"/>
        </w:rPr>
        <w:t>This is then followed by the continuation phase which occurs 12 weeks post treatment commencement.</w:t>
      </w:r>
      <w:r w:rsidRPr="00CA4CE5">
        <w:rPr>
          <w:b/>
          <w:bCs/>
          <w:color w:val="000000"/>
        </w:rPr>
        <w:t xml:space="preserve"> </w:t>
      </w:r>
      <w:r w:rsidRPr="00CA4CE5">
        <w:rPr>
          <w:color w:val="000000"/>
        </w:rPr>
        <w:t xml:space="preserve">Medication in children and adolescents should be continued for 6 – 12 months if experiencing the first major depressive episode, or longer than 1 year if it’s a repeated episode (Choe et al., 2012) to prevent relapse. If any symptoms of depression are still presenting during this time, it could be indicative of risk towards another major depressive episode. In-person CBT sessions should also be provided as required, assessing risk for relapse.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sidRPr="00CA4CE5">
        <w:rPr>
          <w:color w:val="000000"/>
        </w:rPr>
        <w:t>And finally, the maintenance stage which should be ongoing if at high risk of relapse and is dependent on clinical history, severity, and frequency of episodes. Medication should be considered as a form of long-term treatment and possible environmental triggers contributing to depressive episodes taken into consideration to prevent further episodes from occurring (Warnick et al., 2021).</w:t>
      </w:r>
    </w:p>
    <w:p w14:paraId="50FD26D3" w14:textId="77777777" w:rsidR="00112AE7" w:rsidRPr="0079263E" w:rsidRDefault="00112AE7" w:rsidP="00112AE7">
      <w:pPr>
        <w:spacing w:before="166" w:after="166" w:line="360" w:lineRule="auto"/>
        <w:jc w:val="center"/>
        <w:rPr>
          <w:b/>
          <w:bCs/>
          <w:color w:val="000000"/>
        </w:rPr>
      </w:pPr>
      <w:r w:rsidRPr="0079263E">
        <w:rPr>
          <w:b/>
          <w:bCs/>
          <w:color w:val="000000"/>
        </w:rPr>
        <w:t>SLIDE 12: Ethical Considerations</w:t>
      </w:r>
    </w:p>
    <w:p w14:paraId="1AC75F25" w14:textId="77777777" w:rsidR="00112AE7" w:rsidRPr="00CA4CE5" w:rsidRDefault="00112AE7" w:rsidP="00112AE7">
      <w:pPr>
        <w:spacing w:line="360" w:lineRule="auto"/>
        <w:rPr>
          <w:color w:val="000000"/>
        </w:rPr>
      </w:pPr>
      <w:r w:rsidRPr="00CA4CE5">
        <w:t>Allowing children and adolescents with ASD to make d</w:t>
      </w:r>
      <w:r w:rsidRPr="007D22A4">
        <w:rPr>
          <w:rFonts w:eastAsiaTheme="minorEastAsia"/>
        </w:rPr>
        <w:t xml:space="preserve">ecisions in </w:t>
      </w:r>
      <w:r w:rsidRPr="00CA4CE5">
        <w:t>their</w:t>
      </w:r>
      <w:r w:rsidRPr="007D22A4">
        <w:rPr>
          <w:rFonts w:eastAsiaTheme="minorEastAsia"/>
        </w:rPr>
        <w:t xml:space="preserve"> </w:t>
      </w:r>
      <w:r w:rsidRPr="00CA4CE5">
        <w:t>own treatment</w:t>
      </w:r>
      <w:r w:rsidRPr="007D22A4">
        <w:rPr>
          <w:rFonts w:eastAsiaTheme="minorEastAsia"/>
        </w:rPr>
        <w:t xml:space="preserve"> plan</w:t>
      </w:r>
      <w:r w:rsidRPr="00CA4CE5">
        <w:t>, ethical principles relating to children’s and adolescents’ vulnerability, disclosures of abuse, neglect, or self-harming behaviours, and their right to autonomy should be upheld throughout their treatment. Clearly set boundaries should be agreed upon by the treatment provider, the young person and their family including the need to disclose sensitive information at times</w:t>
      </w:r>
      <w:r w:rsidRPr="00CA4CE5">
        <w:rPr>
          <w:color w:val="212121"/>
          <w:shd w:val="clear" w:color="auto" w:fill="FFFFFF"/>
        </w:rPr>
        <w:t xml:space="preserve"> </w:t>
      </w:r>
      <w:r w:rsidRPr="00CA4CE5">
        <w:rPr>
          <w:color w:val="000000"/>
        </w:rPr>
        <w:t xml:space="preserve">(Goldsmith &amp; Roberts, 2016).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M</w:t>
      </w:r>
      <w:r w:rsidRPr="00CA4CE5">
        <w:rPr>
          <w:color w:val="000000"/>
        </w:rPr>
        <w:t>ental health professionals may have implicit stigmatising beliefs about this population based on intellectual deficits and communication delays which could threaten their autonomy compared to those who are neurotypical (McVey et al., 2023). The British Psychological Society (BPS) guidelines (“Safeguarding Children and Young People: Every Psychologist’s Responsibility,” 2018;</w:t>
      </w:r>
      <w:r w:rsidRPr="00CA4CE5">
        <w:t xml:space="preserve"> The BPS Code of Human Research Ethics, </w:t>
      </w:r>
      <w:r w:rsidRPr="00CA4CE5">
        <w:rPr>
          <w:color w:val="000000"/>
        </w:rPr>
        <w:t xml:space="preserve">2021) must be applied to practice ensuring the child’s welfare, access to equal opportunities, quality treatment, and positive outcomes through </w:t>
      </w:r>
      <w:r w:rsidRPr="00CA4CE5">
        <w:t>anti-discriminatory practice.</w:t>
      </w:r>
      <w:r w:rsidRPr="00CA4CE5">
        <w:rPr>
          <w:color w:val="141413"/>
        </w:rPr>
        <w:t xml:space="preserve"> </w:t>
      </w:r>
    </w:p>
    <w:p w14:paraId="6D99D6E5" w14:textId="77777777" w:rsidR="00112AE7" w:rsidRPr="00CA4CE5" w:rsidRDefault="00112AE7" w:rsidP="00112AE7">
      <w:pPr>
        <w:pStyle w:val="ListParagraph"/>
        <w:spacing w:line="360" w:lineRule="auto"/>
        <w:ind w:left="0" w:firstLine="720"/>
      </w:pPr>
      <w:r w:rsidRPr="00CA4CE5">
        <w:rPr>
          <w:color w:val="000000"/>
        </w:rPr>
        <w:t>I</w:t>
      </w:r>
      <w:r w:rsidRPr="00CA4CE5">
        <w:t xml:space="preserve">nformed consent, assent and maintaining confidentiality among this vulnerable participant population is vital. Age and developmentally appropriate procedures should be used to inform young people of their rights, allowing them to have a voice and choice over </w:t>
      </w:r>
      <w:r w:rsidRPr="00CA4CE5">
        <w:lastRenderedPageBreak/>
        <w:t>their treatment and obtain parental or legal guardians consent for their child to partake in the rehabilitative program.</w:t>
      </w:r>
    </w:p>
    <w:p w14:paraId="41D601D5" w14:textId="77777777" w:rsidR="00112AE7" w:rsidRPr="00CA4CE5" w:rsidRDefault="00112AE7" w:rsidP="00112AE7">
      <w:pPr>
        <w:pStyle w:val="ListParagraph"/>
        <w:spacing w:line="360" w:lineRule="auto"/>
        <w:ind w:left="0"/>
        <w:rPr>
          <w:rFonts w:eastAsiaTheme="minorEastAsia"/>
        </w:rPr>
      </w:pPr>
    </w:p>
    <w:p w14:paraId="4A111EC5" w14:textId="77777777" w:rsidR="00112AE7" w:rsidRPr="00CA4CE5" w:rsidRDefault="00112AE7" w:rsidP="00112AE7">
      <w:pPr>
        <w:pStyle w:val="ListParagraph"/>
        <w:spacing w:line="360" w:lineRule="auto"/>
        <w:ind w:left="0"/>
        <w:jc w:val="center"/>
        <w:rPr>
          <w:rFonts w:eastAsiaTheme="minorEastAsia"/>
          <w:b/>
          <w:bCs/>
        </w:rPr>
      </w:pPr>
      <w:r w:rsidRPr="00CA4CE5">
        <w:rPr>
          <w:rFonts w:eastAsiaTheme="minorEastAsia"/>
          <w:b/>
          <w:bCs/>
        </w:rPr>
        <w:t>SLIDE 13: Planned analysis</w:t>
      </w:r>
    </w:p>
    <w:p w14:paraId="0DD655F8" w14:textId="77777777" w:rsidR="00112AE7" w:rsidRDefault="00112AE7" w:rsidP="00112AE7">
      <w:pPr>
        <w:pStyle w:val="NormalWeb"/>
        <w:spacing w:line="360" w:lineRule="auto"/>
        <w:rPr>
          <w:rFonts w:eastAsiaTheme="minorEastAsia"/>
        </w:rPr>
      </w:pPr>
      <w:r w:rsidRPr="00CA4CE5">
        <w:rPr>
          <w:rFonts w:eastAsiaTheme="minorEastAsia"/>
        </w:rPr>
        <w:t>To analyse the efficacy of the treatment provided an AC-IPL should be conducted before, beginning treatment and throughout to look for signs of remission in the patient, and long-term treatment should be considered for those who experienced severe or recurrent depressive episodes</w:t>
      </w:r>
      <w:r>
        <w:rPr>
          <w:rFonts w:eastAsiaTheme="minorEastAsia"/>
        </w:rPr>
        <w:t>.</w:t>
      </w:r>
    </w:p>
    <w:p w14:paraId="72ACBBDF" w14:textId="77777777" w:rsidR="00112AE7" w:rsidRPr="0079263E" w:rsidRDefault="00112AE7" w:rsidP="00112AE7">
      <w:pPr>
        <w:pStyle w:val="NormalWeb"/>
        <w:spacing w:line="360" w:lineRule="auto"/>
        <w:jc w:val="center"/>
        <w:rPr>
          <w:color w:val="000000"/>
        </w:rPr>
      </w:pPr>
      <w:r w:rsidRPr="00CA4CE5">
        <w:rPr>
          <w:rFonts w:eastAsiaTheme="minorEastAsia"/>
          <w:b/>
          <w:bCs/>
        </w:rPr>
        <w:t>SLIDE 14: Outcomes Measures</w:t>
      </w:r>
    </w:p>
    <w:p w14:paraId="67B03D5D" w14:textId="77777777" w:rsidR="00112AE7" w:rsidRPr="00CA4CE5" w:rsidRDefault="00112AE7" w:rsidP="00112AE7">
      <w:pPr>
        <w:pStyle w:val="ListParagraph"/>
        <w:spacing w:line="360" w:lineRule="auto"/>
        <w:ind w:left="0"/>
        <w:jc w:val="center"/>
        <w:rPr>
          <w:rFonts w:eastAsiaTheme="minorEastAsia"/>
          <w:b/>
          <w:bCs/>
        </w:rPr>
      </w:pPr>
    </w:p>
    <w:p w14:paraId="6F2F1371" w14:textId="77777777" w:rsidR="00112AE7" w:rsidRPr="00CA4CE5" w:rsidRDefault="00112AE7" w:rsidP="00112AE7">
      <w:pPr>
        <w:pStyle w:val="ListParagraph"/>
        <w:spacing w:line="360" w:lineRule="auto"/>
        <w:ind w:left="0"/>
        <w:rPr>
          <w:rFonts w:eastAsiaTheme="minorEastAsia"/>
        </w:rPr>
      </w:pPr>
      <w:r w:rsidRPr="00CA4CE5">
        <w:rPr>
          <w:rFonts w:eastAsiaTheme="minorEastAsia"/>
        </w:rPr>
        <w:t>To support the potentially complex needs of children and adolescents with ASD and comorbid MDD to uphold their welfare and provide them the best possible outcome from the rehabilitative treatment upholding their rights, individuality, and preferences to ensure engagement and improve symptoms of MDD. Overall, reducing suicide rates and reoccurring major depressive episodes in this population.</w:t>
      </w:r>
    </w:p>
    <w:p w14:paraId="7C09BD26" w14:textId="77777777" w:rsidR="00112AE7" w:rsidRPr="00CA4CE5" w:rsidRDefault="00112AE7" w:rsidP="00112AE7">
      <w:pPr>
        <w:pStyle w:val="ListParagraph"/>
        <w:spacing w:line="360" w:lineRule="auto"/>
        <w:ind w:left="0"/>
      </w:pPr>
    </w:p>
    <w:p w14:paraId="1CAA589D" w14:textId="77777777" w:rsidR="00112AE7" w:rsidRPr="00CA4CE5" w:rsidRDefault="00112AE7" w:rsidP="00112AE7">
      <w:pPr>
        <w:pStyle w:val="ListParagraph"/>
        <w:spacing w:line="360" w:lineRule="auto"/>
        <w:ind w:left="0"/>
        <w:jc w:val="center"/>
        <w:rPr>
          <w:rFonts w:eastAsiaTheme="minorEastAsia"/>
          <w:b/>
          <w:bCs/>
        </w:rPr>
      </w:pPr>
      <w:r w:rsidRPr="00CA4CE5">
        <w:rPr>
          <w:rFonts w:eastAsiaTheme="minorEastAsia"/>
          <w:b/>
          <w:bCs/>
        </w:rPr>
        <w:t>SLIDE 15: End Slide</w:t>
      </w:r>
    </w:p>
    <w:p w14:paraId="0A5F3270" w14:textId="77777777" w:rsidR="003703FE" w:rsidRDefault="003703FE"/>
    <w:sectPr w:rsidR="00370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5C66"/>
    <w:multiLevelType w:val="multilevel"/>
    <w:tmpl w:val="1BEA4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A5C6C"/>
    <w:multiLevelType w:val="multilevel"/>
    <w:tmpl w:val="E7589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25600"/>
    <w:multiLevelType w:val="hybridMultilevel"/>
    <w:tmpl w:val="EC0ACB46"/>
    <w:lvl w:ilvl="0" w:tplc="BEA8A412">
      <w:start w:val="1"/>
      <w:numFmt w:val="bullet"/>
      <w:lvlText w:val=""/>
      <w:lvlJc w:val="left"/>
      <w:pPr>
        <w:tabs>
          <w:tab w:val="num" w:pos="720"/>
        </w:tabs>
        <w:ind w:left="720" w:hanging="360"/>
      </w:pPr>
      <w:rPr>
        <w:rFonts w:ascii="Symbol" w:hAnsi="Symbol" w:hint="default"/>
      </w:rPr>
    </w:lvl>
    <w:lvl w:ilvl="1" w:tplc="D7D22B6E" w:tentative="1">
      <w:start w:val="1"/>
      <w:numFmt w:val="bullet"/>
      <w:lvlText w:val=""/>
      <w:lvlJc w:val="left"/>
      <w:pPr>
        <w:tabs>
          <w:tab w:val="num" w:pos="1440"/>
        </w:tabs>
        <w:ind w:left="1440" w:hanging="360"/>
      </w:pPr>
      <w:rPr>
        <w:rFonts w:ascii="Symbol" w:hAnsi="Symbol" w:hint="default"/>
      </w:rPr>
    </w:lvl>
    <w:lvl w:ilvl="2" w:tplc="A2D69F1E" w:tentative="1">
      <w:start w:val="1"/>
      <w:numFmt w:val="bullet"/>
      <w:lvlText w:val=""/>
      <w:lvlJc w:val="left"/>
      <w:pPr>
        <w:tabs>
          <w:tab w:val="num" w:pos="2160"/>
        </w:tabs>
        <w:ind w:left="2160" w:hanging="360"/>
      </w:pPr>
      <w:rPr>
        <w:rFonts w:ascii="Symbol" w:hAnsi="Symbol" w:hint="default"/>
      </w:rPr>
    </w:lvl>
    <w:lvl w:ilvl="3" w:tplc="DBDC15C0" w:tentative="1">
      <w:start w:val="1"/>
      <w:numFmt w:val="bullet"/>
      <w:lvlText w:val=""/>
      <w:lvlJc w:val="left"/>
      <w:pPr>
        <w:tabs>
          <w:tab w:val="num" w:pos="2880"/>
        </w:tabs>
        <w:ind w:left="2880" w:hanging="360"/>
      </w:pPr>
      <w:rPr>
        <w:rFonts w:ascii="Symbol" w:hAnsi="Symbol" w:hint="default"/>
      </w:rPr>
    </w:lvl>
    <w:lvl w:ilvl="4" w:tplc="ABCAE8F4" w:tentative="1">
      <w:start w:val="1"/>
      <w:numFmt w:val="bullet"/>
      <w:lvlText w:val=""/>
      <w:lvlJc w:val="left"/>
      <w:pPr>
        <w:tabs>
          <w:tab w:val="num" w:pos="3600"/>
        </w:tabs>
        <w:ind w:left="3600" w:hanging="360"/>
      </w:pPr>
      <w:rPr>
        <w:rFonts w:ascii="Symbol" w:hAnsi="Symbol" w:hint="default"/>
      </w:rPr>
    </w:lvl>
    <w:lvl w:ilvl="5" w:tplc="94924132" w:tentative="1">
      <w:start w:val="1"/>
      <w:numFmt w:val="bullet"/>
      <w:lvlText w:val=""/>
      <w:lvlJc w:val="left"/>
      <w:pPr>
        <w:tabs>
          <w:tab w:val="num" w:pos="4320"/>
        </w:tabs>
        <w:ind w:left="4320" w:hanging="360"/>
      </w:pPr>
      <w:rPr>
        <w:rFonts w:ascii="Symbol" w:hAnsi="Symbol" w:hint="default"/>
      </w:rPr>
    </w:lvl>
    <w:lvl w:ilvl="6" w:tplc="8C2605FE" w:tentative="1">
      <w:start w:val="1"/>
      <w:numFmt w:val="bullet"/>
      <w:lvlText w:val=""/>
      <w:lvlJc w:val="left"/>
      <w:pPr>
        <w:tabs>
          <w:tab w:val="num" w:pos="5040"/>
        </w:tabs>
        <w:ind w:left="5040" w:hanging="360"/>
      </w:pPr>
      <w:rPr>
        <w:rFonts w:ascii="Symbol" w:hAnsi="Symbol" w:hint="default"/>
      </w:rPr>
    </w:lvl>
    <w:lvl w:ilvl="7" w:tplc="24C2B24A" w:tentative="1">
      <w:start w:val="1"/>
      <w:numFmt w:val="bullet"/>
      <w:lvlText w:val=""/>
      <w:lvlJc w:val="left"/>
      <w:pPr>
        <w:tabs>
          <w:tab w:val="num" w:pos="5760"/>
        </w:tabs>
        <w:ind w:left="5760" w:hanging="360"/>
      </w:pPr>
      <w:rPr>
        <w:rFonts w:ascii="Symbol" w:hAnsi="Symbol" w:hint="default"/>
      </w:rPr>
    </w:lvl>
    <w:lvl w:ilvl="8" w:tplc="77D80226"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7184D68"/>
    <w:multiLevelType w:val="multilevel"/>
    <w:tmpl w:val="AF20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F22F3"/>
    <w:multiLevelType w:val="multilevel"/>
    <w:tmpl w:val="FA6A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8B56C7"/>
    <w:multiLevelType w:val="multilevel"/>
    <w:tmpl w:val="BBA8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E77E10"/>
    <w:multiLevelType w:val="multilevel"/>
    <w:tmpl w:val="F526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1F6C74"/>
    <w:multiLevelType w:val="multilevel"/>
    <w:tmpl w:val="E034B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112B0E"/>
    <w:multiLevelType w:val="multilevel"/>
    <w:tmpl w:val="CCF67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36313F"/>
    <w:multiLevelType w:val="hybridMultilevel"/>
    <w:tmpl w:val="7B38787C"/>
    <w:lvl w:ilvl="0" w:tplc="FE7A5620">
      <w:start w:val="1"/>
      <w:numFmt w:val="decimal"/>
      <w:lvlText w:val="%1."/>
      <w:lvlJc w:val="left"/>
      <w:pPr>
        <w:tabs>
          <w:tab w:val="num" w:pos="720"/>
        </w:tabs>
        <w:ind w:left="720" w:hanging="360"/>
      </w:pPr>
    </w:lvl>
    <w:lvl w:ilvl="1" w:tplc="6254BE96" w:tentative="1">
      <w:start w:val="1"/>
      <w:numFmt w:val="decimal"/>
      <w:lvlText w:val="%2."/>
      <w:lvlJc w:val="left"/>
      <w:pPr>
        <w:tabs>
          <w:tab w:val="num" w:pos="1440"/>
        </w:tabs>
        <w:ind w:left="1440" w:hanging="360"/>
      </w:pPr>
    </w:lvl>
    <w:lvl w:ilvl="2" w:tplc="25E29A74" w:tentative="1">
      <w:start w:val="1"/>
      <w:numFmt w:val="decimal"/>
      <w:lvlText w:val="%3."/>
      <w:lvlJc w:val="left"/>
      <w:pPr>
        <w:tabs>
          <w:tab w:val="num" w:pos="2160"/>
        </w:tabs>
        <w:ind w:left="2160" w:hanging="360"/>
      </w:pPr>
    </w:lvl>
    <w:lvl w:ilvl="3" w:tplc="F0627448" w:tentative="1">
      <w:start w:val="1"/>
      <w:numFmt w:val="decimal"/>
      <w:lvlText w:val="%4."/>
      <w:lvlJc w:val="left"/>
      <w:pPr>
        <w:tabs>
          <w:tab w:val="num" w:pos="2880"/>
        </w:tabs>
        <w:ind w:left="2880" w:hanging="360"/>
      </w:pPr>
    </w:lvl>
    <w:lvl w:ilvl="4" w:tplc="502C3286" w:tentative="1">
      <w:start w:val="1"/>
      <w:numFmt w:val="decimal"/>
      <w:lvlText w:val="%5."/>
      <w:lvlJc w:val="left"/>
      <w:pPr>
        <w:tabs>
          <w:tab w:val="num" w:pos="3600"/>
        </w:tabs>
        <w:ind w:left="3600" w:hanging="360"/>
      </w:pPr>
    </w:lvl>
    <w:lvl w:ilvl="5" w:tplc="92FA2A16" w:tentative="1">
      <w:start w:val="1"/>
      <w:numFmt w:val="decimal"/>
      <w:lvlText w:val="%6."/>
      <w:lvlJc w:val="left"/>
      <w:pPr>
        <w:tabs>
          <w:tab w:val="num" w:pos="4320"/>
        </w:tabs>
        <w:ind w:left="4320" w:hanging="360"/>
      </w:pPr>
    </w:lvl>
    <w:lvl w:ilvl="6" w:tplc="DB20E304" w:tentative="1">
      <w:start w:val="1"/>
      <w:numFmt w:val="decimal"/>
      <w:lvlText w:val="%7."/>
      <w:lvlJc w:val="left"/>
      <w:pPr>
        <w:tabs>
          <w:tab w:val="num" w:pos="5040"/>
        </w:tabs>
        <w:ind w:left="5040" w:hanging="360"/>
      </w:pPr>
    </w:lvl>
    <w:lvl w:ilvl="7" w:tplc="BBBA8692" w:tentative="1">
      <w:start w:val="1"/>
      <w:numFmt w:val="decimal"/>
      <w:lvlText w:val="%8."/>
      <w:lvlJc w:val="left"/>
      <w:pPr>
        <w:tabs>
          <w:tab w:val="num" w:pos="5760"/>
        </w:tabs>
        <w:ind w:left="5760" w:hanging="360"/>
      </w:pPr>
    </w:lvl>
    <w:lvl w:ilvl="8" w:tplc="0F0A2E96" w:tentative="1">
      <w:start w:val="1"/>
      <w:numFmt w:val="decimal"/>
      <w:lvlText w:val="%9."/>
      <w:lvlJc w:val="left"/>
      <w:pPr>
        <w:tabs>
          <w:tab w:val="num" w:pos="6480"/>
        </w:tabs>
        <w:ind w:left="6480" w:hanging="360"/>
      </w:pPr>
    </w:lvl>
  </w:abstractNum>
  <w:abstractNum w:abstractNumId="10" w15:restartNumberingAfterBreak="0">
    <w:nsid w:val="1A6143B9"/>
    <w:multiLevelType w:val="multilevel"/>
    <w:tmpl w:val="B2EA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59500C"/>
    <w:multiLevelType w:val="multilevel"/>
    <w:tmpl w:val="5784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E27CF"/>
    <w:multiLevelType w:val="multilevel"/>
    <w:tmpl w:val="EE946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862D5B"/>
    <w:multiLevelType w:val="multilevel"/>
    <w:tmpl w:val="4B00D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2413C9"/>
    <w:multiLevelType w:val="multilevel"/>
    <w:tmpl w:val="870E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182B52"/>
    <w:multiLevelType w:val="multilevel"/>
    <w:tmpl w:val="2FE8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FE5FD2"/>
    <w:multiLevelType w:val="hybridMultilevel"/>
    <w:tmpl w:val="7E24953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7" w15:restartNumberingAfterBreak="0">
    <w:nsid w:val="355F3ABA"/>
    <w:multiLevelType w:val="hybridMultilevel"/>
    <w:tmpl w:val="22789EFE"/>
    <w:lvl w:ilvl="0" w:tplc="F448396A">
      <w:numFmt w:val="decimalZero"/>
      <w:lvlText w:val="%1&gt;"/>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5D095B"/>
    <w:multiLevelType w:val="multilevel"/>
    <w:tmpl w:val="30B8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AA3C38"/>
    <w:multiLevelType w:val="multilevel"/>
    <w:tmpl w:val="CABE7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E7482E"/>
    <w:multiLevelType w:val="multilevel"/>
    <w:tmpl w:val="A860F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A40525"/>
    <w:multiLevelType w:val="multilevel"/>
    <w:tmpl w:val="26DC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1B4E9F"/>
    <w:multiLevelType w:val="multilevel"/>
    <w:tmpl w:val="E2DA4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E9423A"/>
    <w:multiLevelType w:val="multilevel"/>
    <w:tmpl w:val="F294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6E2366"/>
    <w:multiLevelType w:val="multilevel"/>
    <w:tmpl w:val="62EEB1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8877FC"/>
    <w:multiLevelType w:val="multilevel"/>
    <w:tmpl w:val="7FBCDCB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77614D"/>
    <w:multiLevelType w:val="multilevel"/>
    <w:tmpl w:val="2CA66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593095"/>
    <w:multiLevelType w:val="hybridMultilevel"/>
    <w:tmpl w:val="BEC8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B129C5"/>
    <w:multiLevelType w:val="multilevel"/>
    <w:tmpl w:val="60CE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EB7DA7"/>
    <w:multiLevelType w:val="hybridMultilevel"/>
    <w:tmpl w:val="62D4C14C"/>
    <w:lvl w:ilvl="0" w:tplc="FC7EF39E">
      <w:start w:val="1"/>
      <w:numFmt w:val="bullet"/>
      <w:lvlText w:val="•"/>
      <w:lvlJc w:val="left"/>
      <w:pPr>
        <w:tabs>
          <w:tab w:val="num" w:pos="720"/>
        </w:tabs>
        <w:ind w:left="720" w:hanging="360"/>
      </w:pPr>
      <w:rPr>
        <w:rFonts w:ascii="Arial" w:hAnsi="Arial" w:hint="default"/>
      </w:rPr>
    </w:lvl>
    <w:lvl w:ilvl="1" w:tplc="925A1FF8" w:tentative="1">
      <w:start w:val="1"/>
      <w:numFmt w:val="bullet"/>
      <w:lvlText w:val="•"/>
      <w:lvlJc w:val="left"/>
      <w:pPr>
        <w:tabs>
          <w:tab w:val="num" w:pos="1440"/>
        </w:tabs>
        <w:ind w:left="1440" w:hanging="360"/>
      </w:pPr>
      <w:rPr>
        <w:rFonts w:ascii="Arial" w:hAnsi="Arial" w:hint="default"/>
      </w:rPr>
    </w:lvl>
    <w:lvl w:ilvl="2" w:tplc="C7BE5A7C" w:tentative="1">
      <w:start w:val="1"/>
      <w:numFmt w:val="bullet"/>
      <w:lvlText w:val="•"/>
      <w:lvlJc w:val="left"/>
      <w:pPr>
        <w:tabs>
          <w:tab w:val="num" w:pos="2160"/>
        </w:tabs>
        <w:ind w:left="2160" w:hanging="360"/>
      </w:pPr>
      <w:rPr>
        <w:rFonts w:ascii="Arial" w:hAnsi="Arial" w:hint="default"/>
      </w:rPr>
    </w:lvl>
    <w:lvl w:ilvl="3" w:tplc="D29C41C0" w:tentative="1">
      <w:start w:val="1"/>
      <w:numFmt w:val="bullet"/>
      <w:lvlText w:val="•"/>
      <w:lvlJc w:val="left"/>
      <w:pPr>
        <w:tabs>
          <w:tab w:val="num" w:pos="2880"/>
        </w:tabs>
        <w:ind w:left="2880" w:hanging="360"/>
      </w:pPr>
      <w:rPr>
        <w:rFonts w:ascii="Arial" w:hAnsi="Arial" w:hint="default"/>
      </w:rPr>
    </w:lvl>
    <w:lvl w:ilvl="4" w:tplc="B70A7612" w:tentative="1">
      <w:start w:val="1"/>
      <w:numFmt w:val="bullet"/>
      <w:lvlText w:val="•"/>
      <w:lvlJc w:val="left"/>
      <w:pPr>
        <w:tabs>
          <w:tab w:val="num" w:pos="3600"/>
        </w:tabs>
        <w:ind w:left="3600" w:hanging="360"/>
      </w:pPr>
      <w:rPr>
        <w:rFonts w:ascii="Arial" w:hAnsi="Arial" w:hint="default"/>
      </w:rPr>
    </w:lvl>
    <w:lvl w:ilvl="5" w:tplc="21540BEC" w:tentative="1">
      <w:start w:val="1"/>
      <w:numFmt w:val="bullet"/>
      <w:lvlText w:val="•"/>
      <w:lvlJc w:val="left"/>
      <w:pPr>
        <w:tabs>
          <w:tab w:val="num" w:pos="4320"/>
        </w:tabs>
        <w:ind w:left="4320" w:hanging="360"/>
      </w:pPr>
      <w:rPr>
        <w:rFonts w:ascii="Arial" w:hAnsi="Arial" w:hint="default"/>
      </w:rPr>
    </w:lvl>
    <w:lvl w:ilvl="6" w:tplc="D74E8B8C" w:tentative="1">
      <w:start w:val="1"/>
      <w:numFmt w:val="bullet"/>
      <w:lvlText w:val="•"/>
      <w:lvlJc w:val="left"/>
      <w:pPr>
        <w:tabs>
          <w:tab w:val="num" w:pos="5040"/>
        </w:tabs>
        <w:ind w:left="5040" w:hanging="360"/>
      </w:pPr>
      <w:rPr>
        <w:rFonts w:ascii="Arial" w:hAnsi="Arial" w:hint="default"/>
      </w:rPr>
    </w:lvl>
    <w:lvl w:ilvl="7" w:tplc="EA1CC33E" w:tentative="1">
      <w:start w:val="1"/>
      <w:numFmt w:val="bullet"/>
      <w:lvlText w:val="•"/>
      <w:lvlJc w:val="left"/>
      <w:pPr>
        <w:tabs>
          <w:tab w:val="num" w:pos="5760"/>
        </w:tabs>
        <w:ind w:left="5760" w:hanging="360"/>
      </w:pPr>
      <w:rPr>
        <w:rFonts w:ascii="Arial" w:hAnsi="Arial" w:hint="default"/>
      </w:rPr>
    </w:lvl>
    <w:lvl w:ilvl="8" w:tplc="CCDCBA7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E287749"/>
    <w:multiLevelType w:val="multilevel"/>
    <w:tmpl w:val="DFF8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E25023"/>
    <w:multiLevelType w:val="multilevel"/>
    <w:tmpl w:val="1CE0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6867E3"/>
    <w:multiLevelType w:val="multilevel"/>
    <w:tmpl w:val="6DE8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387F42"/>
    <w:multiLevelType w:val="multilevel"/>
    <w:tmpl w:val="9EB41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E32B79"/>
    <w:multiLevelType w:val="multilevel"/>
    <w:tmpl w:val="E332B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280782"/>
    <w:multiLevelType w:val="multilevel"/>
    <w:tmpl w:val="72AA6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4E4165"/>
    <w:multiLevelType w:val="multilevel"/>
    <w:tmpl w:val="22B8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C05763"/>
    <w:multiLevelType w:val="multilevel"/>
    <w:tmpl w:val="7B387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CD47B9"/>
    <w:multiLevelType w:val="multilevel"/>
    <w:tmpl w:val="A0D0C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2E53AA"/>
    <w:multiLevelType w:val="hybridMultilevel"/>
    <w:tmpl w:val="AFD86616"/>
    <w:lvl w:ilvl="0" w:tplc="B40247E6">
      <w:start w:val="1"/>
      <w:numFmt w:val="bullet"/>
      <w:lvlText w:val="u"/>
      <w:lvlJc w:val="left"/>
      <w:pPr>
        <w:tabs>
          <w:tab w:val="num" w:pos="720"/>
        </w:tabs>
        <w:ind w:left="720" w:hanging="360"/>
      </w:pPr>
      <w:rPr>
        <w:rFonts w:ascii="Wingdings 3" w:hAnsi="Wingdings 3" w:hint="default"/>
      </w:rPr>
    </w:lvl>
    <w:lvl w:ilvl="1" w:tplc="C792AC9C" w:tentative="1">
      <w:start w:val="1"/>
      <w:numFmt w:val="bullet"/>
      <w:lvlText w:val="u"/>
      <w:lvlJc w:val="left"/>
      <w:pPr>
        <w:tabs>
          <w:tab w:val="num" w:pos="1440"/>
        </w:tabs>
        <w:ind w:left="1440" w:hanging="360"/>
      </w:pPr>
      <w:rPr>
        <w:rFonts w:ascii="Wingdings 3" w:hAnsi="Wingdings 3" w:hint="default"/>
      </w:rPr>
    </w:lvl>
    <w:lvl w:ilvl="2" w:tplc="7EDA1056" w:tentative="1">
      <w:start w:val="1"/>
      <w:numFmt w:val="bullet"/>
      <w:lvlText w:val="u"/>
      <w:lvlJc w:val="left"/>
      <w:pPr>
        <w:tabs>
          <w:tab w:val="num" w:pos="2160"/>
        </w:tabs>
        <w:ind w:left="2160" w:hanging="360"/>
      </w:pPr>
      <w:rPr>
        <w:rFonts w:ascii="Wingdings 3" w:hAnsi="Wingdings 3" w:hint="default"/>
      </w:rPr>
    </w:lvl>
    <w:lvl w:ilvl="3" w:tplc="02B88F36" w:tentative="1">
      <w:start w:val="1"/>
      <w:numFmt w:val="bullet"/>
      <w:lvlText w:val="u"/>
      <w:lvlJc w:val="left"/>
      <w:pPr>
        <w:tabs>
          <w:tab w:val="num" w:pos="2880"/>
        </w:tabs>
        <w:ind w:left="2880" w:hanging="360"/>
      </w:pPr>
      <w:rPr>
        <w:rFonts w:ascii="Wingdings 3" w:hAnsi="Wingdings 3" w:hint="default"/>
      </w:rPr>
    </w:lvl>
    <w:lvl w:ilvl="4" w:tplc="B7F0F47C" w:tentative="1">
      <w:start w:val="1"/>
      <w:numFmt w:val="bullet"/>
      <w:lvlText w:val="u"/>
      <w:lvlJc w:val="left"/>
      <w:pPr>
        <w:tabs>
          <w:tab w:val="num" w:pos="3600"/>
        </w:tabs>
        <w:ind w:left="3600" w:hanging="360"/>
      </w:pPr>
      <w:rPr>
        <w:rFonts w:ascii="Wingdings 3" w:hAnsi="Wingdings 3" w:hint="default"/>
      </w:rPr>
    </w:lvl>
    <w:lvl w:ilvl="5" w:tplc="CF6CFD32" w:tentative="1">
      <w:start w:val="1"/>
      <w:numFmt w:val="bullet"/>
      <w:lvlText w:val="u"/>
      <w:lvlJc w:val="left"/>
      <w:pPr>
        <w:tabs>
          <w:tab w:val="num" w:pos="4320"/>
        </w:tabs>
        <w:ind w:left="4320" w:hanging="360"/>
      </w:pPr>
      <w:rPr>
        <w:rFonts w:ascii="Wingdings 3" w:hAnsi="Wingdings 3" w:hint="default"/>
      </w:rPr>
    </w:lvl>
    <w:lvl w:ilvl="6" w:tplc="EC2CFC40" w:tentative="1">
      <w:start w:val="1"/>
      <w:numFmt w:val="bullet"/>
      <w:lvlText w:val="u"/>
      <w:lvlJc w:val="left"/>
      <w:pPr>
        <w:tabs>
          <w:tab w:val="num" w:pos="5040"/>
        </w:tabs>
        <w:ind w:left="5040" w:hanging="360"/>
      </w:pPr>
      <w:rPr>
        <w:rFonts w:ascii="Wingdings 3" w:hAnsi="Wingdings 3" w:hint="default"/>
      </w:rPr>
    </w:lvl>
    <w:lvl w:ilvl="7" w:tplc="C2362A46" w:tentative="1">
      <w:start w:val="1"/>
      <w:numFmt w:val="bullet"/>
      <w:lvlText w:val="u"/>
      <w:lvlJc w:val="left"/>
      <w:pPr>
        <w:tabs>
          <w:tab w:val="num" w:pos="5760"/>
        </w:tabs>
        <w:ind w:left="5760" w:hanging="360"/>
      </w:pPr>
      <w:rPr>
        <w:rFonts w:ascii="Wingdings 3" w:hAnsi="Wingdings 3" w:hint="default"/>
      </w:rPr>
    </w:lvl>
    <w:lvl w:ilvl="8" w:tplc="22903160" w:tentative="1">
      <w:start w:val="1"/>
      <w:numFmt w:val="bullet"/>
      <w:lvlText w:val="u"/>
      <w:lvlJc w:val="left"/>
      <w:pPr>
        <w:tabs>
          <w:tab w:val="num" w:pos="6480"/>
        </w:tabs>
        <w:ind w:left="6480" w:hanging="360"/>
      </w:pPr>
      <w:rPr>
        <w:rFonts w:ascii="Wingdings 3" w:hAnsi="Wingdings 3" w:hint="default"/>
      </w:rPr>
    </w:lvl>
  </w:abstractNum>
  <w:abstractNum w:abstractNumId="40" w15:restartNumberingAfterBreak="0">
    <w:nsid w:val="6E032D67"/>
    <w:multiLevelType w:val="multilevel"/>
    <w:tmpl w:val="F2D6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EB5858"/>
    <w:multiLevelType w:val="multilevel"/>
    <w:tmpl w:val="C3923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167646"/>
    <w:multiLevelType w:val="multilevel"/>
    <w:tmpl w:val="436C1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D562A7"/>
    <w:multiLevelType w:val="multilevel"/>
    <w:tmpl w:val="E18C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DA7C8C"/>
    <w:multiLevelType w:val="multilevel"/>
    <w:tmpl w:val="B678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C9337B"/>
    <w:multiLevelType w:val="multilevel"/>
    <w:tmpl w:val="77101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D159C8"/>
    <w:multiLevelType w:val="multilevel"/>
    <w:tmpl w:val="2942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274879">
    <w:abstractNumId w:val="9"/>
  </w:num>
  <w:num w:numId="2" w16cid:durableId="1942643690">
    <w:abstractNumId w:val="2"/>
  </w:num>
  <w:num w:numId="3" w16cid:durableId="285936095">
    <w:abstractNumId w:val="38"/>
  </w:num>
  <w:num w:numId="4" w16cid:durableId="477109871">
    <w:abstractNumId w:val="21"/>
  </w:num>
  <w:num w:numId="5" w16cid:durableId="811826177">
    <w:abstractNumId w:val="29"/>
  </w:num>
  <w:num w:numId="6" w16cid:durableId="1450929332">
    <w:abstractNumId w:val="0"/>
  </w:num>
  <w:num w:numId="7" w16cid:durableId="2079789087">
    <w:abstractNumId w:val="18"/>
  </w:num>
  <w:num w:numId="8" w16cid:durableId="164445565">
    <w:abstractNumId w:val="19"/>
  </w:num>
  <w:num w:numId="9" w16cid:durableId="1748847255">
    <w:abstractNumId w:val="44"/>
  </w:num>
  <w:num w:numId="10" w16cid:durableId="1035151860">
    <w:abstractNumId w:val="3"/>
  </w:num>
  <w:num w:numId="11" w16cid:durableId="1731540143">
    <w:abstractNumId w:val="28"/>
  </w:num>
  <w:num w:numId="12" w16cid:durableId="1031029243">
    <w:abstractNumId w:val="8"/>
  </w:num>
  <w:num w:numId="13" w16cid:durableId="1622491673">
    <w:abstractNumId w:val="25"/>
  </w:num>
  <w:num w:numId="14" w16cid:durableId="287859533">
    <w:abstractNumId w:val="15"/>
  </w:num>
  <w:num w:numId="15" w16cid:durableId="708602861">
    <w:abstractNumId w:val="41"/>
  </w:num>
  <w:num w:numId="16" w16cid:durableId="634918540">
    <w:abstractNumId w:val="20"/>
  </w:num>
  <w:num w:numId="17" w16cid:durableId="1949972552">
    <w:abstractNumId w:val="13"/>
  </w:num>
  <w:num w:numId="18" w16cid:durableId="2030791003">
    <w:abstractNumId w:val="32"/>
  </w:num>
  <w:num w:numId="19" w16cid:durableId="586504362">
    <w:abstractNumId w:val="45"/>
  </w:num>
  <w:num w:numId="20" w16cid:durableId="983043736">
    <w:abstractNumId w:val="22"/>
  </w:num>
  <w:num w:numId="21" w16cid:durableId="198399778">
    <w:abstractNumId w:val="35"/>
  </w:num>
  <w:num w:numId="22" w16cid:durableId="1808357086">
    <w:abstractNumId w:val="11"/>
  </w:num>
  <w:num w:numId="23" w16cid:durableId="260139205">
    <w:abstractNumId w:val="40"/>
  </w:num>
  <w:num w:numId="24" w16cid:durableId="672073120">
    <w:abstractNumId w:val="12"/>
  </w:num>
  <w:num w:numId="25" w16cid:durableId="1786459056">
    <w:abstractNumId w:val="1"/>
  </w:num>
  <w:num w:numId="26" w16cid:durableId="1262108870">
    <w:abstractNumId w:val="30"/>
  </w:num>
  <w:num w:numId="27" w16cid:durableId="1943490114">
    <w:abstractNumId w:val="26"/>
  </w:num>
  <w:num w:numId="28" w16cid:durableId="984894049">
    <w:abstractNumId w:val="24"/>
  </w:num>
  <w:num w:numId="29" w16cid:durableId="1028675654">
    <w:abstractNumId w:val="6"/>
  </w:num>
  <w:num w:numId="30" w16cid:durableId="774787768">
    <w:abstractNumId w:val="23"/>
  </w:num>
  <w:num w:numId="31" w16cid:durableId="754782859">
    <w:abstractNumId w:val="7"/>
  </w:num>
  <w:num w:numId="32" w16cid:durableId="1450932445">
    <w:abstractNumId w:val="4"/>
  </w:num>
  <w:num w:numId="33" w16cid:durableId="274946660">
    <w:abstractNumId w:val="34"/>
  </w:num>
  <w:num w:numId="34" w16cid:durableId="2095281659">
    <w:abstractNumId w:val="31"/>
  </w:num>
  <w:num w:numId="35" w16cid:durableId="26027552">
    <w:abstractNumId w:val="5"/>
  </w:num>
  <w:num w:numId="36" w16cid:durableId="1565215160">
    <w:abstractNumId w:val="42"/>
  </w:num>
  <w:num w:numId="37" w16cid:durableId="511724622">
    <w:abstractNumId w:val="43"/>
  </w:num>
  <w:num w:numId="38" w16cid:durableId="1614090134">
    <w:abstractNumId w:val="10"/>
  </w:num>
  <w:num w:numId="39" w16cid:durableId="1975217033">
    <w:abstractNumId w:val="46"/>
  </w:num>
  <w:num w:numId="40" w16cid:durableId="520050410">
    <w:abstractNumId w:val="33"/>
  </w:num>
  <w:num w:numId="41" w16cid:durableId="680669754">
    <w:abstractNumId w:val="36"/>
  </w:num>
  <w:num w:numId="42" w16cid:durableId="1219128745">
    <w:abstractNumId w:val="16"/>
  </w:num>
  <w:num w:numId="43" w16cid:durableId="1072897774">
    <w:abstractNumId w:val="37"/>
  </w:num>
  <w:num w:numId="44" w16cid:durableId="129985962">
    <w:abstractNumId w:val="14"/>
  </w:num>
  <w:num w:numId="45" w16cid:durableId="211845006">
    <w:abstractNumId w:val="27"/>
  </w:num>
  <w:num w:numId="46" w16cid:durableId="1864400253">
    <w:abstractNumId w:val="17"/>
  </w:num>
  <w:num w:numId="47" w16cid:durableId="1054432178">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AE7"/>
    <w:rsid w:val="00112AE7"/>
    <w:rsid w:val="003703FE"/>
    <w:rsid w:val="00713429"/>
    <w:rsid w:val="00D70823"/>
    <w:rsid w:val="00F11990"/>
    <w:rsid w:val="00FA2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B5CDFB"/>
  <w15:chartTrackingRefBased/>
  <w15:docId w15:val="{7F549066-43D1-354B-B4FB-B8A22B8AD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A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12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2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2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A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A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A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A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2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2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AE7"/>
    <w:rPr>
      <w:rFonts w:eastAsiaTheme="majorEastAsia" w:cstheme="majorBidi"/>
      <w:color w:val="272727" w:themeColor="text1" w:themeTint="D8"/>
    </w:rPr>
  </w:style>
  <w:style w:type="paragraph" w:styleId="Title">
    <w:name w:val="Title"/>
    <w:basedOn w:val="Normal"/>
    <w:next w:val="Normal"/>
    <w:link w:val="TitleChar"/>
    <w:uiPriority w:val="10"/>
    <w:qFormat/>
    <w:rsid w:val="00112A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A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A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2AE7"/>
    <w:rPr>
      <w:i/>
      <w:iCs/>
      <w:color w:val="404040" w:themeColor="text1" w:themeTint="BF"/>
    </w:rPr>
  </w:style>
  <w:style w:type="paragraph" w:styleId="ListParagraph">
    <w:name w:val="List Paragraph"/>
    <w:basedOn w:val="Normal"/>
    <w:uiPriority w:val="34"/>
    <w:qFormat/>
    <w:rsid w:val="00112AE7"/>
    <w:pPr>
      <w:ind w:left="720"/>
      <w:contextualSpacing/>
    </w:pPr>
  </w:style>
  <w:style w:type="character" w:styleId="IntenseEmphasis">
    <w:name w:val="Intense Emphasis"/>
    <w:basedOn w:val="DefaultParagraphFont"/>
    <w:uiPriority w:val="21"/>
    <w:qFormat/>
    <w:rsid w:val="00112AE7"/>
    <w:rPr>
      <w:i/>
      <w:iCs/>
      <w:color w:val="0F4761" w:themeColor="accent1" w:themeShade="BF"/>
    </w:rPr>
  </w:style>
  <w:style w:type="paragraph" w:styleId="IntenseQuote">
    <w:name w:val="Intense Quote"/>
    <w:basedOn w:val="Normal"/>
    <w:next w:val="Normal"/>
    <w:link w:val="IntenseQuoteChar"/>
    <w:uiPriority w:val="30"/>
    <w:qFormat/>
    <w:rsid w:val="00112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AE7"/>
    <w:rPr>
      <w:i/>
      <w:iCs/>
      <w:color w:val="0F4761" w:themeColor="accent1" w:themeShade="BF"/>
    </w:rPr>
  </w:style>
  <w:style w:type="character" w:styleId="IntenseReference">
    <w:name w:val="Intense Reference"/>
    <w:basedOn w:val="DefaultParagraphFont"/>
    <w:uiPriority w:val="32"/>
    <w:qFormat/>
    <w:rsid w:val="00112AE7"/>
    <w:rPr>
      <w:b/>
      <w:bCs/>
      <w:smallCaps/>
      <w:color w:val="0F4761" w:themeColor="accent1" w:themeShade="BF"/>
      <w:spacing w:val="5"/>
    </w:rPr>
  </w:style>
  <w:style w:type="character" w:styleId="Hyperlink">
    <w:name w:val="Hyperlink"/>
    <w:basedOn w:val="DefaultParagraphFont"/>
    <w:uiPriority w:val="99"/>
    <w:unhideWhenUsed/>
    <w:rsid w:val="00112AE7"/>
    <w:rPr>
      <w:color w:val="467886" w:themeColor="hyperlink"/>
      <w:u w:val="single"/>
    </w:rPr>
  </w:style>
  <w:style w:type="character" w:styleId="UnresolvedMention">
    <w:name w:val="Unresolved Mention"/>
    <w:basedOn w:val="DefaultParagraphFont"/>
    <w:uiPriority w:val="99"/>
    <w:semiHidden/>
    <w:unhideWhenUsed/>
    <w:rsid w:val="00112AE7"/>
    <w:rPr>
      <w:color w:val="605E5C"/>
      <w:shd w:val="clear" w:color="auto" w:fill="E1DFDD"/>
    </w:rPr>
  </w:style>
  <w:style w:type="paragraph" w:styleId="NormalWeb">
    <w:name w:val="Normal (Web)"/>
    <w:basedOn w:val="Normal"/>
    <w:uiPriority w:val="99"/>
    <w:unhideWhenUsed/>
    <w:rsid w:val="00112AE7"/>
    <w:pPr>
      <w:spacing w:before="100" w:beforeAutospacing="1" w:after="100" w:afterAutospacing="1"/>
    </w:pPr>
  </w:style>
  <w:style w:type="paragraph" w:customStyle="1" w:styleId="react-xocs-list-item">
    <w:name w:val="react-xocs-list-item"/>
    <w:basedOn w:val="Normal"/>
    <w:rsid w:val="00112AE7"/>
    <w:pPr>
      <w:spacing w:before="100" w:beforeAutospacing="1" w:after="100" w:afterAutospacing="1"/>
    </w:pPr>
  </w:style>
  <w:style w:type="character" w:customStyle="1" w:styleId="list-label">
    <w:name w:val="list-label"/>
    <w:basedOn w:val="DefaultParagraphFont"/>
    <w:rsid w:val="00112AE7"/>
  </w:style>
  <w:style w:type="character" w:customStyle="1" w:styleId="apple-converted-space">
    <w:name w:val="apple-converted-space"/>
    <w:basedOn w:val="DefaultParagraphFont"/>
    <w:rsid w:val="00112AE7"/>
  </w:style>
  <w:style w:type="paragraph" w:customStyle="1" w:styleId="previous">
    <w:name w:val="previous"/>
    <w:basedOn w:val="Normal"/>
    <w:rsid w:val="00112AE7"/>
    <w:pPr>
      <w:spacing w:before="100" w:beforeAutospacing="1" w:after="100" w:afterAutospacing="1"/>
    </w:pPr>
  </w:style>
  <w:style w:type="paragraph" w:customStyle="1" w:styleId="halfrhythm">
    <w:name w:val="half_rhythm"/>
    <w:basedOn w:val="Normal"/>
    <w:rsid w:val="00112AE7"/>
    <w:pPr>
      <w:spacing w:before="100" w:beforeAutospacing="1" w:after="100" w:afterAutospacing="1"/>
    </w:pPr>
  </w:style>
  <w:style w:type="character" w:styleId="Emphasis">
    <w:name w:val="Emphasis"/>
    <w:basedOn w:val="DefaultParagraphFont"/>
    <w:uiPriority w:val="20"/>
    <w:qFormat/>
    <w:rsid w:val="00112AE7"/>
    <w:rPr>
      <w:i/>
      <w:iCs/>
    </w:rPr>
  </w:style>
  <w:style w:type="character" w:customStyle="1" w:styleId="ref-lnk">
    <w:name w:val="ref-lnk"/>
    <w:basedOn w:val="DefaultParagraphFont"/>
    <w:rsid w:val="00112AE7"/>
  </w:style>
  <w:style w:type="character" w:customStyle="1" w:styleId="off-screen">
    <w:name w:val="off-screen"/>
    <w:basedOn w:val="DefaultParagraphFont"/>
    <w:rsid w:val="00112AE7"/>
  </w:style>
  <w:style w:type="character" w:styleId="FollowedHyperlink">
    <w:name w:val="FollowedHyperlink"/>
    <w:basedOn w:val="DefaultParagraphFont"/>
    <w:uiPriority w:val="99"/>
    <w:semiHidden/>
    <w:unhideWhenUsed/>
    <w:rsid w:val="00112AE7"/>
    <w:rPr>
      <w:color w:val="96607D" w:themeColor="followedHyperlink"/>
      <w:u w:val="single"/>
    </w:rPr>
  </w:style>
  <w:style w:type="character" w:customStyle="1" w:styleId="heading">
    <w:name w:val="heading"/>
    <w:basedOn w:val="DefaultParagraphFont"/>
    <w:rsid w:val="00112AE7"/>
  </w:style>
  <w:style w:type="character" w:customStyle="1" w:styleId="hgkelc">
    <w:name w:val="hgkelc"/>
    <w:basedOn w:val="DefaultParagraphFont"/>
    <w:rsid w:val="00112AE7"/>
  </w:style>
  <w:style w:type="character" w:customStyle="1" w:styleId="jpfdse">
    <w:name w:val="jpfdse"/>
    <w:basedOn w:val="DefaultParagraphFont"/>
    <w:rsid w:val="00112AE7"/>
  </w:style>
  <w:style w:type="character" w:customStyle="1" w:styleId="mixed-citation">
    <w:name w:val="mixed-citation"/>
    <w:basedOn w:val="DefaultParagraphFont"/>
    <w:rsid w:val="00112AE7"/>
  </w:style>
  <w:style w:type="character" w:customStyle="1" w:styleId="ref-journal">
    <w:name w:val="ref-journal"/>
    <w:basedOn w:val="DefaultParagraphFont"/>
    <w:rsid w:val="00112AE7"/>
  </w:style>
  <w:style w:type="character" w:styleId="Strong">
    <w:name w:val="Strong"/>
    <w:basedOn w:val="DefaultParagraphFont"/>
    <w:uiPriority w:val="22"/>
    <w:qFormat/>
    <w:rsid w:val="00112AE7"/>
    <w:rPr>
      <w:b/>
      <w:bCs/>
    </w:rPr>
  </w:style>
  <w:style w:type="character" w:customStyle="1" w:styleId="url">
    <w:name w:val="url"/>
    <w:basedOn w:val="DefaultParagraphFont"/>
    <w:rsid w:val="00112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1989</Words>
  <Characters>11339</Characters>
  <Application>Microsoft Office Word</Application>
  <DocSecurity>0</DocSecurity>
  <Lines>94</Lines>
  <Paragraphs>26</Paragraphs>
  <ScaleCrop>false</ScaleCrop>
  <Company/>
  <LinksUpToDate>false</LinksUpToDate>
  <CharactersWithSpaces>13302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Marie James</dc:creator>
  <cp:keywords/>
  <dc:description/>
  <cp:lastModifiedBy>Lauren Marie James</cp:lastModifiedBy>
  <cp:revision>1</cp:revision>
  <dcterms:created xsi:type="dcterms:W3CDTF">2024-05-07T21:03:00Z</dcterms:created>
  <dcterms:modified xsi:type="dcterms:W3CDTF">2024-05-07T21:03:00Z</dcterms:modified>
</cp:coreProperties>
</file>