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394C" w:rsidRDefault="00B5394C" w:rsidP="00B5394C">
      <w:pPr>
        <w:jc w:val="center"/>
        <w:rPr>
          <w:sz w:val="72"/>
        </w:rPr>
      </w:pPr>
    </w:p>
    <w:p w:rsidR="00B5394C" w:rsidRDefault="00B5394C" w:rsidP="00B5394C">
      <w:pPr>
        <w:jc w:val="center"/>
        <w:rPr>
          <w:sz w:val="72"/>
        </w:rPr>
      </w:pPr>
    </w:p>
    <w:p w:rsidR="00116EAE" w:rsidRPr="00B5394C" w:rsidRDefault="00445CC1" w:rsidP="00B5394C">
      <w:pPr>
        <w:jc w:val="center"/>
        <w:rPr>
          <w:sz w:val="52"/>
        </w:rPr>
      </w:pPr>
      <w:r w:rsidRPr="00B5394C">
        <w:rPr>
          <w:sz w:val="52"/>
        </w:rPr>
        <w:t>Dylan Samuel</w:t>
      </w:r>
    </w:p>
    <w:p w:rsidR="00445CC1" w:rsidRPr="00B5394C" w:rsidRDefault="008721E4" w:rsidP="00B5394C">
      <w:pPr>
        <w:jc w:val="center"/>
        <w:rPr>
          <w:sz w:val="52"/>
        </w:rPr>
      </w:pPr>
      <w:r>
        <w:rPr>
          <w:sz w:val="52"/>
        </w:rPr>
        <w:t>The tort of negligence</w:t>
      </w:r>
    </w:p>
    <w:p w:rsidR="00B5394C" w:rsidRDefault="00B5394C" w:rsidP="00B5394C">
      <w:pPr>
        <w:jc w:val="center"/>
        <w:rPr>
          <w:sz w:val="52"/>
        </w:rPr>
      </w:pPr>
      <w:r w:rsidRPr="00B5394C">
        <w:rPr>
          <w:sz w:val="52"/>
        </w:rPr>
        <w:t>1/12/2022</w:t>
      </w: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B5394C" w:rsidRDefault="00B5394C" w:rsidP="00B5394C">
      <w:pPr>
        <w:jc w:val="center"/>
        <w:rPr>
          <w:sz w:val="52"/>
        </w:rPr>
      </w:pPr>
    </w:p>
    <w:p w:rsidR="008B621D" w:rsidRDefault="008B621D" w:rsidP="008B621D">
      <w:pPr>
        <w:rPr>
          <w:b/>
          <w:sz w:val="28"/>
          <w:u w:val="single"/>
        </w:rPr>
      </w:pPr>
      <w:r>
        <w:rPr>
          <w:b/>
          <w:sz w:val="28"/>
          <w:u w:val="single"/>
        </w:rPr>
        <w:lastRenderedPageBreak/>
        <w:t xml:space="preserve">Index </w:t>
      </w:r>
    </w:p>
    <w:p w:rsidR="006A35D6" w:rsidRDefault="006A35D6" w:rsidP="008B621D">
      <w:pPr>
        <w:rPr>
          <w:b/>
          <w:sz w:val="28"/>
          <w:u w:val="single"/>
        </w:rPr>
      </w:pPr>
    </w:p>
    <w:p w:rsidR="008B621D" w:rsidRDefault="008B621D" w:rsidP="008B621D">
      <w:pPr>
        <w:pStyle w:val="ListParagraph"/>
        <w:numPr>
          <w:ilvl w:val="0"/>
          <w:numId w:val="2"/>
        </w:numPr>
        <w:rPr>
          <w:b/>
          <w:sz w:val="28"/>
        </w:rPr>
      </w:pPr>
      <w:r>
        <w:rPr>
          <w:b/>
          <w:sz w:val="28"/>
        </w:rPr>
        <w:t>–</w:t>
      </w:r>
      <w:r w:rsidRPr="008B621D">
        <w:rPr>
          <w:b/>
          <w:sz w:val="28"/>
        </w:rPr>
        <w:t xml:space="preserve"> introduction</w:t>
      </w:r>
    </w:p>
    <w:p w:rsidR="006A35D6" w:rsidRDefault="006A35D6" w:rsidP="006A35D6">
      <w:pPr>
        <w:pStyle w:val="ListParagraph"/>
        <w:ind w:left="435"/>
        <w:rPr>
          <w:b/>
          <w:sz w:val="28"/>
        </w:rPr>
      </w:pPr>
    </w:p>
    <w:p w:rsidR="008B621D" w:rsidRPr="008B621D" w:rsidRDefault="008B621D" w:rsidP="008B621D">
      <w:pPr>
        <w:pStyle w:val="ListParagraph"/>
        <w:ind w:left="435"/>
        <w:rPr>
          <w:b/>
          <w:sz w:val="28"/>
        </w:rPr>
      </w:pPr>
    </w:p>
    <w:p w:rsidR="008B621D" w:rsidRDefault="008B621D" w:rsidP="008B621D">
      <w:pPr>
        <w:pStyle w:val="ListParagraph"/>
        <w:numPr>
          <w:ilvl w:val="0"/>
          <w:numId w:val="2"/>
        </w:numPr>
        <w:rPr>
          <w:b/>
          <w:sz w:val="28"/>
        </w:rPr>
      </w:pPr>
      <w:r>
        <w:rPr>
          <w:b/>
          <w:sz w:val="28"/>
        </w:rPr>
        <w:t xml:space="preserve">– the tort of negligence </w:t>
      </w:r>
    </w:p>
    <w:p w:rsidR="008B621D" w:rsidRPr="008B621D" w:rsidRDefault="008B621D" w:rsidP="008B621D">
      <w:pPr>
        <w:pStyle w:val="ListParagraph"/>
        <w:rPr>
          <w:b/>
          <w:sz w:val="28"/>
        </w:rPr>
      </w:pPr>
    </w:p>
    <w:p w:rsidR="008B621D" w:rsidRDefault="008B621D" w:rsidP="008B621D">
      <w:pPr>
        <w:pStyle w:val="ListParagraph"/>
        <w:ind w:left="435"/>
        <w:rPr>
          <w:b/>
          <w:sz w:val="28"/>
        </w:rPr>
      </w:pPr>
    </w:p>
    <w:p w:rsidR="008B621D" w:rsidRDefault="008B621D" w:rsidP="008B621D">
      <w:pPr>
        <w:pStyle w:val="ListParagraph"/>
        <w:numPr>
          <w:ilvl w:val="0"/>
          <w:numId w:val="2"/>
        </w:numPr>
        <w:rPr>
          <w:b/>
          <w:sz w:val="28"/>
        </w:rPr>
      </w:pPr>
      <w:r>
        <w:rPr>
          <w:b/>
          <w:sz w:val="28"/>
        </w:rPr>
        <w:t xml:space="preserve">– the elements of the tort of negligence </w:t>
      </w:r>
    </w:p>
    <w:p w:rsidR="008B621D" w:rsidRDefault="008B621D" w:rsidP="008B621D">
      <w:pPr>
        <w:pStyle w:val="ListParagraph"/>
        <w:numPr>
          <w:ilvl w:val="1"/>
          <w:numId w:val="2"/>
        </w:numPr>
        <w:rPr>
          <w:b/>
          <w:sz w:val="28"/>
        </w:rPr>
      </w:pPr>
      <w:r>
        <w:rPr>
          <w:b/>
          <w:sz w:val="28"/>
        </w:rPr>
        <w:t xml:space="preserve">– duty of care </w:t>
      </w:r>
    </w:p>
    <w:p w:rsidR="008B621D" w:rsidRDefault="008B621D" w:rsidP="008B621D">
      <w:pPr>
        <w:pStyle w:val="ListParagraph"/>
        <w:numPr>
          <w:ilvl w:val="1"/>
          <w:numId w:val="2"/>
        </w:numPr>
        <w:rPr>
          <w:b/>
          <w:sz w:val="28"/>
        </w:rPr>
      </w:pPr>
      <w:r>
        <w:rPr>
          <w:b/>
          <w:sz w:val="28"/>
        </w:rPr>
        <w:t>– breach of duty of care</w:t>
      </w:r>
    </w:p>
    <w:p w:rsidR="008B621D" w:rsidRDefault="008B621D" w:rsidP="008B621D">
      <w:pPr>
        <w:pStyle w:val="ListParagraph"/>
        <w:numPr>
          <w:ilvl w:val="1"/>
          <w:numId w:val="2"/>
        </w:numPr>
        <w:rPr>
          <w:b/>
          <w:sz w:val="28"/>
        </w:rPr>
      </w:pPr>
      <w:r>
        <w:rPr>
          <w:b/>
          <w:sz w:val="28"/>
        </w:rPr>
        <w:t>- Harm caused by breach of duty</w:t>
      </w:r>
    </w:p>
    <w:p w:rsidR="006A35D6" w:rsidRDefault="006A35D6" w:rsidP="006A35D6">
      <w:pPr>
        <w:pStyle w:val="ListParagraph"/>
        <w:ind w:left="1155"/>
        <w:rPr>
          <w:b/>
          <w:sz w:val="28"/>
        </w:rPr>
      </w:pPr>
    </w:p>
    <w:p w:rsidR="006A35D6" w:rsidRDefault="006A35D6" w:rsidP="006A35D6">
      <w:pPr>
        <w:pStyle w:val="ListParagraph"/>
        <w:ind w:left="1155"/>
        <w:rPr>
          <w:b/>
          <w:sz w:val="28"/>
        </w:rPr>
      </w:pPr>
    </w:p>
    <w:p w:rsidR="006A35D6" w:rsidRDefault="006A35D6" w:rsidP="006A35D6">
      <w:pPr>
        <w:pStyle w:val="NormalWeb"/>
        <w:numPr>
          <w:ilvl w:val="0"/>
          <w:numId w:val="2"/>
        </w:numPr>
        <w:shd w:val="clear" w:color="auto" w:fill="FFFFFF"/>
        <w:spacing w:before="0" w:beforeAutospacing="0" w:after="360" w:afterAutospacing="0"/>
        <w:rPr>
          <w:rFonts w:asciiTheme="minorHAnsi" w:hAnsiTheme="minorHAnsi" w:cstheme="minorHAnsi"/>
          <w:b/>
          <w:sz w:val="28"/>
          <w:szCs w:val="21"/>
        </w:rPr>
      </w:pPr>
      <w:r w:rsidRPr="006A35D6">
        <w:rPr>
          <w:rFonts w:asciiTheme="minorHAnsi" w:hAnsiTheme="minorHAnsi" w:cstheme="minorHAnsi"/>
          <w:b/>
          <w:sz w:val="28"/>
          <w:szCs w:val="21"/>
        </w:rPr>
        <w:t xml:space="preserve">- </w:t>
      </w:r>
      <w:r w:rsidRPr="006A35D6">
        <w:rPr>
          <w:rFonts w:asciiTheme="minorHAnsi" w:hAnsiTheme="minorHAnsi" w:cstheme="minorHAnsi"/>
          <w:b/>
          <w:sz w:val="28"/>
          <w:szCs w:val="21"/>
        </w:rPr>
        <w:t>Case law within construction and the effect it can have on project progression</w:t>
      </w:r>
    </w:p>
    <w:p w:rsidR="008B621D" w:rsidRDefault="006A35D6" w:rsidP="006A35D6">
      <w:pPr>
        <w:pStyle w:val="NormalWeb"/>
        <w:numPr>
          <w:ilvl w:val="1"/>
          <w:numId w:val="2"/>
        </w:numPr>
        <w:shd w:val="clear" w:color="auto" w:fill="FFFFFF"/>
        <w:spacing w:before="0" w:beforeAutospacing="0" w:after="360" w:afterAutospacing="0"/>
        <w:rPr>
          <w:rFonts w:asciiTheme="minorHAnsi" w:hAnsiTheme="minorHAnsi" w:cstheme="minorHAnsi"/>
          <w:b/>
          <w:sz w:val="28"/>
          <w:szCs w:val="21"/>
        </w:rPr>
      </w:pPr>
      <w:r>
        <w:rPr>
          <w:rFonts w:asciiTheme="minorHAnsi" w:hAnsiTheme="minorHAnsi" w:cstheme="minorHAnsi"/>
          <w:b/>
          <w:sz w:val="28"/>
          <w:szCs w:val="21"/>
        </w:rPr>
        <w:t xml:space="preserve">– conclusion </w:t>
      </w:r>
    </w:p>
    <w:p w:rsidR="006A35D6" w:rsidRDefault="006A35D6" w:rsidP="006A35D6">
      <w:pPr>
        <w:pStyle w:val="NormalWeb"/>
        <w:shd w:val="clear" w:color="auto" w:fill="FFFFFF"/>
        <w:spacing w:before="0" w:beforeAutospacing="0" w:after="360" w:afterAutospacing="0"/>
        <w:ind w:left="1155"/>
        <w:rPr>
          <w:rFonts w:asciiTheme="minorHAnsi" w:hAnsiTheme="minorHAnsi" w:cstheme="minorHAnsi"/>
          <w:b/>
          <w:sz w:val="28"/>
          <w:szCs w:val="21"/>
        </w:rPr>
      </w:pPr>
    </w:p>
    <w:p w:rsidR="006A35D6" w:rsidRDefault="006A35D6" w:rsidP="006A35D6">
      <w:pPr>
        <w:pStyle w:val="NormalWeb"/>
        <w:numPr>
          <w:ilvl w:val="0"/>
          <w:numId w:val="2"/>
        </w:numPr>
        <w:shd w:val="clear" w:color="auto" w:fill="FFFFFF"/>
        <w:spacing w:before="0" w:beforeAutospacing="0" w:after="360" w:afterAutospacing="0"/>
        <w:rPr>
          <w:rFonts w:asciiTheme="minorHAnsi" w:hAnsiTheme="minorHAnsi" w:cstheme="minorHAnsi"/>
          <w:b/>
          <w:color w:val="000000" w:themeColor="text1"/>
          <w:sz w:val="28"/>
          <w:szCs w:val="21"/>
        </w:rPr>
      </w:pPr>
      <w:r w:rsidRPr="006A35D6">
        <w:rPr>
          <w:rFonts w:asciiTheme="minorHAnsi" w:hAnsiTheme="minorHAnsi" w:cstheme="minorHAnsi"/>
          <w:b/>
          <w:sz w:val="32"/>
          <w:szCs w:val="21"/>
        </w:rPr>
        <w:t xml:space="preserve">- </w:t>
      </w:r>
      <w:r w:rsidRPr="006A35D6">
        <w:rPr>
          <w:rFonts w:asciiTheme="minorHAnsi" w:hAnsiTheme="minorHAnsi" w:cstheme="minorHAnsi"/>
          <w:b/>
          <w:color w:val="000000" w:themeColor="text1"/>
          <w:sz w:val="28"/>
          <w:szCs w:val="21"/>
        </w:rPr>
        <w:t>Importance and the possible impact on project progression</w:t>
      </w:r>
    </w:p>
    <w:p w:rsidR="006A35D6" w:rsidRDefault="006A35D6" w:rsidP="006A35D6">
      <w:pPr>
        <w:pStyle w:val="NormalWeb"/>
        <w:shd w:val="clear" w:color="auto" w:fill="FFFFFF"/>
        <w:spacing w:before="0" w:beforeAutospacing="0" w:after="360" w:afterAutospacing="0"/>
        <w:ind w:left="435"/>
        <w:rPr>
          <w:rFonts w:asciiTheme="minorHAnsi" w:hAnsiTheme="minorHAnsi" w:cstheme="minorHAnsi"/>
          <w:b/>
          <w:color w:val="000000" w:themeColor="text1"/>
          <w:sz w:val="28"/>
          <w:szCs w:val="21"/>
        </w:rPr>
      </w:pPr>
    </w:p>
    <w:p w:rsidR="006A35D6" w:rsidRDefault="006A35D6" w:rsidP="006A35D6">
      <w:pPr>
        <w:pStyle w:val="NormalWeb"/>
        <w:numPr>
          <w:ilvl w:val="0"/>
          <w:numId w:val="2"/>
        </w:numPr>
        <w:shd w:val="clear" w:color="auto" w:fill="FFFFFF"/>
        <w:spacing w:before="0" w:beforeAutospacing="0" w:after="360" w:afterAutospacing="0"/>
        <w:rPr>
          <w:rFonts w:asciiTheme="minorHAnsi" w:hAnsiTheme="minorHAnsi" w:cstheme="minorHAnsi"/>
          <w:b/>
          <w:color w:val="000000" w:themeColor="text1"/>
          <w:sz w:val="28"/>
          <w:szCs w:val="21"/>
        </w:rPr>
      </w:pPr>
      <w:r>
        <w:rPr>
          <w:rFonts w:asciiTheme="minorHAnsi" w:hAnsiTheme="minorHAnsi" w:cstheme="minorHAnsi"/>
          <w:b/>
          <w:color w:val="000000" w:themeColor="text1"/>
          <w:sz w:val="28"/>
          <w:szCs w:val="21"/>
        </w:rPr>
        <w:t xml:space="preserve">– </w:t>
      </w:r>
      <w:r w:rsidRPr="006A35D6">
        <w:rPr>
          <w:rFonts w:asciiTheme="minorHAnsi" w:hAnsiTheme="minorHAnsi" w:cstheme="minorHAnsi"/>
          <w:b/>
          <w:color w:val="000000" w:themeColor="text1"/>
          <w:sz w:val="28"/>
          <w:szCs w:val="21"/>
        </w:rPr>
        <w:t>The impact of adjudication upon deciding a dispute.</w:t>
      </w:r>
    </w:p>
    <w:p w:rsidR="006A35D6" w:rsidRDefault="006A35D6" w:rsidP="006A35D6">
      <w:pPr>
        <w:pStyle w:val="ListParagraph"/>
        <w:rPr>
          <w:rFonts w:cstheme="minorHAnsi"/>
          <w:b/>
          <w:color w:val="000000" w:themeColor="text1"/>
          <w:sz w:val="28"/>
          <w:szCs w:val="21"/>
        </w:rPr>
      </w:pPr>
    </w:p>
    <w:p w:rsidR="006A35D6" w:rsidRDefault="006A35D6" w:rsidP="006A35D6">
      <w:pPr>
        <w:pStyle w:val="NormalWeb"/>
        <w:shd w:val="clear" w:color="auto" w:fill="FFFFFF"/>
        <w:spacing w:before="0" w:beforeAutospacing="0" w:after="360" w:afterAutospacing="0"/>
        <w:ind w:left="435"/>
        <w:rPr>
          <w:rFonts w:asciiTheme="minorHAnsi" w:hAnsiTheme="minorHAnsi" w:cstheme="minorHAnsi"/>
          <w:b/>
          <w:color w:val="000000" w:themeColor="text1"/>
          <w:sz w:val="28"/>
          <w:szCs w:val="21"/>
        </w:rPr>
      </w:pPr>
    </w:p>
    <w:p w:rsidR="006A35D6" w:rsidRPr="006A35D6" w:rsidRDefault="006A35D6" w:rsidP="006A35D6">
      <w:pPr>
        <w:pStyle w:val="NormalWeb"/>
        <w:numPr>
          <w:ilvl w:val="0"/>
          <w:numId w:val="2"/>
        </w:numPr>
        <w:shd w:val="clear" w:color="auto" w:fill="FFFFFF"/>
        <w:spacing w:before="0" w:beforeAutospacing="0" w:after="360" w:afterAutospacing="0"/>
        <w:rPr>
          <w:rFonts w:asciiTheme="minorHAnsi" w:hAnsiTheme="minorHAnsi" w:cstheme="minorHAnsi"/>
          <w:b/>
          <w:color w:val="000000" w:themeColor="text1"/>
          <w:sz w:val="28"/>
          <w:szCs w:val="21"/>
        </w:rPr>
      </w:pPr>
      <w:r>
        <w:rPr>
          <w:rFonts w:asciiTheme="minorHAnsi" w:hAnsiTheme="minorHAnsi" w:cstheme="minorHAnsi"/>
          <w:b/>
          <w:color w:val="000000" w:themeColor="text1"/>
          <w:sz w:val="28"/>
          <w:szCs w:val="21"/>
        </w:rPr>
        <w:t xml:space="preserve">- Bibliography </w:t>
      </w:r>
    </w:p>
    <w:p w:rsidR="006A35D6" w:rsidRPr="006A35D6" w:rsidRDefault="006A35D6" w:rsidP="006A35D6">
      <w:pPr>
        <w:pStyle w:val="NormalWeb"/>
        <w:shd w:val="clear" w:color="auto" w:fill="FFFFFF"/>
        <w:spacing w:before="0" w:beforeAutospacing="0" w:after="360" w:afterAutospacing="0"/>
        <w:ind w:left="1155"/>
        <w:rPr>
          <w:rFonts w:asciiTheme="minorHAnsi" w:hAnsiTheme="minorHAnsi" w:cstheme="minorHAnsi"/>
          <w:b/>
          <w:sz w:val="28"/>
          <w:szCs w:val="21"/>
        </w:rPr>
      </w:pPr>
    </w:p>
    <w:p w:rsidR="008B621D" w:rsidRPr="008B621D" w:rsidRDefault="008B621D" w:rsidP="008B621D">
      <w:pPr>
        <w:pStyle w:val="ListParagraph"/>
        <w:ind w:left="1155"/>
        <w:rPr>
          <w:b/>
          <w:sz w:val="28"/>
        </w:rPr>
      </w:pPr>
    </w:p>
    <w:p w:rsidR="006A35D6" w:rsidRDefault="006A35D6" w:rsidP="006A35D6">
      <w:pPr>
        <w:rPr>
          <w:b/>
          <w:sz w:val="28"/>
        </w:rPr>
      </w:pPr>
    </w:p>
    <w:p w:rsidR="00B5394C" w:rsidRPr="00580397" w:rsidRDefault="006A35D6" w:rsidP="006A35D6">
      <w:pPr>
        <w:jc w:val="center"/>
        <w:rPr>
          <w:b/>
          <w:sz w:val="28"/>
          <w:u w:val="single"/>
        </w:rPr>
      </w:pPr>
      <w:r>
        <w:rPr>
          <w:b/>
          <w:sz w:val="28"/>
          <w:u w:val="single"/>
        </w:rPr>
        <w:lastRenderedPageBreak/>
        <w:t xml:space="preserve">1.0 </w:t>
      </w:r>
      <w:r w:rsidR="00B5394C" w:rsidRPr="00580397">
        <w:rPr>
          <w:b/>
          <w:sz w:val="28"/>
          <w:u w:val="single"/>
        </w:rPr>
        <w:t>Introduction</w:t>
      </w:r>
    </w:p>
    <w:p w:rsidR="00432668" w:rsidRDefault="00C83CF3" w:rsidP="00580397">
      <w:pPr>
        <w:rPr>
          <w:sz w:val="24"/>
        </w:rPr>
      </w:pPr>
      <w:r>
        <w:rPr>
          <w:sz w:val="24"/>
        </w:rPr>
        <w:t xml:space="preserve">Within this report I </w:t>
      </w:r>
      <w:r w:rsidR="00432668">
        <w:rPr>
          <w:sz w:val="24"/>
        </w:rPr>
        <w:t xml:space="preserve">will be covering the tort of negligence and its essential </w:t>
      </w:r>
      <w:r w:rsidR="001E3DB9">
        <w:rPr>
          <w:sz w:val="24"/>
        </w:rPr>
        <w:t xml:space="preserve">3 </w:t>
      </w:r>
      <w:r w:rsidR="00432668">
        <w:rPr>
          <w:sz w:val="24"/>
        </w:rPr>
        <w:t>elements. I will also be outlining the importance of case law within construction and the impact it can have on a projects progression.</w:t>
      </w:r>
      <w:r>
        <w:rPr>
          <w:sz w:val="24"/>
        </w:rPr>
        <w:t xml:space="preserve"> </w:t>
      </w:r>
      <w:r w:rsidR="00432668">
        <w:rPr>
          <w:sz w:val="24"/>
        </w:rPr>
        <w:t xml:space="preserve">Finally, using the case of </w:t>
      </w:r>
      <w:r w:rsidR="00CD5304">
        <w:rPr>
          <w:sz w:val="24"/>
        </w:rPr>
        <w:t>Vinci</w:t>
      </w:r>
      <w:r w:rsidR="00432668">
        <w:rPr>
          <w:sz w:val="24"/>
        </w:rPr>
        <w:t xml:space="preserve"> construction</w:t>
      </w:r>
      <w:r w:rsidR="00CD5304">
        <w:rPr>
          <w:sz w:val="24"/>
        </w:rPr>
        <w:t xml:space="preserve"> UK LTD v Beumer group UK LTD (2018) to outline the impact of adjudication upon deciding such a dispute.</w:t>
      </w:r>
    </w:p>
    <w:p w:rsidR="001C542D" w:rsidRDefault="001C542D" w:rsidP="00580397">
      <w:pPr>
        <w:rPr>
          <w:b/>
          <w:sz w:val="24"/>
          <w:u w:val="single"/>
        </w:rPr>
      </w:pPr>
    </w:p>
    <w:p w:rsidR="00CD5304" w:rsidRPr="00580397" w:rsidRDefault="006A35D6" w:rsidP="00580397">
      <w:pPr>
        <w:jc w:val="center"/>
        <w:rPr>
          <w:b/>
          <w:sz w:val="28"/>
          <w:u w:val="single"/>
        </w:rPr>
      </w:pPr>
      <w:r>
        <w:rPr>
          <w:b/>
          <w:sz w:val="28"/>
          <w:u w:val="single"/>
        </w:rPr>
        <w:t xml:space="preserve">2.0 </w:t>
      </w:r>
      <w:r w:rsidR="001C542D" w:rsidRPr="00580397">
        <w:rPr>
          <w:b/>
          <w:sz w:val="28"/>
          <w:u w:val="single"/>
        </w:rPr>
        <w:t>The tort of negligence</w:t>
      </w:r>
    </w:p>
    <w:p w:rsidR="001C542D" w:rsidRPr="001C542D" w:rsidRDefault="001C542D" w:rsidP="00580397">
      <w:pPr>
        <w:rPr>
          <w:b/>
          <w:sz w:val="24"/>
          <w:u w:val="single"/>
        </w:rPr>
      </w:pPr>
    </w:p>
    <w:p w:rsidR="00B5394C" w:rsidRDefault="00DE4BE1" w:rsidP="00580397">
      <w:pPr>
        <w:rPr>
          <w:sz w:val="24"/>
        </w:rPr>
      </w:pPr>
      <w:r>
        <w:rPr>
          <w:sz w:val="24"/>
        </w:rPr>
        <w:t xml:space="preserve">A legal wrong such as </w:t>
      </w:r>
      <w:r w:rsidRPr="00DE4BE1">
        <w:rPr>
          <w:sz w:val="24"/>
        </w:rPr>
        <w:t>the Tort of Negligenc</w:t>
      </w:r>
      <w:r>
        <w:rPr>
          <w:sz w:val="24"/>
        </w:rPr>
        <w:t>e is committed when someone</w:t>
      </w:r>
      <w:r w:rsidRPr="00DE4BE1">
        <w:rPr>
          <w:sz w:val="24"/>
        </w:rPr>
        <w:t xml:space="preserve"> neglects to take reasonable precautions to prevent what a person would consider a risk. In many situations, </w:t>
      </w:r>
      <w:r>
        <w:rPr>
          <w:sz w:val="24"/>
        </w:rPr>
        <w:t>for example a doctor and a patient or an</w:t>
      </w:r>
      <w:r w:rsidRPr="00DE4BE1">
        <w:rPr>
          <w:sz w:val="24"/>
        </w:rPr>
        <w:t xml:space="preserve"> employer and an employee</w:t>
      </w:r>
      <w:r>
        <w:rPr>
          <w:sz w:val="24"/>
        </w:rPr>
        <w:t>, there will be an</w:t>
      </w:r>
      <w:r w:rsidRPr="00DE4BE1">
        <w:rPr>
          <w:sz w:val="24"/>
        </w:rPr>
        <w:t xml:space="preserve"> implied contractual relationship</w:t>
      </w:r>
      <w:r>
        <w:rPr>
          <w:sz w:val="24"/>
        </w:rPr>
        <w:t>/agreement</w:t>
      </w:r>
      <w:r w:rsidRPr="00DE4BE1">
        <w:rPr>
          <w:sz w:val="24"/>
        </w:rPr>
        <w:t xml:space="preserve"> betw</w:t>
      </w:r>
      <w:r>
        <w:rPr>
          <w:sz w:val="24"/>
        </w:rPr>
        <w:t>een the parties involved. Until a relatively recent change, it was necessary</w:t>
      </w:r>
      <w:r w:rsidRPr="00DE4BE1">
        <w:rPr>
          <w:sz w:val="24"/>
        </w:rPr>
        <w:t xml:space="preserve"> a contractual relationship to exist in order for a claim for negligence to succeed.</w:t>
      </w:r>
      <w:r w:rsidR="000F0A75">
        <w:rPr>
          <w:sz w:val="24"/>
        </w:rPr>
        <w:t xml:space="preserve"> In present times, a contractual agreement does not have to be established for a claim in tort to be successful.</w:t>
      </w:r>
      <w:r w:rsidR="000F0A75" w:rsidRPr="000F0A75">
        <w:t xml:space="preserve"> </w:t>
      </w:r>
      <w:r w:rsidR="000F0A75" w:rsidRPr="000F0A75">
        <w:rPr>
          <w:sz w:val="24"/>
        </w:rPr>
        <w:t>Due to the fact that people involved in accidents frequently do not know one another, for instance</w:t>
      </w:r>
      <w:r w:rsidR="000F0A75">
        <w:rPr>
          <w:sz w:val="24"/>
        </w:rPr>
        <w:t xml:space="preserve"> a road accident. The parties will often have no previous relationship at all.</w:t>
      </w:r>
    </w:p>
    <w:p w:rsidR="001C542D" w:rsidRDefault="001C542D" w:rsidP="00580397">
      <w:pPr>
        <w:rPr>
          <w:sz w:val="24"/>
        </w:rPr>
      </w:pPr>
    </w:p>
    <w:p w:rsidR="001C542D" w:rsidRPr="001E3DB9" w:rsidRDefault="006A35D6" w:rsidP="00580397">
      <w:pPr>
        <w:rPr>
          <w:b/>
          <w:sz w:val="28"/>
          <w:u w:val="single"/>
        </w:rPr>
      </w:pPr>
      <w:r>
        <w:rPr>
          <w:b/>
          <w:sz w:val="28"/>
          <w:u w:val="single"/>
        </w:rPr>
        <w:t xml:space="preserve">3.0 </w:t>
      </w:r>
      <w:r w:rsidR="001C542D" w:rsidRPr="001E3DB9">
        <w:rPr>
          <w:b/>
          <w:sz w:val="28"/>
          <w:u w:val="single"/>
        </w:rPr>
        <w:t xml:space="preserve">The elements of </w:t>
      </w:r>
      <w:r w:rsidR="00580397" w:rsidRPr="001E3DB9">
        <w:rPr>
          <w:b/>
          <w:sz w:val="28"/>
          <w:u w:val="single"/>
        </w:rPr>
        <w:t>the tort of negligence;</w:t>
      </w:r>
    </w:p>
    <w:p w:rsidR="00113762" w:rsidRPr="00113762" w:rsidRDefault="00113762" w:rsidP="00580397">
      <w:pPr>
        <w:rPr>
          <w:sz w:val="24"/>
        </w:rPr>
      </w:pPr>
      <w:r>
        <w:rPr>
          <w:sz w:val="24"/>
        </w:rPr>
        <w:t>The tort of negligence generally consists of three main elements which are identified as duty of care, breach of duty and finally the harm caused by breach of duty.</w:t>
      </w:r>
    </w:p>
    <w:p w:rsidR="00580397" w:rsidRDefault="006A35D6" w:rsidP="00580397">
      <w:pPr>
        <w:rPr>
          <w:b/>
          <w:sz w:val="24"/>
          <w:u w:val="single"/>
        </w:rPr>
      </w:pPr>
      <w:r>
        <w:rPr>
          <w:b/>
          <w:sz w:val="24"/>
          <w:u w:val="single"/>
        </w:rPr>
        <w:t xml:space="preserve">3.1 </w:t>
      </w:r>
      <w:r w:rsidR="00580397">
        <w:rPr>
          <w:b/>
          <w:sz w:val="24"/>
          <w:u w:val="single"/>
        </w:rPr>
        <w:t>Duty of care;</w:t>
      </w:r>
    </w:p>
    <w:p w:rsidR="00113762" w:rsidRPr="001E3DB9" w:rsidRDefault="00113762" w:rsidP="00113762">
      <w:pPr>
        <w:pStyle w:val="NormalWeb"/>
        <w:shd w:val="clear" w:color="auto" w:fill="FFFFFF"/>
        <w:spacing w:before="0" w:beforeAutospacing="0" w:after="360" w:afterAutospacing="0"/>
        <w:jc w:val="both"/>
        <w:rPr>
          <w:rFonts w:ascii="Arial" w:hAnsi="Arial" w:cs="Arial"/>
          <w:sz w:val="21"/>
          <w:szCs w:val="21"/>
        </w:rPr>
      </w:pPr>
      <w:r w:rsidRPr="001E3DB9">
        <w:rPr>
          <w:rFonts w:ascii="Arial" w:hAnsi="Arial" w:cs="Arial"/>
          <w:sz w:val="21"/>
          <w:szCs w:val="21"/>
        </w:rPr>
        <w:t>Any individual is required by law to use reasonable care in order to avoid hurting or harming another person. This responsibility is known as the "duty of care." For example a doctor has the duty of care of his patients.</w:t>
      </w:r>
    </w:p>
    <w:p w:rsidR="00113762" w:rsidRPr="00C13927" w:rsidRDefault="006A35D6" w:rsidP="00113762">
      <w:pPr>
        <w:pStyle w:val="NormalWeb"/>
        <w:shd w:val="clear" w:color="auto" w:fill="FFFFFF"/>
        <w:spacing w:before="0" w:beforeAutospacing="0" w:after="360" w:afterAutospacing="0"/>
        <w:jc w:val="both"/>
        <w:rPr>
          <w:rFonts w:ascii="Arial" w:hAnsi="Arial" w:cs="Arial"/>
          <w:b/>
          <w:sz w:val="21"/>
          <w:szCs w:val="21"/>
          <w:u w:val="single"/>
        </w:rPr>
      </w:pPr>
      <w:r>
        <w:rPr>
          <w:rFonts w:ascii="Arial" w:hAnsi="Arial" w:cs="Arial"/>
          <w:b/>
          <w:sz w:val="21"/>
          <w:szCs w:val="21"/>
          <w:u w:val="single"/>
        </w:rPr>
        <w:t xml:space="preserve">3.2 </w:t>
      </w:r>
      <w:r w:rsidR="00113762" w:rsidRPr="00C13927">
        <w:rPr>
          <w:rFonts w:ascii="Arial" w:hAnsi="Arial" w:cs="Arial"/>
          <w:b/>
          <w:sz w:val="21"/>
          <w:szCs w:val="21"/>
          <w:u w:val="single"/>
        </w:rPr>
        <w:t>Breaching the duty of care;</w:t>
      </w:r>
    </w:p>
    <w:p w:rsidR="00C13927" w:rsidRPr="001E3DB9" w:rsidRDefault="00C13927" w:rsidP="00113762">
      <w:pPr>
        <w:pStyle w:val="NormalWeb"/>
        <w:shd w:val="clear" w:color="auto" w:fill="FFFFFF"/>
        <w:spacing w:before="0" w:beforeAutospacing="0" w:after="360" w:afterAutospacing="0"/>
        <w:jc w:val="both"/>
        <w:rPr>
          <w:rFonts w:asciiTheme="minorHAnsi" w:hAnsiTheme="minorHAnsi" w:cstheme="minorHAnsi"/>
          <w:sz w:val="22"/>
          <w:szCs w:val="21"/>
        </w:rPr>
      </w:pPr>
      <w:r w:rsidRPr="001E3DB9">
        <w:rPr>
          <w:rFonts w:asciiTheme="minorHAnsi" w:hAnsiTheme="minorHAnsi" w:cstheme="minorHAnsi"/>
          <w:sz w:val="22"/>
          <w:szCs w:val="21"/>
        </w:rPr>
        <w:t>When someone is harmed or hurt in an occurrence due to negligence from someone else, the duty of care has been broken. Additionally, if the offender knew or should have known that the activity would carry a high risk of harm or injury to a person, then this states that a reasonable person in the same circumstances would not have behaved that way and eventually redirected the danger of injury.</w:t>
      </w:r>
    </w:p>
    <w:p w:rsidR="001E3DB9" w:rsidRDefault="006A35D6" w:rsidP="00113762">
      <w:pPr>
        <w:pStyle w:val="NormalWeb"/>
        <w:shd w:val="clear" w:color="auto" w:fill="FFFFFF"/>
        <w:spacing w:before="0" w:beforeAutospacing="0" w:after="360" w:afterAutospacing="0"/>
        <w:jc w:val="both"/>
        <w:rPr>
          <w:rFonts w:asciiTheme="minorHAnsi" w:hAnsiTheme="minorHAnsi" w:cstheme="minorHAnsi"/>
          <w:b/>
          <w:szCs w:val="21"/>
          <w:u w:val="single"/>
        </w:rPr>
      </w:pPr>
      <w:r>
        <w:rPr>
          <w:rFonts w:asciiTheme="minorHAnsi" w:hAnsiTheme="minorHAnsi" w:cstheme="minorHAnsi"/>
          <w:b/>
          <w:szCs w:val="21"/>
          <w:u w:val="single"/>
        </w:rPr>
        <w:t xml:space="preserve">3.3 </w:t>
      </w:r>
      <w:r w:rsidR="001E3DB9" w:rsidRPr="001E3DB9">
        <w:rPr>
          <w:rFonts w:asciiTheme="minorHAnsi" w:hAnsiTheme="minorHAnsi" w:cstheme="minorHAnsi"/>
          <w:b/>
          <w:szCs w:val="21"/>
          <w:u w:val="single"/>
        </w:rPr>
        <w:t>Harm caused by breach of duty;</w:t>
      </w:r>
    </w:p>
    <w:p w:rsidR="001E3DB9" w:rsidRDefault="001E3DB9" w:rsidP="00113762">
      <w:pPr>
        <w:pStyle w:val="NormalWeb"/>
        <w:shd w:val="clear" w:color="auto" w:fill="FFFFFF"/>
        <w:spacing w:before="0" w:beforeAutospacing="0" w:after="360" w:afterAutospacing="0"/>
        <w:jc w:val="both"/>
        <w:rPr>
          <w:rFonts w:asciiTheme="minorHAnsi" w:hAnsiTheme="minorHAnsi" w:cstheme="minorHAnsi"/>
          <w:szCs w:val="21"/>
        </w:rPr>
      </w:pPr>
      <w:r w:rsidRPr="001E3DB9">
        <w:rPr>
          <w:rFonts w:asciiTheme="minorHAnsi" w:hAnsiTheme="minorHAnsi" w:cstheme="minorHAnsi"/>
          <w:szCs w:val="21"/>
        </w:rPr>
        <w:t>Damages resulting from a breach of d</w:t>
      </w:r>
      <w:r>
        <w:rPr>
          <w:rFonts w:asciiTheme="minorHAnsi" w:hAnsiTheme="minorHAnsi" w:cstheme="minorHAnsi"/>
          <w:szCs w:val="21"/>
        </w:rPr>
        <w:t>uty must be proven by the plaintiff</w:t>
      </w:r>
      <w:r w:rsidRPr="001E3DB9">
        <w:rPr>
          <w:rFonts w:asciiTheme="minorHAnsi" w:hAnsiTheme="minorHAnsi" w:cstheme="minorHAnsi"/>
          <w:szCs w:val="21"/>
        </w:rPr>
        <w:t xml:space="preserve"> in a way that shows the defendants' negligence, whether it caused the damage directly or indirectly. In other words, the pl</w:t>
      </w:r>
      <w:r>
        <w:rPr>
          <w:rFonts w:asciiTheme="minorHAnsi" w:hAnsiTheme="minorHAnsi" w:cstheme="minorHAnsi"/>
          <w:szCs w:val="21"/>
        </w:rPr>
        <w:t>aintiff must present solid evidence</w:t>
      </w:r>
      <w:r w:rsidRPr="001E3DB9">
        <w:rPr>
          <w:rFonts w:asciiTheme="minorHAnsi" w:hAnsiTheme="minorHAnsi" w:cstheme="minorHAnsi"/>
          <w:szCs w:val="21"/>
        </w:rPr>
        <w:t xml:space="preserve"> that the defendant is to bla</w:t>
      </w:r>
      <w:r w:rsidR="001231EA">
        <w:rPr>
          <w:rFonts w:asciiTheme="minorHAnsi" w:hAnsiTheme="minorHAnsi" w:cstheme="minorHAnsi"/>
          <w:szCs w:val="21"/>
        </w:rPr>
        <w:t xml:space="preserve">me for the incident; otherwise, </w:t>
      </w:r>
      <w:r w:rsidR="001231EA" w:rsidRPr="001231EA">
        <w:rPr>
          <w:rFonts w:asciiTheme="minorHAnsi" w:hAnsiTheme="minorHAnsi" w:cstheme="minorHAnsi"/>
          <w:szCs w:val="21"/>
        </w:rPr>
        <w:t xml:space="preserve">if </w:t>
      </w:r>
      <w:r w:rsidRPr="001231EA">
        <w:rPr>
          <w:rFonts w:asciiTheme="minorHAnsi" w:hAnsiTheme="minorHAnsi" w:cstheme="minorHAnsi"/>
          <w:szCs w:val="21"/>
        </w:rPr>
        <w:t>the defendant's actions resulted in the injury due to chance or</w:t>
      </w:r>
      <w:r w:rsidR="001231EA">
        <w:rPr>
          <w:rFonts w:asciiTheme="minorHAnsi" w:hAnsiTheme="minorHAnsi" w:cstheme="minorHAnsi"/>
          <w:szCs w:val="21"/>
        </w:rPr>
        <w:t xml:space="preserve"> </w:t>
      </w:r>
      <w:r w:rsidRPr="001E3DB9">
        <w:rPr>
          <w:rFonts w:asciiTheme="minorHAnsi" w:hAnsiTheme="minorHAnsi" w:cstheme="minorHAnsi"/>
          <w:szCs w:val="21"/>
        </w:rPr>
        <w:lastRenderedPageBreak/>
        <w:t>unanticipated circumstances, this would likely be viewed as unforeseeable and the defendant would not be held accountable.</w:t>
      </w:r>
    </w:p>
    <w:p w:rsidR="00C223F1" w:rsidRDefault="006A35D6" w:rsidP="00C223F1">
      <w:pPr>
        <w:pStyle w:val="NormalWeb"/>
        <w:shd w:val="clear" w:color="auto" w:fill="FFFFFF"/>
        <w:spacing w:before="0" w:beforeAutospacing="0" w:after="360" w:afterAutospacing="0"/>
        <w:jc w:val="center"/>
        <w:rPr>
          <w:rFonts w:asciiTheme="minorHAnsi" w:hAnsiTheme="minorHAnsi" w:cstheme="minorHAnsi"/>
          <w:b/>
          <w:sz w:val="28"/>
          <w:szCs w:val="21"/>
          <w:u w:val="single"/>
        </w:rPr>
      </w:pPr>
      <w:r>
        <w:rPr>
          <w:rFonts w:asciiTheme="minorHAnsi" w:hAnsiTheme="minorHAnsi" w:cstheme="minorHAnsi"/>
          <w:b/>
          <w:sz w:val="28"/>
          <w:szCs w:val="21"/>
          <w:u w:val="single"/>
        </w:rPr>
        <w:t xml:space="preserve">4.0 </w:t>
      </w:r>
      <w:r w:rsidR="00C223F1" w:rsidRPr="00C223F1">
        <w:rPr>
          <w:rFonts w:asciiTheme="minorHAnsi" w:hAnsiTheme="minorHAnsi" w:cstheme="minorHAnsi"/>
          <w:b/>
          <w:sz w:val="28"/>
          <w:szCs w:val="21"/>
          <w:u w:val="single"/>
        </w:rPr>
        <w:t>Case law within construction and the effect it can have on project progression</w:t>
      </w:r>
    </w:p>
    <w:p w:rsidR="00C223F1" w:rsidRPr="00C223F1" w:rsidRDefault="00C223F1" w:rsidP="00C223F1">
      <w:pPr>
        <w:pStyle w:val="NormalWeb"/>
        <w:shd w:val="clear" w:color="auto" w:fill="FFFFFF"/>
        <w:spacing w:after="360"/>
        <w:rPr>
          <w:rFonts w:asciiTheme="minorHAnsi" w:hAnsiTheme="minorHAnsi" w:cstheme="minorHAnsi"/>
          <w:b/>
          <w:szCs w:val="21"/>
        </w:rPr>
      </w:pPr>
      <w:r>
        <w:rPr>
          <w:rFonts w:asciiTheme="minorHAnsi" w:hAnsiTheme="minorHAnsi" w:cstheme="minorHAnsi"/>
          <w:b/>
          <w:szCs w:val="21"/>
        </w:rPr>
        <w:t>Williams’s</w:t>
      </w:r>
      <w:r w:rsidRPr="00C223F1">
        <w:rPr>
          <w:rFonts w:asciiTheme="minorHAnsi" w:hAnsiTheme="minorHAnsi" w:cstheme="minorHAnsi"/>
          <w:b/>
          <w:szCs w:val="21"/>
        </w:rPr>
        <w:t xml:space="preserve"> v Fitzmaurice (1858)</w:t>
      </w:r>
    </w:p>
    <w:p w:rsidR="00C223F1" w:rsidRDefault="00C223F1" w:rsidP="00C223F1">
      <w:pPr>
        <w:pStyle w:val="NormalWeb"/>
        <w:shd w:val="clear" w:color="auto" w:fill="FFFFFF"/>
        <w:spacing w:before="0" w:beforeAutospacing="0" w:after="360" w:afterAutospacing="0"/>
        <w:rPr>
          <w:rFonts w:asciiTheme="minorHAnsi" w:hAnsiTheme="minorHAnsi" w:cstheme="minorHAnsi"/>
          <w:szCs w:val="21"/>
        </w:rPr>
      </w:pPr>
      <w:r w:rsidRPr="00C223F1">
        <w:rPr>
          <w:rFonts w:asciiTheme="minorHAnsi" w:hAnsiTheme="minorHAnsi" w:cstheme="minorHAnsi"/>
          <w:szCs w:val="21"/>
        </w:rPr>
        <w:t>In this case, a contractor – the plaintiff – agreed to build a house for the client – the defendant. He prepared a specification that included particulars of the different portions of the work. Under the section – Carpenter and Joinery – specification contained scantling of the joists for different floors, rafters, ridge, and wall pieces to be used. But, there was no mention of the floorboards to be used. The agreed price was £1,100.</w:t>
      </w:r>
    </w:p>
    <w:p w:rsidR="00C223F1" w:rsidRPr="00C223F1" w:rsidRDefault="00C223F1" w:rsidP="00C223F1">
      <w:pPr>
        <w:pStyle w:val="NormalWeb"/>
        <w:shd w:val="clear" w:color="auto" w:fill="FFFFFF"/>
        <w:spacing w:before="0" w:beforeAutospacing="0" w:after="360" w:afterAutospacing="0"/>
        <w:rPr>
          <w:rFonts w:asciiTheme="minorHAnsi" w:hAnsiTheme="minorHAnsi" w:cstheme="minorHAnsi"/>
          <w:color w:val="000000"/>
        </w:rPr>
      </w:pPr>
      <w:r w:rsidRPr="00C223F1">
        <w:rPr>
          <w:rFonts w:asciiTheme="minorHAnsi" w:hAnsiTheme="minorHAnsi" w:cstheme="minorHAnsi"/>
          <w:color w:val="000000"/>
        </w:rPr>
        <w:t>The wordings of the specification were as follows;</w:t>
      </w:r>
    </w:p>
    <w:p w:rsidR="001231EA" w:rsidRPr="001231EA" w:rsidRDefault="00C223F1" w:rsidP="00C223F1">
      <w:pPr>
        <w:pStyle w:val="NormalWeb"/>
        <w:shd w:val="clear" w:color="auto" w:fill="FFFFFF"/>
        <w:spacing w:before="0" w:beforeAutospacing="0" w:after="360" w:afterAutospacing="0"/>
        <w:rPr>
          <w:rFonts w:asciiTheme="minorHAnsi" w:hAnsiTheme="minorHAnsi" w:cstheme="minorHAnsi"/>
          <w:color w:val="000000"/>
        </w:rPr>
      </w:pPr>
      <w:r w:rsidRPr="00C223F1">
        <w:rPr>
          <w:rStyle w:val="Emphasis"/>
          <w:rFonts w:asciiTheme="minorHAnsi" w:hAnsiTheme="minorHAnsi" w:cstheme="minorHAnsi"/>
          <w:color w:val="000000"/>
        </w:rPr>
        <w:t>“</w:t>
      </w:r>
      <w:r w:rsidRPr="00C223F1">
        <w:rPr>
          <w:rStyle w:val="Emphasis"/>
          <w:rFonts w:asciiTheme="minorHAnsi" w:hAnsiTheme="minorHAnsi" w:cstheme="minorHAnsi"/>
          <w:color w:val="000000"/>
        </w:rPr>
        <w:t>The</w:t>
      </w:r>
      <w:r w:rsidRPr="00C223F1">
        <w:rPr>
          <w:rStyle w:val="Emphasis"/>
          <w:rFonts w:asciiTheme="minorHAnsi" w:hAnsiTheme="minorHAnsi" w:cstheme="minorHAnsi"/>
          <w:color w:val="000000"/>
        </w:rPr>
        <w:t xml:space="preserve"> whole of the materials mentioned or otherwise in the foregoing particulars, necessary for the completion of the work, must be provided by the </w:t>
      </w:r>
      <w:r w:rsidRPr="00C223F1">
        <w:rPr>
          <w:rStyle w:val="Emphasis"/>
          <w:rFonts w:asciiTheme="minorHAnsi" w:hAnsiTheme="minorHAnsi" w:cstheme="minorHAnsi"/>
          <w:color w:val="000000"/>
        </w:rPr>
        <w:t>contractor”.</w:t>
      </w:r>
      <w:r w:rsidRPr="00C223F1">
        <w:rPr>
          <w:rFonts w:asciiTheme="minorHAnsi" w:hAnsiTheme="minorHAnsi" w:cstheme="minorHAnsi"/>
          <w:color w:val="000000"/>
        </w:rPr>
        <w:t xml:space="preserve"> At</w:t>
      </w:r>
      <w:r w:rsidRPr="00C223F1">
        <w:rPr>
          <w:rFonts w:asciiTheme="minorHAnsi" w:hAnsiTheme="minorHAnsi" w:cstheme="minorHAnsi"/>
          <w:color w:val="000000"/>
        </w:rPr>
        <w:t xml:space="preserve"> the foot of the specification, the plaintiff signed a memorandum. In that, the plaintiff has agreed with the defendant the </w:t>
      </w:r>
      <w:r w:rsidRPr="00C223F1">
        <w:rPr>
          <w:rFonts w:asciiTheme="minorHAnsi" w:hAnsiTheme="minorHAnsi" w:cstheme="minorHAnsi"/>
          <w:color w:val="000000"/>
        </w:rPr>
        <w:t>following.</w:t>
      </w:r>
      <w:r w:rsidRPr="00C223F1">
        <w:rPr>
          <w:rStyle w:val="Emphasis"/>
          <w:rFonts w:asciiTheme="minorHAnsi" w:hAnsiTheme="minorHAnsi" w:cstheme="minorHAnsi"/>
          <w:color w:val="000000"/>
        </w:rPr>
        <w:t xml:space="preserve"> “To</w:t>
      </w:r>
      <w:r w:rsidRPr="00C223F1">
        <w:rPr>
          <w:rStyle w:val="Emphasis"/>
          <w:rFonts w:asciiTheme="minorHAnsi" w:hAnsiTheme="minorHAnsi" w:cstheme="minorHAnsi"/>
          <w:color w:val="000000"/>
        </w:rPr>
        <w:t xml:space="preserve"> do all the work mentioned and contained in the foregoing particulars, according to in every respect to the drawings furnished or to be furnished, for the sum of </w:t>
      </w:r>
      <w:r w:rsidRPr="00C223F1">
        <w:rPr>
          <w:rFonts w:asciiTheme="minorHAnsi" w:hAnsiTheme="minorHAnsi" w:cstheme="minorHAnsi"/>
          <w:color w:val="000000"/>
        </w:rPr>
        <w:t>£</w:t>
      </w:r>
      <w:r w:rsidRPr="00C223F1">
        <w:rPr>
          <w:rStyle w:val="Emphasis"/>
          <w:rFonts w:asciiTheme="minorHAnsi" w:hAnsiTheme="minorHAnsi" w:cstheme="minorHAnsi"/>
          <w:color w:val="000000"/>
        </w:rPr>
        <w:t>1,100”.</w:t>
      </w:r>
      <w:r w:rsidRPr="00C223F1">
        <w:rPr>
          <w:rFonts w:asciiTheme="minorHAnsi" w:hAnsiTheme="minorHAnsi" w:cstheme="minorHAnsi"/>
          <w:color w:val="000000"/>
        </w:rPr>
        <w:t xml:space="preserve">As per the contract, the house was to be completed and fit for the defendant’s occupation by the 1st of August, 1858.The plaintiff refused to fix floorboards until paid extra, saying that they were not part of his contract. The defendant terminated the </w:t>
      </w:r>
      <w:r w:rsidRPr="00C223F1">
        <w:rPr>
          <w:rFonts w:asciiTheme="minorHAnsi" w:hAnsiTheme="minorHAnsi" w:cstheme="minorHAnsi"/>
          <w:color w:val="000000"/>
        </w:rPr>
        <w:t>contract. The</w:t>
      </w:r>
      <w:r w:rsidRPr="00C223F1">
        <w:rPr>
          <w:rFonts w:asciiTheme="minorHAnsi" w:hAnsiTheme="minorHAnsi" w:cstheme="minorHAnsi"/>
          <w:color w:val="000000"/>
        </w:rPr>
        <w:t xml:space="preserve"> Court held that the plaintiff could not recover either the amount outstanding or the cost of the floorboards, which the defendant had seized upon taking over the site. </w:t>
      </w:r>
      <w:r w:rsidRPr="00C223F1">
        <w:rPr>
          <w:rStyle w:val="Emphasis"/>
          <w:rFonts w:asciiTheme="minorHAnsi" w:hAnsiTheme="minorHAnsi" w:cstheme="minorHAnsi"/>
          <w:color w:val="000000"/>
        </w:rPr>
        <w:t>“</w:t>
      </w:r>
      <w:r w:rsidRPr="00C223F1">
        <w:rPr>
          <w:rStyle w:val="Emphasis"/>
          <w:rFonts w:asciiTheme="minorHAnsi" w:hAnsiTheme="minorHAnsi" w:cstheme="minorHAnsi"/>
          <w:color w:val="000000"/>
        </w:rPr>
        <w:t>Not</w:t>
      </w:r>
      <w:r w:rsidRPr="00C223F1">
        <w:rPr>
          <w:rStyle w:val="Emphasis"/>
          <w:rFonts w:asciiTheme="minorHAnsi" w:hAnsiTheme="minorHAnsi" w:cstheme="minorHAnsi"/>
          <w:color w:val="000000"/>
        </w:rPr>
        <w:t xml:space="preserve"> entitled to recover for the flooring as an extra, because it was included in the contract though not mentioned in the </w:t>
      </w:r>
      <w:r w:rsidRPr="00C223F1">
        <w:rPr>
          <w:rStyle w:val="Emphasis"/>
          <w:rFonts w:asciiTheme="minorHAnsi" w:hAnsiTheme="minorHAnsi" w:cstheme="minorHAnsi"/>
          <w:color w:val="000000"/>
        </w:rPr>
        <w:t>specification”.</w:t>
      </w:r>
      <w:r w:rsidRPr="00C223F1">
        <w:rPr>
          <w:rFonts w:asciiTheme="minorHAnsi" w:hAnsiTheme="minorHAnsi" w:cstheme="minorHAnsi"/>
          <w:color w:val="000000"/>
        </w:rPr>
        <w:t xml:space="preserve"> According</w:t>
      </w:r>
      <w:r w:rsidRPr="00C223F1">
        <w:rPr>
          <w:rFonts w:asciiTheme="minorHAnsi" w:hAnsiTheme="minorHAnsi" w:cstheme="minorHAnsi"/>
          <w:color w:val="000000"/>
        </w:rPr>
        <w:t xml:space="preserve"> to the words used in the contract, it was inferred that flooring was necessary to complete the house. Therefore, whether a particular work is a variation or not will depend on as long as it comes within the general scope of the contract. Some works, although not specifically described, are nevertheless considered as implied or form a necessary part of the contract. </w:t>
      </w:r>
      <w:r>
        <w:rPr>
          <w:rFonts w:asciiTheme="minorHAnsi" w:hAnsiTheme="minorHAnsi" w:cstheme="minorHAnsi"/>
          <w:szCs w:val="21"/>
        </w:rPr>
        <w:t xml:space="preserve"> </w:t>
      </w:r>
      <w:sdt>
        <w:sdtPr>
          <w:rPr>
            <w:rFonts w:asciiTheme="minorHAnsi" w:hAnsiTheme="minorHAnsi" w:cstheme="minorHAnsi"/>
            <w:color w:val="1F4E79" w:themeColor="accent1" w:themeShade="80"/>
            <w:szCs w:val="21"/>
          </w:rPr>
          <w:id w:val="599460186"/>
          <w:citation/>
        </w:sdtPr>
        <w:sdtContent>
          <w:r w:rsidRPr="00C223F1">
            <w:rPr>
              <w:rFonts w:asciiTheme="minorHAnsi" w:hAnsiTheme="minorHAnsi" w:cstheme="minorHAnsi"/>
              <w:color w:val="1F4E79" w:themeColor="accent1" w:themeShade="80"/>
              <w:szCs w:val="21"/>
            </w:rPr>
            <w:fldChar w:fldCharType="begin"/>
          </w:r>
          <w:r w:rsidRPr="00C223F1">
            <w:rPr>
              <w:rFonts w:asciiTheme="minorHAnsi" w:hAnsiTheme="minorHAnsi" w:cstheme="minorHAnsi"/>
              <w:color w:val="1F4E79" w:themeColor="accent1" w:themeShade="80"/>
              <w:szCs w:val="21"/>
            </w:rPr>
            <w:instrText xml:space="preserve"> CITATION CIV21 \l 2057 </w:instrText>
          </w:r>
          <w:r w:rsidRPr="00C223F1">
            <w:rPr>
              <w:rFonts w:asciiTheme="minorHAnsi" w:hAnsiTheme="minorHAnsi" w:cstheme="minorHAnsi"/>
              <w:color w:val="1F4E79" w:themeColor="accent1" w:themeShade="80"/>
              <w:szCs w:val="21"/>
            </w:rPr>
            <w:fldChar w:fldCharType="separate"/>
          </w:r>
          <w:r w:rsidRPr="00C223F1">
            <w:rPr>
              <w:rFonts w:asciiTheme="minorHAnsi" w:hAnsiTheme="minorHAnsi" w:cstheme="minorHAnsi"/>
              <w:noProof/>
              <w:color w:val="1F4E79" w:themeColor="accent1" w:themeShade="80"/>
              <w:szCs w:val="21"/>
            </w:rPr>
            <w:t>(LECTURES, 2021)</w:t>
          </w:r>
          <w:r w:rsidRPr="00C223F1">
            <w:rPr>
              <w:rFonts w:asciiTheme="minorHAnsi" w:hAnsiTheme="minorHAnsi" w:cstheme="minorHAnsi"/>
              <w:color w:val="1F4E79" w:themeColor="accent1" w:themeShade="80"/>
              <w:szCs w:val="21"/>
            </w:rPr>
            <w:fldChar w:fldCharType="end"/>
          </w:r>
        </w:sdtContent>
      </w:sdt>
    </w:p>
    <w:p w:rsidR="00352F69" w:rsidRPr="00352F69" w:rsidRDefault="006A35D6" w:rsidP="00C223F1">
      <w:pPr>
        <w:pStyle w:val="NormalWeb"/>
        <w:shd w:val="clear" w:color="auto" w:fill="FFFFFF"/>
        <w:spacing w:before="0" w:beforeAutospacing="0" w:after="360" w:afterAutospacing="0"/>
        <w:rPr>
          <w:rFonts w:asciiTheme="minorHAnsi" w:hAnsiTheme="minorHAnsi" w:cstheme="minorHAnsi"/>
          <w:b/>
          <w:color w:val="000000" w:themeColor="text1"/>
          <w:szCs w:val="21"/>
          <w:u w:val="single"/>
        </w:rPr>
      </w:pPr>
      <w:r>
        <w:rPr>
          <w:rFonts w:asciiTheme="minorHAnsi" w:hAnsiTheme="minorHAnsi" w:cstheme="minorHAnsi"/>
          <w:b/>
          <w:color w:val="000000" w:themeColor="text1"/>
          <w:szCs w:val="21"/>
          <w:u w:val="single"/>
        </w:rPr>
        <w:t xml:space="preserve">4.1 </w:t>
      </w:r>
      <w:r w:rsidR="001231EA">
        <w:rPr>
          <w:rFonts w:asciiTheme="minorHAnsi" w:hAnsiTheme="minorHAnsi" w:cstheme="minorHAnsi"/>
          <w:b/>
          <w:color w:val="000000" w:themeColor="text1"/>
          <w:szCs w:val="21"/>
          <w:u w:val="single"/>
        </w:rPr>
        <w:t>Conclusion</w:t>
      </w:r>
    </w:p>
    <w:p w:rsidR="001231EA" w:rsidRDefault="00352F69"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r w:rsidRPr="00352F69">
        <w:rPr>
          <w:rFonts w:asciiTheme="minorHAnsi" w:hAnsiTheme="minorHAnsi" w:cstheme="minorHAnsi"/>
          <w:color w:val="000000" w:themeColor="text1"/>
          <w:szCs w:val="21"/>
        </w:rPr>
        <w:t>A written instruction or order for different and/or additional work</w:t>
      </w:r>
      <w:r>
        <w:rPr>
          <w:rFonts w:asciiTheme="minorHAnsi" w:hAnsiTheme="minorHAnsi" w:cstheme="minorHAnsi"/>
          <w:color w:val="000000" w:themeColor="text1"/>
          <w:szCs w:val="21"/>
        </w:rPr>
        <w:t>s</w:t>
      </w:r>
      <w:r w:rsidRPr="00352F69">
        <w:rPr>
          <w:rFonts w:asciiTheme="minorHAnsi" w:hAnsiTheme="minorHAnsi" w:cstheme="minorHAnsi"/>
          <w:color w:val="000000" w:themeColor="text1"/>
          <w:szCs w:val="21"/>
        </w:rPr>
        <w:t xml:space="preserve"> is a condition of every construction contract.</w:t>
      </w:r>
      <w:r>
        <w:rPr>
          <w:rFonts w:asciiTheme="minorHAnsi" w:hAnsiTheme="minorHAnsi" w:cstheme="minorHAnsi"/>
          <w:color w:val="000000" w:themeColor="text1"/>
          <w:szCs w:val="21"/>
        </w:rPr>
        <w:t xml:space="preserve"> The Contractor cannot recover or get payment for any additional works without </w:t>
      </w:r>
      <w:r w:rsidRPr="00352F69">
        <w:rPr>
          <w:rFonts w:asciiTheme="minorHAnsi" w:hAnsiTheme="minorHAnsi" w:cstheme="minorHAnsi"/>
          <w:color w:val="000000" w:themeColor="text1"/>
          <w:szCs w:val="21"/>
        </w:rPr>
        <w:t>written instructions unless he can demonstrate tha</w:t>
      </w:r>
      <w:r w:rsidR="00450756">
        <w:rPr>
          <w:rFonts w:asciiTheme="minorHAnsi" w:hAnsiTheme="minorHAnsi" w:cstheme="minorHAnsi"/>
          <w:color w:val="000000" w:themeColor="text1"/>
          <w:szCs w:val="21"/>
        </w:rPr>
        <w:t>t there was a new and further</w:t>
      </w:r>
      <w:r w:rsidRPr="00352F69">
        <w:rPr>
          <w:rFonts w:asciiTheme="minorHAnsi" w:hAnsiTheme="minorHAnsi" w:cstheme="minorHAnsi"/>
          <w:color w:val="000000" w:themeColor="text1"/>
          <w:szCs w:val="21"/>
        </w:rPr>
        <w:t xml:space="preserve"> co</w:t>
      </w:r>
      <w:r>
        <w:rPr>
          <w:rFonts w:asciiTheme="minorHAnsi" w:hAnsiTheme="minorHAnsi" w:cstheme="minorHAnsi"/>
          <w:color w:val="000000" w:themeColor="text1"/>
          <w:szCs w:val="21"/>
        </w:rPr>
        <w:t>ntract for him to be paid</w:t>
      </w:r>
      <w:r w:rsidRPr="00352F69">
        <w:rPr>
          <w:rFonts w:asciiTheme="minorHAnsi" w:hAnsiTheme="minorHAnsi" w:cstheme="minorHAnsi"/>
          <w:color w:val="000000" w:themeColor="text1"/>
          <w:szCs w:val="21"/>
        </w:rPr>
        <w:t xml:space="preserve"> for those additional works.</w:t>
      </w:r>
      <w:r w:rsidR="00450756">
        <w:rPr>
          <w:rFonts w:asciiTheme="minorHAnsi" w:hAnsiTheme="minorHAnsi" w:cstheme="minorHAnsi"/>
          <w:color w:val="000000" w:themeColor="text1"/>
          <w:szCs w:val="21"/>
        </w:rPr>
        <w:t xml:space="preserve"> The further contract may be in the form of an oral agreement </w:t>
      </w:r>
      <w:r w:rsidR="001231EA">
        <w:rPr>
          <w:rFonts w:asciiTheme="minorHAnsi" w:hAnsiTheme="minorHAnsi" w:cstheme="minorHAnsi"/>
          <w:color w:val="000000" w:themeColor="text1"/>
          <w:szCs w:val="21"/>
        </w:rPr>
        <w:t>or</w:t>
      </w:r>
      <w:r w:rsidR="00450756">
        <w:rPr>
          <w:rFonts w:asciiTheme="minorHAnsi" w:hAnsiTheme="minorHAnsi" w:cstheme="minorHAnsi"/>
          <w:color w:val="000000" w:themeColor="text1"/>
          <w:szCs w:val="21"/>
        </w:rPr>
        <w:t xml:space="preserve"> it may be agreed</w:t>
      </w:r>
      <w:r w:rsidR="00450756" w:rsidRPr="00450756">
        <w:rPr>
          <w:rFonts w:asciiTheme="minorHAnsi" w:hAnsiTheme="minorHAnsi" w:cstheme="minorHAnsi"/>
          <w:color w:val="000000" w:themeColor="text1"/>
          <w:szCs w:val="21"/>
        </w:rPr>
        <w:t xml:space="preserve"> from the parties' actions. It must demonstrate that the parties agreed that the extra work would be done and that the owner </w:t>
      </w:r>
      <w:bookmarkStart w:id="0" w:name="_GoBack"/>
      <w:bookmarkEnd w:id="0"/>
      <w:r w:rsidR="00450756" w:rsidRPr="00450756">
        <w:rPr>
          <w:rFonts w:asciiTheme="minorHAnsi" w:hAnsiTheme="minorHAnsi" w:cstheme="minorHAnsi"/>
          <w:color w:val="000000" w:themeColor="text1"/>
          <w:szCs w:val="21"/>
        </w:rPr>
        <w:t xml:space="preserve">would pay for it, or at the very </w:t>
      </w:r>
      <w:r w:rsidR="001231EA">
        <w:rPr>
          <w:rFonts w:asciiTheme="minorHAnsi" w:hAnsiTheme="minorHAnsi" w:cstheme="minorHAnsi"/>
          <w:color w:val="000000" w:themeColor="text1"/>
          <w:szCs w:val="21"/>
        </w:rPr>
        <w:t>least, that the owner would benefit</w:t>
      </w:r>
      <w:r w:rsidR="00450756">
        <w:rPr>
          <w:rFonts w:asciiTheme="minorHAnsi" w:hAnsiTheme="minorHAnsi" w:cstheme="minorHAnsi"/>
          <w:color w:val="000000" w:themeColor="text1"/>
          <w:szCs w:val="21"/>
        </w:rPr>
        <w:t xml:space="preserve"> from the extra works carried out.</w:t>
      </w:r>
      <w:r w:rsidR="001231EA">
        <w:rPr>
          <w:rFonts w:asciiTheme="minorHAnsi" w:hAnsiTheme="minorHAnsi" w:cstheme="minorHAnsi"/>
          <w:color w:val="000000" w:themeColor="text1"/>
          <w:szCs w:val="21"/>
        </w:rPr>
        <w:t xml:space="preserve"> Personally I believe that any oral agreement should be documented in writing as it is great evidence should any disagreements occur.</w:t>
      </w:r>
    </w:p>
    <w:p w:rsidR="0026746C" w:rsidRDefault="006A35D6" w:rsidP="006A35D6">
      <w:pPr>
        <w:pStyle w:val="NormalWeb"/>
        <w:shd w:val="clear" w:color="auto" w:fill="FFFFFF"/>
        <w:spacing w:before="0" w:beforeAutospacing="0" w:after="360" w:afterAutospacing="0"/>
        <w:jc w:val="center"/>
        <w:rPr>
          <w:rFonts w:asciiTheme="minorHAnsi" w:hAnsiTheme="minorHAnsi" w:cstheme="minorHAnsi"/>
          <w:b/>
          <w:color w:val="000000" w:themeColor="text1"/>
          <w:szCs w:val="21"/>
          <w:u w:val="single"/>
        </w:rPr>
      </w:pPr>
      <w:r>
        <w:rPr>
          <w:rFonts w:asciiTheme="minorHAnsi" w:hAnsiTheme="minorHAnsi" w:cstheme="minorHAnsi"/>
          <w:b/>
          <w:color w:val="000000" w:themeColor="text1"/>
          <w:szCs w:val="21"/>
          <w:u w:val="single"/>
        </w:rPr>
        <w:lastRenderedPageBreak/>
        <w:t xml:space="preserve">5.0 </w:t>
      </w:r>
      <w:r w:rsidR="001231EA" w:rsidRPr="001231EA">
        <w:rPr>
          <w:rFonts w:asciiTheme="minorHAnsi" w:hAnsiTheme="minorHAnsi" w:cstheme="minorHAnsi"/>
          <w:b/>
          <w:color w:val="000000" w:themeColor="text1"/>
          <w:szCs w:val="21"/>
          <w:u w:val="single"/>
        </w:rPr>
        <w:t>Importance and</w:t>
      </w:r>
      <w:r w:rsidR="0026746C">
        <w:rPr>
          <w:rFonts w:asciiTheme="minorHAnsi" w:hAnsiTheme="minorHAnsi" w:cstheme="minorHAnsi"/>
          <w:b/>
          <w:color w:val="000000" w:themeColor="text1"/>
          <w:szCs w:val="21"/>
          <w:u w:val="single"/>
        </w:rPr>
        <w:t xml:space="preserve"> the</w:t>
      </w:r>
      <w:r w:rsidR="001231EA" w:rsidRPr="001231EA">
        <w:rPr>
          <w:rFonts w:asciiTheme="minorHAnsi" w:hAnsiTheme="minorHAnsi" w:cstheme="minorHAnsi"/>
          <w:b/>
          <w:color w:val="000000" w:themeColor="text1"/>
          <w:szCs w:val="21"/>
          <w:u w:val="single"/>
        </w:rPr>
        <w:t xml:space="preserve"> possible impact on project progression</w:t>
      </w:r>
    </w:p>
    <w:p w:rsidR="0026746C" w:rsidRDefault="0026746C"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r w:rsidRPr="0026746C">
        <w:rPr>
          <w:rFonts w:asciiTheme="minorHAnsi" w:hAnsiTheme="minorHAnsi" w:cstheme="minorHAnsi"/>
          <w:color w:val="000000" w:themeColor="text1"/>
          <w:szCs w:val="21"/>
        </w:rPr>
        <w:t xml:space="preserve">This case law </w:t>
      </w:r>
      <w:r>
        <w:rPr>
          <w:rFonts w:asciiTheme="minorHAnsi" w:hAnsiTheme="minorHAnsi" w:cstheme="minorHAnsi"/>
          <w:color w:val="000000" w:themeColor="text1"/>
          <w:szCs w:val="21"/>
        </w:rPr>
        <w:t xml:space="preserve">still proves its importance to this day. </w:t>
      </w:r>
      <w:r w:rsidR="00C64FAF">
        <w:rPr>
          <w:rFonts w:asciiTheme="minorHAnsi" w:hAnsiTheme="minorHAnsi" w:cstheme="minorHAnsi"/>
          <w:color w:val="000000" w:themeColor="text1"/>
          <w:szCs w:val="21"/>
        </w:rPr>
        <w:t>Although this case is from 1858</w:t>
      </w:r>
      <w:r w:rsidR="003C6DCA">
        <w:rPr>
          <w:rFonts w:asciiTheme="minorHAnsi" w:hAnsiTheme="minorHAnsi" w:cstheme="minorHAnsi"/>
          <w:color w:val="000000" w:themeColor="text1"/>
          <w:szCs w:val="21"/>
        </w:rPr>
        <w:t xml:space="preserve"> it is still related to daily within the construction industry. As all construction projects are on the basis of contracts, it would not be possible to complete or even start a construction project without any contracts. Whether it be the main contract to the principal contractor or the smaller contracts given to sub-contractors</w:t>
      </w:r>
      <w:r w:rsidR="00356485">
        <w:rPr>
          <w:rFonts w:asciiTheme="minorHAnsi" w:hAnsiTheme="minorHAnsi" w:cstheme="minorHAnsi"/>
          <w:color w:val="000000" w:themeColor="text1"/>
          <w:szCs w:val="21"/>
        </w:rPr>
        <w:t xml:space="preserve"> such as carpenters or plumbers to complete the works as part of the project.</w:t>
      </w:r>
    </w:p>
    <w:p w:rsidR="003C6DCA" w:rsidRDefault="003C6DCA"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r>
        <w:rPr>
          <w:rFonts w:asciiTheme="minorHAnsi" w:hAnsiTheme="minorHAnsi" w:cstheme="minorHAnsi"/>
          <w:color w:val="000000" w:themeColor="text1"/>
          <w:szCs w:val="21"/>
        </w:rPr>
        <w:t>The larger contracts are the contracts which are put in place first to complete agreements of the larger scale of works which need to be completed</w:t>
      </w:r>
      <w:r w:rsidR="00356485">
        <w:rPr>
          <w:rFonts w:asciiTheme="minorHAnsi" w:hAnsiTheme="minorHAnsi" w:cstheme="minorHAnsi"/>
          <w:color w:val="000000" w:themeColor="text1"/>
          <w:szCs w:val="21"/>
        </w:rPr>
        <w:t>, for example the contract to build a school given to a principal contractor</w:t>
      </w:r>
      <w:r>
        <w:rPr>
          <w:rFonts w:asciiTheme="minorHAnsi" w:hAnsiTheme="minorHAnsi" w:cstheme="minorHAnsi"/>
          <w:color w:val="000000" w:themeColor="text1"/>
          <w:szCs w:val="21"/>
        </w:rPr>
        <w:t>.</w:t>
      </w:r>
      <w:r w:rsidR="00802551">
        <w:rPr>
          <w:rFonts w:asciiTheme="minorHAnsi" w:hAnsiTheme="minorHAnsi" w:cstheme="minorHAnsi"/>
          <w:color w:val="000000" w:themeColor="text1"/>
          <w:szCs w:val="21"/>
        </w:rPr>
        <w:t xml:space="preserve"> These need to be agreed carefully and reviewed by the directors or presidents of the organisations before </w:t>
      </w:r>
      <w:r w:rsidR="00356485">
        <w:rPr>
          <w:rFonts w:asciiTheme="minorHAnsi" w:hAnsiTheme="minorHAnsi" w:cstheme="minorHAnsi"/>
          <w:color w:val="000000" w:themeColor="text1"/>
          <w:szCs w:val="21"/>
        </w:rPr>
        <w:t xml:space="preserve">reaching </w:t>
      </w:r>
      <w:r w:rsidR="00802551">
        <w:rPr>
          <w:rFonts w:asciiTheme="minorHAnsi" w:hAnsiTheme="minorHAnsi" w:cstheme="minorHAnsi"/>
          <w:color w:val="000000" w:themeColor="text1"/>
          <w:szCs w:val="21"/>
        </w:rPr>
        <w:t xml:space="preserve">agreement. If </w:t>
      </w:r>
      <w:r w:rsidR="00356485">
        <w:rPr>
          <w:rFonts w:asciiTheme="minorHAnsi" w:hAnsiTheme="minorHAnsi" w:cstheme="minorHAnsi"/>
          <w:color w:val="000000" w:themeColor="text1"/>
          <w:szCs w:val="21"/>
        </w:rPr>
        <w:t>they</w:t>
      </w:r>
      <w:r w:rsidR="00802551">
        <w:rPr>
          <w:rFonts w:asciiTheme="minorHAnsi" w:hAnsiTheme="minorHAnsi" w:cstheme="minorHAnsi"/>
          <w:color w:val="000000" w:themeColor="text1"/>
          <w:szCs w:val="21"/>
        </w:rPr>
        <w:t xml:space="preserve"> were to be missed out works within the larger contracts it could have a large impact on completion times/dates. If the works which weren’t agreed or missed out are discovered quickly it would have a much smaller impact than if the works were discovered later on during the projects progression. </w:t>
      </w:r>
    </w:p>
    <w:p w:rsidR="00802551" w:rsidRDefault="00802551"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r>
        <w:rPr>
          <w:rFonts w:asciiTheme="minorHAnsi" w:hAnsiTheme="minorHAnsi" w:cstheme="minorHAnsi"/>
          <w:color w:val="000000" w:themeColor="text1"/>
          <w:szCs w:val="21"/>
        </w:rPr>
        <w:t xml:space="preserve">This is down to the </w:t>
      </w:r>
      <w:r w:rsidR="001C75C7">
        <w:rPr>
          <w:rFonts w:asciiTheme="minorHAnsi" w:hAnsiTheme="minorHAnsi" w:cstheme="minorHAnsi"/>
          <w:color w:val="000000" w:themeColor="text1"/>
          <w:szCs w:val="21"/>
        </w:rPr>
        <w:t>complications when completing a construction project. With larger contracts there could be misunderstandings of which buildings are to be built. In this case planning permission will be required. This can cause major progression delays having a knock on effect on to completion dates. Planning permission is one obstacle which may slow down a projects progression due to an incorrect contract or contract misunderstanding. Materials can also cause major project delays due to the late order requisitions made by a contractor. With the ongoing shortages of materials</w:t>
      </w:r>
      <w:r w:rsidR="00DB545D">
        <w:rPr>
          <w:rFonts w:asciiTheme="minorHAnsi" w:hAnsiTheme="minorHAnsi" w:cstheme="minorHAnsi"/>
          <w:color w:val="000000" w:themeColor="text1"/>
          <w:szCs w:val="21"/>
        </w:rPr>
        <w:t xml:space="preserve"> this can delay the project even further.</w:t>
      </w:r>
    </w:p>
    <w:p w:rsidR="00CD42CC" w:rsidRDefault="006A35D6" w:rsidP="00C223F1">
      <w:pPr>
        <w:pStyle w:val="NormalWeb"/>
        <w:shd w:val="clear" w:color="auto" w:fill="FFFFFF"/>
        <w:spacing w:before="0" w:beforeAutospacing="0" w:after="360" w:afterAutospacing="0"/>
        <w:rPr>
          <w:rFonts w:asciiTheme="minorHAnsi" w:hAnsiTheme="minorHAnsi" w:cstheme="minorHAnsi"/>
          <w:b/>
          <w:color w:val="000000" w:themeColor="text1"/>
          <w:szCs w:val="21"/>
          <w:u w:val="single"/>
        </w:rPr>
      </w:pPr>
      <w:r>
        <w:rPr>
          <w:rFonts w:asciiTheme="minorHAnsi" w:hAnsiTheme="minorHAnsi" w:cstheme="minorHAnsi"/>
          <w:b/>
          <w:color w:val="000000" w:themeColor="text1"/>
          <w:szCs w:val="21"/>
          <w:u w:val="single"/>
        </w:rPr>
        <w:t xml:space="preserve">6.0 </w:t>
      </w:r>
      <w:r w:rsidR="000B4168" w:rsidRPr="000B4168">
        <w:rPr>
          <w:rFonts w:asciiTheme="minorHAnsi" w:hAnsiTheme="minorHAnsi" w:cstheme="minorHAnsi"/>
          <w:b/>
          <w:color w:val="000000" w:themeColor="text1"/>
          <w:szCs w:val="21"/>
          <w:u w:val="single"/>
        </w:rPr>
        <w:t>The impact of adjudication upon deciding a dispute.</w:t>
      </w:r>
    </w:p>
    <w:p w:rsidR="000B4168" w:rsidRDefault="000B4168" w:rsidP="00C223F1">
      <w:pPr>
        <w:pStyle w:val="NormalWeb"/>
        <w:shd w:val="clear" w:color="auto" w:fill="FFFFFF"/>
        <w:spacing w:before="0" w:beforeAutospacing="0" w:after="360" w:afterAutospacing="0"/>
        <w:rPr>
          <w:rFonts w:asciiTheme="minorHAnsi" w:hAnsiTheme="minorHAnsi" w:cstheme="minorHAnsi"/>
          <w:color w:val="000000" w:themeColor="text1"/>
        </w:rPr>
      </w:pPr>
      <w:r>
        <w:rPr>
          <w:rFonts w:asciiTheme="minorHAnsi" w:hAnsiTheme="minorHAnsi" w:cstheme="minorHAnsi"/>
          <w:color w:val="000000" w:themeColor="text1"/>
          <w:szCs w:val="21"/>
        </w:rPr>
        <w:t>Adjudication can be a ben</w:t>
      </w:r>
      <w:r w:rsidR="00161B9B">
        <w:rPr>
          <w:rFonts w:asciiTheme="minorHAnsi" w:hAnsiTheme="minorHAnsi" w:cstheme="minorHAnsi"/>
          <w:color w:val="000000" w:themeColor="text1"/>
          <w:szCs w:val="21"/>
        </w:rPr>
        <w:t>eficial method of settling a dispute. They have a very short window in which the dispute has to be settled, which can be beneficial for organisations wanting a dispute settled in a short period of time. The timeframe can be extended to 42 days if both parties involved in the dispute agree. However, in the “</w:t>
      </w:r>
      <w:hyperlink r:id="rId6" w:tooltip="Legal update, Adjudicator's decision enforced as no breach of natural justice (TCC)" w:history="1">
        <w:r w:rsidR="00161B9B" w:rsidRPr="00161B9B">
          <w:rPr>
            <w:rStyle w:val="Emphasis"/>
            <w:rFonts w:asciiTheme="minorHAnsi" w:eastAsiaTheme="majorEastAsia" w:hAnsiTheme="minorHAnsi" w:cstheme="minorHAnsi"/>
            <w:i w:val="0"/>
            <w:color w:val="000000" w:themeColor="text1"/>
            <w:shd w:val="clear" w:color="auto" w:fill="FFFFFF"/>
          </w:rPr>
          <w:t>Vinci Construction UK Ltd v Beumer Group UK Ltd</w:t>
        </w:r>
      </w:hyperlink>
      <w:r w:rsidR="00161B9B">
        <w:rPr>
          <w:rFonts w:asciiTheme="minorHAnsi" w:hAnsiTheme="minorHAnsi" w:cstheme="minorHAnsi"/>
          <w:i/>
          <w:color w:val="000000" w:themeColor="text1"/>
        </w:rPr>
        <w:t xml:space="preserve">” </w:t>
      </w:r>
      <w:r w:rsidR="00161B9B" w:rsidRPr="00A02C29">
        <w:rPr>
          <w:rFonts w:asciiTheme="minorHAnsi" w:hAnsiTheme="minorHAnsi" w:cstheme="minorHAnsi"/>
          <w:color w:val="000000" w:themeColor="text1"/>
        </w:rPr>
        <w:t>case</w:t>
      </w:r>
      <w:r w:rsidR="00161B9B">
        <w:rPr>
          <w:rFonts w:asciiTheme="minorHAnsi" w:hAnsiTheme="minorHAnsi" w:cstheme="minorHAnsi"/>
          <w:color w:val="000000" w:themeColor="text1"/>
        </w:rPr>
        <w:t xml:space="preserve"> it’s a lot different.</w:t>
      </w:r>
    </w:p>
    <w:p w:rsidR="006B34AF" w:rsidRDefault="00B06116" w:rsidP="00C223F1">
      <w:pPr>
        <w:pStyle w:val="NormalWeb"/>
        <w:shd w:val="clear" w:color="auto" w:fill="FFFFFF"/>
        <w:spacing w:before="0" w:beforeAutospacing="0" w:after="360" w:afterAutospacing="0"/>
        <w:rPr>
          <w:rFonts w:asciiTheme="minorHAnsi" w:hAnsiTheme="minorHAnsi" w:cstheme="minorHAnsi"/>
          <w:color w:val="000000" w:themeColor="text1"/>
        </w:rPr>
      </w:pPr>
      <w:r>
        <w:rPr>
          <w:rFonts w:asciiTheme="minorHAnsi" w:hAnsiTheme="minorHAnsi" w:cstheme="minorHAnsi"/>
          <w:color w:val="000000" w:themeColor="text1"/>
        </w:rPr>
        <w:t>Brian Eggleston</w:t>
      </w:r>
      <w:r w:rsidR="008A7BE8">
        <w:rPr>
          <w:rFonts w:asciiTheme="minorHAnsi" w:hAnsiTheme="minorHAnsi" w:cstheme="minorHAnsi"/>
          <w:color w:val="000000" w:themeColor="text1"/>
        </w:rPr>
        <w:t xml:space="preserve"> was the adjudicator for the 7</w:t>
      </w:r>
      <w:r w:rsidR="008A7BE8" w:rsidRPr="008A7BE8">
        <w:rPr>
          <w:rFonts w:asciiTheme="minorHAnsi" w:hAnsiTheme="minorHAnsi" w:cstheme="minorHAnsi"/>
          <w:color w:val="000000" w:themeColor="text1"/>
          <w:vertAlign w:val="superscript"/>
        </w:rPr>
        <w:t>th</w:t>
      </w:r>
      <w:r w:rsidR="008A7BE8">
        <w:rPr>
          <w:rFonts w:asciiTheme="minorHAnsi" w:hAnsiTheme="minorHAnsi" w:cstheme="minorHAnsi"/>
          <w:color w:val="000000" w:themeColor="text1"/>
        </w:rPr>
        <w:t xml:space="preserve"> hearing of this </w:t>
      </w:r>
      <w:r w:rsidR="00F152B0">
        <w:rPr>
          <w:rFonts w:asciiTheme="minorHAnsi" w:hAnsiTheme="minorHAnsi" w:cstheme="minorHAnsi"/>
          <w:color w:val="000000" w:themeColor="text1"/>
        </w:rPr>
        <w:t xml:space="preserve">case. </w:t>
      </w:r>
      <w:r>
        <w:rPr>
          <w:rFonts w:asciiTheme="minorHAnsi" w:hAnsiTheme="minorHAnsi" w:cstheme="minorHAnsi"/>
          <w:color w:val="000000" w:themeColor="text1"/>
        </w:rPr>
        <w:t xml:space="preserve">He made the decision in </w:t>
      </w:r>
      <w:r w:rsidR="00FC2ACC">
        <w:rPr>
          <w:rFonts w:asciiTheme="minorHAnsi" w:hAnsiTheme="minorHAnsi" w:cstheme="minorHAnsi"/>
          <w:color w:val="000000" w:themeColor="text1"/>
        </w:rPr>
        <w:t>‘</w:t>
      </w:r>
      <w:r>
        <w:rPr>
          <w:rFonts w:asciiTheme="minorHAnsi" w:hAnsiTheme="minorHAnsi" w:cstheme="minorHAnsi"/>
          <w:color w:val="000000" w:themeColor="text1"/>
        </w:rPr>
        <w:t>Vinci construction’</w:t>
      </w:r>
      <w:r w:rsidR="00FC2ACC">
        <w:rPr>
          <w:rFonts w:asciiTheme="minorHAnsi" w:hAnsiTheme="minorHAnsi" w:cstheme="minorHAnsi"/>
          <w:color w:val="000000" w:themeColor="text1"/>
        </w:rPr>
        <w:t>s’ favour coming to the conclusion that £9.7 million was owed to Vinci construction by beumer group.</w:t>
      </w:r>
      <w:r w:rsidR="00A02C29">
        <w:rPr>
          <w:rFonts w:asciiTheme="minorHAnsi" w:hAnsiTheme="minorHAnsi" w:cstheme="minorHAnsi"/>
          <w:color w:val="000000" w:themeColor="text1"/>
        </w:rPr>
        <w:t xml:space="preserve"> Beumer group however made the decision to challenge the adjud</w:t>
      </w:r>
      <w:r w:rsidR="008721E4">
        <w:rPr>
          <w:rFonts w:asciiTheme="minorHAnsi" w:hAnsiTheme="minorHAnsi" w:cstheme="minorHAnsi"/>
          <w:color w:val="000000" w:themeColor="text1"/>
        </w:rPr>
        <w:t>icator</w:t>
      </w:r>
      <w:r w:rsidR="00A02C29">
        <w:rPr>
          <w:rFonts w:asciiTheme="minorHAnsi" w:hAnsiTheme="minorHAnsi" w:cstheme="minorHAnsi"/>
          <w:color w:val="000000" w:themeColor="text1"/>
        </w:rPr>
        <w:t xml:space="preserve">. </w:t>
      </w:r>
      <w:r w:rsidR="00C407F4">
        <w:rPr>
          <w:rFonts w:asciiTheme="minorHAnsi" w:hAnsiTheme="minorHAnsi" w:cstheme="minorHAnsi"/>
          <w:color w:val="000000" w:themeColor="text1"/>
        </w:rPr>
        <w:t xml:space="preserve">The challenge was made because Beumer group believed that the adjudicator did not keep the requirements of natural justice in mind </w:t>
      </w:r>
      <w:r w:rsidR="006B34AF">
        <w:rPr>
          <w:rFonts w:asciiTheme="minorHAnsi" w:hAnsiTheme="minorHAnsi" w:cstheme="minorHAnsi"/>
          <w:color w:val="000000" w:themeColor="text1"/>
        </w:rPr>
        <w:t xml:space="preserve">when writing his decision. </w:t>
      </w:r>
      <w:r w:rsidR="00494BD5">
        <w:rPr>
          <w:rFonts w:asciiTheme="minorHAnsi" w:hAnsiTheme="minorHAnsi" w:cstheme="minorHAnsi"/>
          <w:color w:val="000000" w:themeColor="text1"/>
        </w:rPr>
        <w:t>As an adjudicator is a 3</w:t>
      </w:r>
      <w:r w:rsidR="00494BD5" w:rsidRPr="00494BD5">
        <w:rPr>
          <w:rFonts w:asciiTheme="minorHAnsi" w:hAnsiTheme="minorHAnsi" w:cstheme="minorHAnsi"/>
          <w:color w:val="000000" w:themeColor="text1"/>
          <w:vertAlign w:val="superscript"/>
        </w:rPr>
        <w:t>rd</w:t>
      </w:r>
      <w:r w:rsidR="00494BD5">
        <w:rPr>
          <w:rFonts w:asciiTheme="minorHAnsi" w:hAnsiTheme="minorHAnsi" w:cstheme="minorHAnsi"/>
          <w:color w:val="000000" w:themeColor="text1"/>
        </w:rPr>
        <w:t xml:space="preserve"> party organisation appointed by both parties, the decision can be overruled </w:t>
      </w:r>
      <w:r w:rsidR="008721E4">
        <w:rPr>
          <w:rFonts w:asciiTheme="minorHAnsi" w:hAnsiTheme="minorHAnsi" w:cstheme="minorHAnsi"/>
          <w:color w:val="000000" w:themeColor="text1"/>
        </w:rPr>
        <w:t>by a legal decision from a judge in court.</w:t>
      </w:r>
    </w:p>
    <w:p w:rsidR="00F669C3" w:rsidRDefault="006B34AF" w:rsidP="00C223F1">
      <w:pPr>
        <w:pStyle w:val="NormalWeb"/>
        <w:shd w:val="clear" w:color="auto" w:fill="FFFFFF"/>
        <w:spacing w:before="0" w:beforeAutospacing="0" w:after="360" w:afterAutospacing="0"/>
        <w:rPr>
          <w:rFonts w:asciiTheme="minorHAnsi" w:hAnsiTheme="minorHAnsi" w:cstheme="minorHAnsi"/>
          <w:color w:val="000000" w:themeColor="text1"/>
        </w:rPr>
      </w:pPr>
      <w:r>
        <w:rPr>
          <w:rFonts w:asciiTheme="minorHAnsi" w:hAnsiTheme="minorHAnsi" w:cstheme="minorHAnsi"/>
          <w:color w:val="000000" w:themeColor="text1"/>
        </w:rPr>
        <w:t xml:space="preserve">As the adjudicators decision was challenged the </w:t>
      </w:r>
      <w:r w:rsidR="00494BD5">
        <w:rPr>
          <w:rFonts w:asciiTheme="minorHAnsi" w:hAnsiTheme="minorHAnsi" w:cstheme="minorHAnsi"/>
          <w:color w:val="000000" w:themeColor="text1"/>
        </w:rPr>
        <w:t>by B</w:t>
      </w:r>
      <w:r w:rsidR="008721E4">
        <w:rPr>
          <w:rFonts w:asciiTheme="minorHAnsi" w:hAnsiTheme="minorHAnsi" w:cstheme="minorHAnsi"/>
          <w:color w:val="000000" w:themeColor="text1"/>
        </w:rPr>
        <w:t>eumer</w:t>
      </w:r>
      <w:r w:rsidR="00494BD5">
        <w:rPr>
          <w:rFonts w:asciiTheme="minorHAnsi" w:hAnsiTheme="minorHAnsi" w:cstheme="minorHAnsi"/>
          <w:color w:val="000000" w:themeColor="text1"/>
        </w:rPr>
        <w:t xml:space="preserve"> group the only other option was to face the judge in court to settle the dispute. This gives the challengers another chance to win the dispute by providing evidence on how the adjudicator’s decision is incorrect. </w:t>
      </w:r>
    </w:p>
    <w:p w:rsidR="00F669C3" w:rsidRDefault="00F669C3" w:rsidP="00C223F1">
      <w:pPr>
        <w:pStyle w:val="NormalWeb"/>
        <w:shd w:val="clear" w:color="auto" w:fill="FFFFFF"/>
        <w:spacing w:before="0" w:beforeAutospacing="0" w:after="360" w:afterAutospacing="0"/>
        <w:rPr>
          <w:rFonts w:asciiTheme="minorHAnsi" w:hAnsiTheme="minorHAnsi" w:cstheme="minorHAnsi"/>
          <w:color w:val="000000" w:themeColor="text1"/>
        </w:rPr>
      </w:pPr>
      <w:r>
        <w:rPr>
          <w:rFonts w:asciiTheme="minorHAnsi" w:hAnsiTheme="minorHAnsi" w:cstheme="minorHAnsi"/>
          <w:color w:val="000000" w:themeColor="text1"/>
        </w:rPr>
        <w:lastRenderedPageBreak/>
        <w:t>Beumer</w:t>
      </w:r>
      <w:r w:rsidR="008721E4">
        <w:rPr>
          <w:rFonts w:asciiTheme="minorHAnsi" w:hAnsiTheme="minorHAnsi" w:cstheme="minorHAnsi"/>
          <w:color w:val="000000" w:themeColor="text1"/>
        </w:rPr>
        <w:t xml:space="preserve"> group </w:t>
      </w:r>
      <w:r>
        <w:rPr>
          <w:rFonts w:asciiTheme="minorHAnsi" w:hAnsiTheme="minorHAnsi" w:cstheme="minorHAnsi"/>
          <w:color w:val="000000" w:themeColor="text1"/>
        </w:rPr>
        <w:t>used the following 3 arguments in court;</w:t>
      </w:r>
    </w:p>
    <w:p w:rsidR="00F669C3" w:rsidRPr="00F669C3" w:rsidRDefault="00F669C3" w:rsidP="00F669C3">
      <w:pPr>
        <w:numPr>
          <w:ilvl w:val="0"/>
          <w:numId w:val="1"/>
        </w:numPr>
        <w:shd w:val="clear" w:color="auto" w:fill="FFFFFF"/>
        <w:spacing w:before="100" w:beforeAutospacing="1" w:after="100" w:afterAutospacing="1" w:line="240" w:lineRule="auto"/>
        <w:ind w:left="0"/>
        <w:rPr>
          <w:rFonts w:eastAsia="Times New Roman" w:cstheme="minorHAnsi"/>
          <w:i/>
          <w:color w:val="000000" w:themeColor="text1"/>
          <w:sz w:val="24"/>
          <w:szCs w:val="24"/>
          <w:lang w:eastAsia="en-GB"/>
        </w:rPr>
      </w:pPr>
      <w:r w:rsidRPr="00F669C3">
        <w:rPr>
          <w:rFonts w:eastAsia="Times New Roman" w:cstheme="minorHAnsi"/>
          <w:i/>
          <w:color w:val="000000" w:themeColor="text1"/>
          <w:sz w:val="24"/>
          <w:szCs w:val="24"/>
          <w:lang w:eastAsia="en-GB"/>
        </w:rPr>
        <w:t>That the seventh decision was inconsistent with the same adjudicator’s findings in adjudications four and six. Also, that the adjudicator decided a point that was not argued by either party (with regard to clause 61.7 of the parties’ sub-contract).</w:t>
      </w:r>
    </w:p>
    <w:p w:rsidR="00F669C3" w:rsidRPr="00F669C3" w:rsidRDefault="00F669C3" w:rsidP="00F669C3">
      <w:pPr>
        <w:numPr>
          <w:ilvl w:val="0"/>
          <w:numId w:val="1"/>
        </w:numPr>
        <w:shd w:val="clear" w:color="auto" w:fill="FFFFFF"/>
        <w:spacing w:before="100" w:beforeAutospacing="1" w:after="100" w:afterAutospacing="1" w:line="240" w:lineRule="auto"/>
        <w:ind w:left="0"/>
        <w:rPr>
          <w:rFonts w:eastAsia="Times New Roman" w:cstheme="minorHAnsi"/>
          <w:i/>
          <w:color w:val="000000" w:themeColor="text1"/>
          <w:sz w:val="24"/>
          <w:szCs w:val="24"/>
          <w:lang w:eastAsia="en-GB"/>
        </w:rPr>
      </w:pPr>
      <w:r w:rsidRPr="00F669C3">
        <w:rPr>
          <w:rFonts w:eastAsia="Times New Roman" w:cstheme="minorHAnsi"/>
          <w:i/>
          <w:color w:val="000000" w:themeColor="text1"/>
          <w:sz w:val="24"/>
          <w:szCs w:val="24"/>
          <w:lang w:eastAsia="en-GB"/>
        </w:rPr>
        <w:t>The adjudicator failed to provide “any or any proper reasons” for his decision.</w:t>
      </w:r>
    </w:p>
    <w:p w:rsidR="00F669C3" w:rsidRDefault="00F669C3" w:rsidP="00F669C3">
      <w:pPr>
        <w:numPr>
          <w:ilvl w:val="0"/>
          <w:numId w:val="1"/>
        </w:numPr>
        <w:shd w:val="clear" w:color="auto" w:fill="FFFFFF"/>
        <w:spacing w:before="100" w:beforeAutospacing="1" w:after="100" w:afterAutospacing="1" w:line="240" w:lineRule="auto"/>
        <w:ind w:left="0"/>
        <w:rPr>
          <w:rFonts w:eastAsia="Times New Roman" w:cstheme="minorHAnsi"/>
          <w:i/>
          <w:color w:val="1F4E79" w:themeColor="accent1" w:themeShade="80"/>
          <w:sz w:val="24"/>
          <w:szCs w:val="24"/>
          <w:lang w:eastAsia="en-GB"/>
        </w:rPr>
      </w:pPr>
      <w:r w:rsidRPr="00F669C3">
        <w:rPr>
          <w:rFonts w:eastAsia="Times New Roman" w:cstheme="minorHAnsi"/>
          <w:i/>
          <w:color w:val="000000" w:themeColor="text1"/>
          <w:sz w:val="24"/>
          <w:szCs w:val="24"/>
          <w:lang w:eastAsia="en-GB"/>
        </w:rPr>
        <w:t>The adjudicator did not disclose or order Vinci to disclose materials from a previous adjudication. This was relevant because Beumer had asserted that Vinci was running a different case in the seventh adjudication to the one it had argued in an adjudication started by Balfour Beatty Engineering Services Ltd against Vinci in September 2016.</w:t>
      </w:r>
      <w:sdt>
        <w:sdtPr>
          <w:rPr>
            <w:rFonts w:eastAsia="Times New Roman" w:cstheme="minorHAnsi"/>
            <w:i/>
            <w:color w:val="000000" w:themeColor="text1"/>
            <w:sz w:val="24"/>
            <w:szCs w:val="24"/>
            <w:lang w:eastAsia="en-GB"/>
          </w:rPr>
          <w:id w:val="1793553397"/>
          <w:citation/>
        </w:sdtPr>
        <w:sdtEndPr>
          <w:rPr>
            <w:color w:val="1F4E79" w:themeColor="accent1" w:themeShade="80"/>
          </w:rPr>
        </w:sdtEndPr>
        <w:sdtContent>
          <w:r w:rsidRPr="00F669C3">
            <w:rPr>
              <w:rFonts w:eastAsia="Times New Roman" w:cstheme="minorHAnsi"/>
              <w:i/>
              <w:color w:val="1F4E79" w:themeColor="accent1" w:themeShade="80"/>
              <w:sz w:val="24"/>
              <w:szCs w:val="24"/>
              <w:lang w:eastAsia="en-GB"/>
            </w:rPr>
            <w:fldChar w:fldCharType="begin"/>
          </w:r>
          <w:r w:rsidRPr="00F669C3">
            <w:rPr>
              <w:rFonts w:eastAsia="Times New Roman" w:cstheme="minorHAnsi"/>
              <w:i/>
              <w:color w:val="1F4E79" w:themeColor="accent1" w:themeShade="80"/>
              <w:sz w:val="24"/>
              <w:szCs w:val="24"/>
              <w:lang w:eastAsia="en-GB"/>
            </w:rPr>
            <w:instrText xml:space="preserve"> CITATION jon18 \l 2057 </w:instrText>
          </w:r>
          <w:r w:rsidRPr="00F669C3">
            <w:rPr>
              <w:rFonts w:eastAsia="Times New Roman" w:cstheme="minorHAnsi"/>
              <w:i/>
              <w:color w:val="1F4E79" w:themeColor="accent1" w:themeShade="80"/>
              <w:sz w:val="24"/>
              <w:szCs w:val="24"/>
              <w:lang w:eastAsia="en-GB"/>
            </w:rPr>
            <w:fldChar w:fldCharType="separate"/>
          </w:r>
          <w:r w:rsidRPr="00F669C3">
            <w:rPr>
              <w:rFonts w:eastAsia="Times New Roman" w:cstheme="minorHAnsi"/>
              <w:i/>
              <w:noProof/>
              <w:color w:val="1F4E79" w:themeColor="accent1" w:themeShade="80"/>
              <w:sz w:val="24"/>
              <w:szCs w:val="24"/>
              <w:lang w:eastAsia="en-GB"/>
            </w:rPr>
            <w:t xml:space="preserve"> (cope, 2018)</w:t>
          </w:r>
          <w:r w:rsidRPr="00F669C3">
            <w:rPr>
              <w:rFonts w:eastAsia="Times New Roman" w:cstheme="minorHAnsi"/>
              <w:i/>
              <w:color w:val="1F4E79" w:themeColor="accent1" w:themeShade="80"/>
              <w:sz w:val="24"/>
              <w:szCs w:val="24"/>
              <w:lang w:eastAsia="en-GB"/>
            </w:rPr>
            <w:fldChar w:fldCharType="end"/>
          </w:r>
        </w:sdtContent>
      </w:sdt>
    </w:p>
    <w:p w:rsidR="00F152B0" w:rsidRDefault="00F152B0" w:rsidP="00F152B0">
      <w:pPr>
        <w:shd w:val="clear" w:color="auto" w:fill="FFFFFF"/>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The judge had no issue with the adjudicator’s decision and believes that his decision was made fairly considering the amount of information he was provided by both parties. Both parties provided what they believed was enough information for them to win this dispute. The judge discovered that at no point did either party order for the a</w:t>
      </w:r>
      <w:r w:rsidR="00FD606F">
        <w:rPr>
          <w:rFonts w:eastAsia="Times New Roman" w:cstheme="minorHAnsi"/>
          <w:color w:val="000000" w:themeColor="text1"/>
          <w:sz w:val="24"/>
          <w:szCs w:val="24"/>
          <w:lang w:eastAsia="en-GB"/>
        </w:rPr>
        <w:t>djudicator to close the dispute so the adjudicator had no reason to take such action.</w:t>
      </w:r>
    </w:p>
    <w:p w:rsidR="00FD606F" w:rsidRDefault="006A640B" w:rsidP="00F152B0">
      <w:pPr>
        <w:shd w:val="clear" w:color="auto" w:fill="FFFFFF"/>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With a large dispute like this (</w:t>
      </w:r>
      <w:r w:rsidRPr="006A640B">
        <w:rPr>
          <w:rFonts w:eastAsia="Times New Roman" w:cstheme="minorHAnsi"/>
          <w:color w:val="000000" w:themeColor="text1"/>
          <w:sz w:val="24"/>
          <w:szCs w:val="24"/>
          <w:lang w:eastAsia="en-GB"/>
        </w:rPr>
        <w:t>Vinci Construction UK Ltd v Beumer Group UK Ltd</w:t>
      </w:r>
      <w:r>
        <w:rPr>
          <w:rFonts w:eastAsia="Times New Roman" w:cstheme="minorHAnsi"/>
          <w:color w:val="000000" w:themeColor="text1"/>
          <w:sz w:val="24"/>
          <w:szCs w:val="24"/>
          <w:lang w:eastAsia="en-GB"/>
        </w:rPr>
        <w:t xml:space="preserve">). An adjudicator’s decision is likely to be challenged due to what’s at stake, in this </w:t>
      </w:r>
      <w:r w:rsidR="008721E4">
        <w:rPr>
          <w:rFonts w:eastAsia="Times New Roman" w:cstheme="minorHAnsi"/>
          <w:color w:val="000000" w:themeColor="text1"/>
          <w:sz w:val="24"/>
          <w:szCs w:val="24"/>
          <w:lang w:eastAsia="en-GB"/>
        </w:rPr>
        <w:t xml:space="preserve">case </w:t>
      </w:r>
      <w:r>
        <w:rPr>
          <w:rFonts w:eastAsia="Times New Roman" w:cstheme="minorHAnsi"/>
          <w:color w:val="000000" w:themeColor="text1"/>
          <w:sz w:val="24"/>
          <w:szCs w:val="24"/>
          <w:lang w:eastAsia="en-GB"/>
        </w:rPr>
        <w:t xml:space="preserve">£9.7 million. It can cause great amounts of frustration to the losing party leading them to challenge the adjudicator’s decision in court. Although the adjudicator’s decision may be correct it can be overruled by the courts. If the </w:t>
      </w:r>
      <w:r w:rsidR="00525F36">
        <w:rPr>
          <w:rFonts w:eastAsia="Times New Roman" w:cstheme="minorHAnsi"/>
          <w:color w:val="000000" w:themeColor="text1"/>
          <w:sz w:val="24"/>
          <w:szCs w:val="24"/>
          <w:lang w:eastAsia="en-GB"/>
        </w:rPr>
        <w:t>adjudicator’s</w:t>
      </w:r>
      <w:r>
        <w:rPr>
          <w:rFonts w:eastAsia="Times New Roman" w:cstheme="minorHAnsi"/>
          <w:color w:val="000000" w:themeColor="text1"/>
          <w:sz w:val="24"/>
          <w:szCs w:val="24"/>
          <w:lang w:eastAsia="en-GB"/>
        </w:rPr>
        <w:t xml:space="preserve"> decision is to be found correct then his decision stands and the losing party have to pay the fees that are ordered to be paid. </w:t>
      </w:r>
    </w:p>
    <w:p w:rsidR="00525F36" w:rsidRDefault="00525F36" w:rsidP="00F152B0">
      <w:pPr>
        <w:shd w:val="clear" w:color="auto" w:fill="FFFFFF"/>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An Adjudicator’s decision are very rarely incorrect and for that reason they are rarely successfully challenged by the losing party within court.</w:t>
      </w:r>
    </w:p>
    <w:p w:rsidR="008B621D" w:rsidRDefault="008B621D" w:rsidP="00F152B0">
      <w:pPr>
        <w:shd w:val="clear" w:color="auto" w:fill="FFFFFF"/>
        <w:spacing w:before="100" w:beforeAutospacing="1" w:after="100" w:afterAutospacing="1" w:line="240" w:lineRule="auto"/>
        <w:rPr>
          <w:rFonts w:eastAsia="Times New Roman" w:cstheme="minorHAnsi"/>
          <w:color w:val="000000" w:themeColor="text1"/>
          <w:sz w:val="24"/>
          <w:szCs w:val="24"/>
          <w:lang w:eastAsia="en-GB"/>
        </w:rPr>
      </w:pPr>
    </w:p>
    <w:sdt>
      <w:sdtPr>
        <w:id w:val="-141701051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8B621D" w:rsidRDefault="006A35D6">
          <w:pPr>
            <w:pStyle w:val="Heading1"/>
          </w:pPr>
          <w:r w:rsidRPr="006A35D6">
            <w:rPr>
              <w:color w:val="000000" w:themeColor="text1"/>
            </w:rPr>
            <w:t xml:space="preserve">7.0 </w:t>
          </w:r>
          <w:r w:rsidR="008B621D">
            <w:t>Bibliography</w:t>
          </w:r>
        </w:p>
        <w:sdt>
          <w:sdtPr>
            <w:id w:val="111145805"/>
            <w:bibliography/>
          </w:sdtPr>
          <w:sdtContent>
            <w:p w:rsidR="008B621D" w:rsidRDefault="008B621D" w:rsidP="008B621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cope, j. (2018). </w:t>
              </w:r>
              <w:r>
                <w:rPr>
                  <w:i/>
                  <w:iCs/>
                  <w:noProof/>
                  <w:lang w:val="en-US"/>
                </w:rPr>
                <w:t>vinci vs beumer.</w:t>
              </w:r>
              <w:r>
                <w:rPr>
                  <w:noProof/>
                  <w:lang w:val="en-US"/>
                </w:rPr>
                <w:t xml:space="preserve"> thompson reuters.</w:t>
              </w:r>
            </w:p>
            <w:p w:rsidR="008B621D" w:rsidRDefault="008B621D" w:rsidP="008B621D">
              <w:pPr>
                <w:pStyle w:val="Bibliography"/>
                <w:ind w:left="720" w:hanging="720"/>
                <w:rPr>
                  <w:noProof/>
                  <w:lang w:val="en-US"/>
                </w:rPr>
              </w:pPr>
              <w:r>
                <w:rPr>
                  <w:noProof/>
                  <w:lang w:val="en-US"/>
                </w:rPr>
                <w:t xml:space="preserve">LECTURES, C. E. (2021). </w:t>
              </w:r>
              <w:r>
                <w:rPr>
                  <w:i/>
                  <w:iCs/>
                  <w:noProof/>
                  <w:lang w:val="en-US"/>
                </w:rPr>
                <w:t>Case law.</w:t>
              </w:r>
              <w:r>
                <w:rPr>
                  <w:noProof/>
                  <w:lang w:val="en-US"/>
                </w:rPr>
                <w:t xml:space="preserve"> civil enginerring lectures.</w:t>
              </w:r>
            </w:p>
            <w:p w:rsidR="008B621D" w:rsidRDefault="008B621D" w:rsidP="008B621D">
              <w:r>
                <w:rPr>
                  <w:b/>
                  <w:bCs/>
                  <w:noProof/>
                </w:rPr>
                <w:fldChar w:fldCharType="end"/>
              </w:r>
            </w:p>
          </w:sdtContent>
        </w:sdt>
      </w:sdtContent>
    </w:sdt>
    <w:p w:rsidR="008B621D" w:rsidRPr="00F152B0" w:rsidRDefault="008B621D" w:rsidP="00F152B0">
      <w:pPr>
        <w:shd w:val="clear" w:color="auto" w:fill="FFFFFF"/>
        <w:spacing w:before="100" w:beforeAutospacing="1" w:after="100" w:afterAutospacing="1" w:line="240" w:lineRule="auto"/>
        <w:rPr>
          <w:rFonts w:eastAsia="Times New Roman" w:cstheme="minorHAnsi"/>
          <w:color w:val="000000" w:themeColor="text1"/>
          <w:sz w:val="24"/>
          <w:szCs w:val="24"/>
          <w:lang w:eastAsia="en-GB"/>
        </w:rPr>
      </w:pPr>
    </w:p>
    <w:p w:rsidR="008A7BE8" w:rsidRPr="008A7BE8" w:rsidRDefault="008A7BE8" w:rsidP="008A7BE8">
      <w:pPr>
        <w:shd w:val="clear" w:color="auto" w:fill="FFFFFF"/>
        <w:spacing w:before="100" w:beforeAutospacing="1" w:after="100" w:afterAutospacing="1" w:line="240" w:lineRule="auto"/>
        <w:rPr>
          <w:rFonts w:eastAsia="Times New Roman" w:cstheme="minorHAnsi"/>
          <w:color w:val="1F4E79" w:themeColor="accent1" w:themeShade="80"/>
          <w:sz w:val="24"/>
          <w:szCs w:val="24"/>
          <w:lang w:eastAsia="en-GB"/>
        </w:rPr>
      </w:pPr>
    </w:p>
    <w:p w:rsidR="00F669C3" w:rsidRPr="00F669C3" w:rsidRDefault="00F669C3" w:rsidP="00F669C3">
      <w:pPr>
        <w:shd w:val="clear" w:color="auto" w:fill="FFFFFF"/>
        <w:spacing w:before="100" w:beforeAutospacing="1" w:after="100" w:afterAutospacing="1" w:line="240" w:lineRule="auto"/>
        <w:rPr>
          <w:rFonts w:eastAsia="Times New Roman" w:cstheme="minorHAnsi"/>
          <w:color w:val="1F4E79" w:themeColor="accent1" w:themeShade="80"/>
          <w:sz w:val="24"/>
          <w:szCs w:val="24"/>
          <w:lang w:eastAsia="en-GB"/>
        </w:rPr>
      </w:pPr>
    </w:p>
    <w:p w:rsidR="00F669C3" w:rsidRDefault="00F669C3" w:rsidP="00C223F1">
      <w:pPr>
        <w:pStyle w:val="NormalWeb"/>
        <w:shd w:val="clear" w:color="auto" w:fill="FFFFFF"/>
        <w:spacing w:before="0" w:beforeAutospacing="0" w:after="360" w:afterAutospacing="0"/>
        <w:rPr>
          <w:rFonts w:asciiTheme="minorHAnsi" w:hAnsiTheme="minorHAnsi" w:cstheme="minorHAnsi"/>
          <w:color w:val="000000" w:themeColor="text1"/>
        </w:rPr>
      </w:pPr>
    </w:p>
    <w:p w:rsidR="00494BD5" w:rsidRPr="006B34AF" w:rsidRDefault="00494BD5" w:rsidP="00C223F1">
      <w:pPr>
        <w:pStyle w:val="NormalWeb"/>
        <w:shd w:val="clear" w:color="auto" w:fill="FFFFFF"/>
        <w:spacing w:before="0" w:beforeAutospacing="0" w:after="360" w:afterAutospacing="0"/>
        <w:rPr>
          <w:rFonts w:asciiTheme="minorHAnsi" w:hAnsiTheme="minorHAnsi" w:cstheme="minorHAnsi"/>
          <w:color w:val="000000" w:themeColor="text1"/>
          <w:shd w:val="clear" w:color="auto" w:fill="F9F9F9"/>
        </w:rPr>
      </w:pPr>
    </w:p>
    <w:p w:rsidR="00161B9B" w:rsidRDefault="00161B9B" w:rsidP="00C223F1">
      <w:pPr>
        <w:pStyle w:val="NormalWeb"/>
        <w:shd w:val="clear" w:color="auto" w:fill="FFFFFF"/>
        <w:spacing w:before="0" w:beforeAutospacing="0" w:after="360" w:afterAutospacing="0"/>
        <w:rPr>
          <w:rFonts w:asciiTheme="minorHAnsi" w:hAnsiTheme="minorHAnsi" w:cstheme="minorHAnsi"/>
          <w:color w:val="000000" w:themeColor="text1"/>
        </w:rPr>
      </w:pPr>
    </w:p>
    <w:p w:rsidR="00161B9B" w:rsidRDefault="00161B9B"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p>
    <w:p w:rsidR="00161B9B" w:rsidRPr="0026746C" w:rsidRDefault="00161B9B"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p>
    <w:p w:rsidR="0026746C" w:rsidRPr="001231EA" w:rsidRDefault="0026746C" w:rsidP="00C223F1">
      <w:pPr>
        <w:pStyle w:val="NormalWeb"/>
        <w:shd w:val="clear" w:color="auto" w:fill="FFFFFF"/>
        <w:spacing w:before="0" w:beforeAutospacing="0" w:after="360" w:afterAutospacing="0"/>
        <w:rPr>
          <w:rFonts w:asciiTheme="minorHAnsi" w:hAnsiTheme="minorHAnsi" w:cstheme="minorHAnsi"/>
          <w:b/>
          <w:color w:val="000000" w:themeColor="text1"/>
          <w:szCs w:val="21"/>
          <w:u w:val="single"/>
        </w:rPr>
      </w:pPr>
    </w:p>
    <w:p w:rsidR="001231EA" w:rsidRDefault="001231EA"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p>
    <w:p w:rsidR="001231EA" w:rsidRPr="00C223F1" w:rsidRDefault="001231EA" w:rsidP="00C223F1">
      <w:pPr>
        <w:pStyle w:val="NormalWeb"/>
        <w:shd w:val="clear" w:color="auto" w:fill="FFFFFF"/>
        <w:spacing w:before="0" w:beforeAutospacing="0" w:after="360" w:afterAutospacing="0"/>
        <w:rPr>
          <w:rFonts w:asciiTheme="minorHAnsi" w:hAnsiTheme="minorHAnsi" w:cstheme="minorHAnsi"/>
          <w:color w:val="000000" w:themeColor="text1"/>
          <w:szCs w:val="21"/>
        </w:rPr>
      </w:pPr>
    </w:p>
    <w:p w:rsidR="00C223F1" w:rsidRPr="00C223F1" w:rsidRDefault="00C223F1" w:rsidP="00C223F1">
      <w:pPr>
        <w:pStyle w:val="NormalWeb"/>
        <w:shd w:val="clear" w:color="auto" w:fill="FFFFFF"/>
        <w:spacing w:before="0" w:beforeAutospacing="0" w:after="360" w:afterAutospacing="0"/>
        <w:rPr>
          <w:rFonts w:asciiTheme="minorHAnsi" w:hAnsiTheme="minorHAnsi" w:cstheme="minorHAnsi"/>
          <w:szCs w:val="21"/>
        </w:rPr>
      </w:pPr>
    </w:p>
    <w:p w:rsidR="001E3DB9" w:rsidRDefault="001E3DB9" w:rsidP="00113762">
      <w:pPr>
        <w:pStyle w:val="NormalWeb"/>
        <w:shd w:val="clear" w:color="auto" w:fill="FFFFFF"/>
        <w:spacing w:before="0" w:beforeAutospacing="0" w:after="360" w:afterAutospacing="0"/>
        <w:jc w:val="both"/>
        <w:rPr>
          <w:rFonts w:asciiTheme="minorHAnsi" w:hAnsiTheme="minorHAnsi" w:cstheme="minorHAnsi"/>
          <w:szCs w:val="21"/>
        </w:rPr>
      </w:pPr>
    </w:p>
    <w:p w:rsidR="001E3DB9" w:rsidRDefault="001E3DB9" w:rsidP="00113762">
      <w:pPr>
        <w:pStyle w:val="NormalWeb"/>
        <w:shd w:val="clear" w:color="auto" w:fill="FFFFFF"/>
        <w:spacing w:before="0" w:beforeAutospacing="0" w:after="360" w:afterAutospacing="0"/>
        <w:jc w:val="both"/>
        <w:rPr>
          <w:rFonts w:asciiTheme="minorHAnsi" w:hAnsiTheme="minorHAnsi" w:cstheme="minorHAnsi"/>
          <w:szCs w:val="21"/>
        </w:rPr>
      </w:pPr>
    </w:p>
    <w:p w:rsidR="001E3DB9" w:rsidRPr="001E3DB9" w:rsidRDefault="001E3DB9" w:rsidP="00113762">
      <w:pPr>
        <w:pStyle w:val="NormalWeb"/>
        <w:shd w:val="clear" w:color="auto" w:fill="FFFFFF"/>
        <w:spacing w:before="0" w:beforeAutospacing="0" w:after="360" w:afterAutospacing="0"/>
        <w:jc w:val="both"/>
        <w:rPr>
          <w:rFonts w:asciiTheme="minorHAnsi" w:hAnsiTheme="minorHAnsi" w:cstheme="minorHAnsi"/>
          <w:szCs w:val="21"/>
        </w:rPr>
      </w:pPr>
    </w:p>
    <w:p w:rsidR="00113762" w:rsidRDefault="00113762" w:rsidP="00580397">
      <w:pPr>
        <w:rPr>
          <w:b/>
          <w:sz w:val="24"/>
          <w:u w:val="single"/>
        </w:rPr>
      </w:pPr>
    </w:p>
    <w:p w:rsidR="00580397" w:rsidRPr="00580397" w:rsidRDefault="00580397" w:rsidP="00580397">
      <w:pPr>
        <w:rPr>
          <w:sz w:val="24"/>
        </w:rPr>
      </w:pPr>
    </w:p>
    <w:p w:rsidR="00580397" w:rsidRPr="00580397" w:rsidRDefault="00580397" w:rsidP="00580397">
      <w:pPr>
        <w:rPr>
          <w:sz w:val="24"/>
        </w:rPr>
      </w:pPr>
    </w:p>
    <w:p w:rsidR="00580397" w:rsidRPr="00580397" w:rsidRDefault="00580397" w:rsidP="00580397">
      <w:pPr>
        <w:rPr>
          <w:b/>
          <w:sz w:val="24"/>
          <w:u w:val="single"/>
        </w:rPr>
      </w:pPr>
    </w:p>
    <w:p w:rsidR="001C542D" w:rsidRDefault="001C542D" w:rsidP="00B5394C">
      <w:pPr>
        <w:jc w:val="center"/>
        <w:rPr>
          <w:sz w:val="24"/>
        </w:rPr>
      </w:pPr>
    </w:p>
    <w:p w:rsidR="000F0A75" w:rsidRDefault="000F0A75" w:rsidP="00B5394C">
      <w:pPr>
        <w:jc w:val="center"/>
        <w:rPr>
          <w:sz w:val="24"/>
        </w:rPr>
      </w:pPr>
    </w:p>
    <w:p w:rsidR="000F0A75" w:rsidRPr="00B5394C" w:rsidRDefault="000F0A75" w:rsidP="00B5394C">
      <w:pPr>
        <w:jc w:val="center"/>
        <w:rPr>
          <w:sz w:val="24"/>
        </w:rPr>
      </w:pPr>
    </w:p>
    <w:sectPr w:rsidR="000F0A75" w:rsidRPr="00B539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A814009"/>
    <w:multiLevelType w:val="multilevel"/>
    <w:tmpl w:val="AC0857FC"/>
    <w:lvl w:ilvl="0">
      <w:start w:val="1"/>
      <w:numFmt w:val="decimal"/>
      <w:lvlText w:val="%1.0"/>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4BDB671B"/>
    <w:multiLevelType w:val="multilevel"/>
    <w:tmpl w:val="A9C69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5CC1"/>
    <w:rsid w:val="000B4168"/>
    <w:rsid w:val="000F0A75"/>
    <w:rsid w:val="00113762"/>
    <w:rsid w:val="00116EAE"/>
    <w:rsid w:val="001231EA"/>
    <w:rsid w:val="00161B9B"/>
    <w:rsid w:val="001C542D"/>
    <w:rsid w:val="001C75C7"/>
    <w:rsid w:val="001E3DB9"/>
    <w:rsid w:val="0026746C"/>
    <w:rsid w:val="00352F69"/>
    <w:rsid w:val="00356485"/>
    <w:rsid w:val="003C6DCA"/>
    <w:rsid w:val="00432668"/>
    <w:rsid w:val="00445CC1"/>
    <w:rsid w:val="00450756"/>
    <w:rsid w:val="00494BD5"/>
    <w:rsid w:val="004C028B"/>
    <w:rsid w:val="00525F36"/>
    <w:rsid w:val="00580397"/>
    <w:rsid w:val="006A35D6"/>
    <w:rsid w:val="006A640B"/>
    <w:rsid w:val="006B34AF"/>
    <w:rsid w:val="006D6427"/>
    <w:rsid w:val="00802551"/>
    <w:rsid w:val="008721E4"/>
    <w:rsid w:val="008A7BE8"/>
    <w:rsid w:val="008B621D"/>
    <w:rsid w:val="00A02C29"/>
    <w:rsid w:val="00B06116"/>
    <w:rsid w:val="00B5394C"/>
    <w:rsid w:val="00C13927"/>
    <w:rsid w:val="00C223F1"/>
    <w:rsid w:val="00C407F4"/>
    <w:rsid w:val="00C64FAF"/>
    <w:rsid w:val="00C83CF3"/>
    <w:rsid w:val="00CD42CC"/>
    <w:rsid w:val="00CD5304"/>
    <w:rsid w:val="00DB545D"/>
    <w:rsid w:val="00DE4BE1"/>
    <w:rsid w:val="00E15803"/>
    <w:rsid w:val="00F152B0"/>
    <w:rsid w:val="00F669C3"/>
    <w:rsid w:val="00FC2ACC"/>
    <w:rsid w:val="00FD6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0A3F61-1A6C-47B9-99FF-AA516F498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621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37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223F1"/>
    <w:rPr>
      <w:i/>
      <w:iCs/>
    </w:rPr>
  </w:style>
  <w:style w:type="character" w:customStyle="1" w:styleId="Heading1Char">
    <w:name w:val="Heading 1 Char"/>
    <w:basedOn w:val="DefaultParagraphFont"/>
    <w:link w:val="Heading1"/>
    <w:uiPriority w:val="9"/>
    <w:rsid w:val="008B621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B621D"/>
  </w:style>
  <w:style w:type="paragraph" w:styleId="ListParagraph">
    <w:name w:val="List Paragraph"/>
    <w:basedOn w:val="Normal"/>
    <w:uiPriority w:val="34"/>
    <w:qFormat/>
    <w:rsid w:val="008B62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799351">
      <w:bodyDiv w:val="1"/>
      <w:marLeft w:val="0"/>
      <w:marRight w:val="0"/>
      <w:marTop w:val="0"/>
      <w:marBottom w:val="0"/>
      <w:divBdr>
        <w:top w:val="none" w:sz="0" w:space="0" w:color="auto"/>
        <w:left w:val="none" w:sz="0" w:space="0" w:color="auto"/>
        <w:bottom w:val="none" w:sz="0" w:space="0" w:color="auto"/>
        <w:right w:val="none" w:sz="0" w:space="0" w:color="auto"/>
      </w:divBdr>
    </w:div>
    <w:div w:id="147209349">
      <w:bodyDiv w:val="1"/>
      <w:marLeft w:val="0"/>
      <w:marRight w:val="0"/>
      <w:marTop w:val="0"/>
      <w:marBottom w:val="0"/>
      <w:divBdr>
        <w:top w:val="none" w:sz="0" w:space="0" w:color="auto"/>
        <w:left w:val="none" w:sz="0" w:space="0" w:color="auto"/>
        <w:bottom w:val="none" w:sz="0" w:space="0" w:color="auto"/>
        <w:right w:val="none" w:sz="0" w:space="0" w:color="auto"/>
      </w:divBdr>
    </w:div>
    <w:div w:id="322776924">
      <w:bodyDiv w:val="1"/>
      <w:marLeft w:val="0"/>
      <w:marRight w:val="0"/>
      <w:marTop w:val="0"/>
      <w:marBottom w:val="0"/>
      <w:divBdr>
        <w:top w:val="none" w:sz="0" w:space="0" w:color="auto"/>
        <w:left w:val="none" w:sz="0" w:space="0" w:color="auto"/>
        <w:bottom w:val="none" w:sz="0" w:space="0" w:color="auto"/>
        <w:right w:val="none" w:sz="0" w:space="0" w:color="auto"/>
      </w:divBdr>
    </w:div>
    <w:div w:id="496774350">
      <w:bodyDiv w:val="1"/>
      <w:marLeft w:val="0"/>
      <w:marRight w:val="0"/>
      <w:marTop w:val="0"/>
      <w:marBottom w:val="0"/>
      <w:divBdr>
        <w:top w:val="none" w:sz="0" w:space="0" w:color="auto"/>
        <w:left w:val="none" w:sz="0" w:space="0" w:color="auto"/>
        <w:bottom w:val="none" w:sz="0" w:space="0" w:color="auto"/>
        <w:right w:val="none" w:sz="0" w:space="0" w:color="auto"/>
      </w:divBdr>
    </w:div>
    <w:div w:id="1401055785">
      <w:bodyDiv w:val="1"/>
      <w:marLeft w:val="0"/>
      <w:marRight w:val="0"/>
      <w:marTop w:val="0"/>
      <w:marBottom w:val="0"/>
      <w:divBdr>
        <w:top w:val="none" w:sz="0" w:space="0" w:color="auto"/>
        <w:left w:val="none" w:sz="0" w:space="0" w:color="auto"/>
        <w:bottom w:val="none" w:sz="0" w:space="0" w:color="auto"/>
        <w:right w:val="none" w:sz="0" w:space="0" w:color="auto"/>
      </w:divBdr>
    </w:div>
    <w:div w:id="1968194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uk.practicallaw.thomsonreuters.com/w-015-9524"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CIV21</b:Tag>
    <b:SourceType>Report</b:SourceType>
    <b:Guid>{EF714BA0-54B0-4B6A-85A0-667A38062A20}</b:Guid>
    <b:Title>Case law</b:Title>
    <b:Year>2021</b:Year>
    <b:Publisher>civil enginerring lectures</b:Publisher>
    <b:Author>
      <b:Author>
        <b:NameList>
          <b:Person>
            <b:Last>LECTURES</b:Last>
            <b:First>CIVIL</b:First>
            <b:Middle>ENGINEERING</b:Middle>
          </b:Person>
        </b:NameList>
      </b:Author>
    </b:Author>
    <b:RefOrder>1</b:RefOrder>
  </b:Source>
  <b:Source>
    <b:Tag>jon18</b:Tag>
    <b:SourceType>Report</b:SourceType>
    <b:Guid>{5B5E7C17-80F0-4980-98B2-9122587BAC3F}</b:Guid>
    <b:Author>
      <b:Author>
        <b:NameList>
          <b:Person>
            <b:Last>cope</b:Last>
            <b:First>jonathan</b:First>
          </b:Person>
        </b:NameList>
      </b:Author>
    </b:Author>
    <b:Title>vinci vs beumer</b:Title>
    <b:Year>2018</b:Year>
    <b:Publisher>thompson reuters</b:Publisher>
    <b:RefOrder>2</b:RefOrder>
  </b:Source>
</b:Sources>
</file>

<file path=customXml/itemProps1.xml><?xml version="1.0" encoding="utf-8"?>
<ds:datastoreItem xmlns:ds="http://schemas.openxmlformats.org/officeDocument/2006/customXml" ds:itemID="{00F41575-8A9F-4323-97EE-0680AF81B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613</TotalTime>
  <Pages>7</Pages>
  <Words>1681</Words>
  <Characters>9585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Samuel</dc:creator>
  <cp:keywords/>
  <dc:description/>
  <cp:lastModifiedBy>Dylan Samuel</cp:lastModifiedBy>
  <cp:revision>5</cp:revision>
  <dcterms:created xsi:type="dcterms:W3CDTF">2022-11-30T11:14:00Z</dcterms:created>
  <dcterms:modified xsi:type="dcterms:W3CDTF">2022-11-30T21:27:00Z</dcterms:modified>
</cp:coreProperties>
</file>