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4E11AA1C" w14:textId="77777777" w:rsidR="00B322E0" w:rsidRPr="00752C57" w:rsidRDefault="00B322E0" w:rsidP="009C2D59">
      <w:pPr>
        <w:rPr>
          <w:b/>
          <w:i/>
          <w:color w:val="auto"/>
          <w:sz w:val="88"/>
          <w:szCs w:val="88"/>
        </w:rPr>
      </w:pPr>
      <w:bookmarkStart w:id="0" w:name="__RefHeading___Toc82856599"/>
      <w:bookmarkEnd w:id="0"/>
    </w:p>
    <w:p w14:paraId="16B7C519" w14:textId="77777777" w:rsidR="00B322E0" w:rsidRPr="00752C57" w:rsidRDefault="00B322E0">
      <w:pPr>
        <w:jc w:val="center"/>
        <w:rPr>
          <w:b/>
          <w:i/>
          <w:color w:val="auto"/>
          <w:sz w:val="88"/>
          <w:szCs w:val="88"/>
        </w:rPr>
      </w:pPr>
    </w:p>
    <w:p w14:paraId="405E87CF" w14:textId="77777777" w:rsidR="007F06BE" w:rsidRDefault="003F5718">
      <w:pPr>
        <w:jc w:val="center"/>
        <w:rPr>
          <w:rFonts w:ascii="Arial" w:hAnsi="Arial" w:cs="Arial"/>
          <w:b/>
          <w:bCs/>
          <w:i/>
          <w:color w:val="auto"/>
          <w:sz w:val="72"/>
          <w:szCs w:val="72"/>
        </w:rPr>
      </w:pPr>
      <w:r w:rsidRPr="007B0ED6">
        <w:rPr>
          <w:rFonts w:ascii="Arial" w:hAnsi="Arial" w:cs="Arial"/>
          <w:b/>
          <w:bCs/>
          <w:i/>
          <w:color w:val="auto"/>
          <w:sz w:val="72"/>
          <w:szCs w:val="72"/>
        </w:rPr>
        <w:t>Effective Communication, Record Keeping and Collaborative Practice in the Care of Mrs Thompson</w:t>
      </w:r>
    </w:p>
    <w:p w14:paraId="46907522" w14:textId="77777777" w:rsidR="00657DCB" w:rsidRDefault="00657DCB">
      <w:pPr>
        <w:jc w:val="center"/>
        <w:rPr>
          <w:rFonts w:ascii="Arial" w:hAnsi="Arial" w:cs="Arial"/>
          <w:b/>
          <w:bCs/>
          <w:i/>
          <w:color w:val="auto"/>
          <w:sz w:val="72"/>
          <w:szCs w:val="72"/>
        </w:rPr>
      </w:pPr>
    </w:p>
    <w:p w14:paraId="310F8DB1" w14:textId="77777777" w:rsidR="005D4939" w:rsidRDefault="005D4939">
      <w:pPr>
        <w:jc w:val="center"/>
        <w:rPr>
          <w:rFonts w:ascii="Arial" w:hAnsi="Arial" w:cs="Arial"/>
          <w:b/>
          <w:bCs/>
          <w:i/>
          <w:color w:val="auto"/>
          <w:sz w:val="72"/>
          <w:szCs w:val="72"/>
        </w:rPr>
      </w:pPr>
      <w:r>
        <w:rPr>
          <w:rFonts w:ascii="Arial" w:hAnsi="Arial" w:cs="Arial"/>
          <w:b/>
          <w:bCs/>
          <w:i/>
          <w:color w:val="auto"/>
          <w:sz w:val="72"/>
          <w:szCs w:val="72"/>
        </w:rPr>
        <w:t>Liaqat Ali</w:t>
      </w:r>
    </w:p>
    <w:p w14:paraId="2E7793CF" w14:textId="77777777" w:rsidR="004D05E4" w:rsidRDefault="00551CE4">
      <w:pPr>
        <w:jc w:val="center"/>
        <w:rPr>
          <w:rFonts w:ascii="Arial" w:hAnsi="Arial" w:cs="Arial"/>
          <w:b/>
          <w:bCs/>
          <w:i/>
          <w:color w:val="auto"/>
          <w:sz w:val="72"/>
          <w:szCs w:val="72"/>
        </w:rPr>
      </w:pPr>
      <w:r>
        <w:rPr>
          <w:rFonts w:ascii="Arial" w:hAnsi="Arial" w:cs="Arial"/>
          <w:b/>
          <w:bCs/>
          <w:i/>
          <w:color w:val="auto"/>
          <w:sz w:val="72"/>
          <w:szCs w:val="72"/>
        </w:rPr>
        <w:t>2520512</w:t>
      </w:r>
    </w:p>
    <w:p w14:paraId="23110A27" w14:textId="14D28A3A" w:rsidR="00793373" w:rsidRPr="007B0ED6" w:rsidRDefault="007406B8">
      <w:pPr>
        <w:jc w:val="center"/>
        <w:rPr>
          <w:rFonts w:ascii="Arial" w:hAnsi="Arial" w:cs="Arial"/>
          <w:b/>
          <w:i/>
          <w:color w:val="auto"/>
          <w:sz w:val="72"/>
          <w:szCs w:val="72"/>
        </w:rPr>
      </w:pPr>
      <w:r>
        <w:rPr>
          <w:rFonts w:ascii="Arial" w:hAnsi="Arial" w:cs="Arial"/>
          <w:b/>
          <w:bCs/>
          <w:i/>
          <w:color w:val="auto"/>
          <w:sz w:val="72"/>
          <w:szCs w:val="72"/>
        </w:rPr>
        <w:t>LCHS4003</w:t>
      </w:r>
      <w:r w:rsidR="009C2D59" w:rsidRPr="007B0ED6">
        <w:rPr>
          <w:rFonts w:ascii="Arial" w:hAnsi="Arial" w:cs="Arial"/>
          <w:b/>
          <w:bCs/>
          <w:i/>
          <w:color w:val="auto"/>
          <w:sz w:val="72"/>
          <w:szCs w:val="72"/>
        </w:rPr>
        <w:t> </w:t>
      </w:r>
      <w:r w:rsidR="00B57A65" w:rsidRPr="007B0ED6">
        <w:rPr>
          <w:rFonts w:ascii="Arial" w:hAnsi="Arial" w:cs="Arial"/>
          <w:b/>
          <w:i/>
          <w:color w:val="auto"/>
          <w:sz w:val="72"/>
          <w:szCs w:val="72"/>
        </w:rPr>
        <w:t xml:space="preserve"> </w:t>
      </w:r>
    </w:p>
    <w:p w14:paraId="5FBF4B3D" w14:textId="77777777" w:rsidR="00793373" w:rsidRPr="007B0ED6" w:rsidRDefault="00793373">
      <w:pPr>
        <w:pStyle w:val="ContentsHeading"/>
        <w:pageBreakBefore/>
        <w:rPr>
          <w:rFonts w:ascii="Arial" w:hAnsi="Arial" w:cs="Arial"/>
          <w:color w:val="auto"/>
          <w:sz w:val="22"/>
          <w:szCs w:val="22"/>
        </w:rPr>
      </w:pPr>
      <w:r w:rsidRPr="007B0ED6">
        <w:rPr>
          <w:rFonts w:ascii="Arial" w:hAnsi="Arial" w:cs="Arial"/>
          <w:color w:val="auto"/>
          <w:sz w:val="22"/>
          <w:szCs w:val="22"/>
        </w:rPr>
        <w:lastRenderedPageBreak/>
        <w:t>Table of Contents</w:t>
      </w:r>
    </w:p>
    <w:p w14:paraId="48B65188" w14:textId="77777777" w:rsidR="003F5718" w:rsidRPr="00023B7B" w:rsidRDefault="00793373">
      <w:pPr>
        <w:pStyle w:val="TOC1"/>
        <w:rPr>
          <w:rFonts w:ascii="Arial" w:eastAsia="Times New Roman" w:hAnsi="Arial" w:cs="Arial"/>
          <w:noProof/>
          <w:color w:val="auto"/>
          <w:sz w:val="22"/>
          <w:lang w:eastAsia="en-GB"/>
        </w:rPr>
      </w:pPr>
      <w:r w:rsidRPr="007B0ED6">
        <w:rPr>
          <w:rFonts w:ascii="Arial" w:hAnsi="Arial" w:cs="Arial"/>
          <w:color w:val="auto"/>
          <w:sz w:val="22"/>
        </w:rPr>
        <w:fldChar w:fldCharType="begin"/>
      </w:r>
      <w:r w:rsidRPr="007B0ED6">
        <w:rPr>
          <w:rFonts w:ascii="Arial" w:hAnsi="Arial" w:cs="Arial"/>
          <w:color w:val="auto"/>
          <w:sz w:val="22"/>
        </w:rPr>
        <w:instrText xml:space="preserve"> TOC \f \o "1-9" \o "1-9" </w:instrText>
      </w:r>
      <w:r w:rsidRPr="007B0ED6">
        <w:rPr>
          <w:rFonts w:ascii="Arial" w:hAnsi="Arial" w:cs="Arial"/>
          <w:color w:val="auto"/>
          <w:sz w:val="22"/>
        </w:rPr>
        <w:fldChar w:fldCharType="separate"/>
      </w:r>
      <w:r w:rsidR="003F5718" w:rsidRPr="007B0ED6">
        <w:rPr>
          <w:rFonts w:ascii="Arial" w:hAnsi="Arial" w:cs="Arial"/>
          <w:noProof/>
          <w:sz w:val="22"/>
        </w:rPr>
        <w:t>Introduction</w:t>
      </w:r>
      <w:r w:rsidR="003F5718" w:rsidRPr="007B0ED6">
        <w:rPr>
          <w:rFonts w:ascii="Arial" w:hAnsi="Arial" w:cs="Arial"/>
          <w:noProof/>
          <w:sz w:val="22"/>
        </w:rPr>
        <w:tab/>
      </w:r>
      <w:r w:rsidR="003F5718" w:rsidRPr="007B0ED6">
        <w:rPr>
          <w:rFonts w:ascii="Arial" w:hAnsi="Arial" w:cs="Arial"/>
          <w:noProof/>
          <w:sz w:val="22"/>
        </w:rPr>
        <w:fldChar w:fldCharType="begin"/>
      </w:r>
      <w:r w:rsidR="003F5718" w:rsidRPr="007B0ED6">
        <w:rPr>
          <w:rFonts w:ascii="Arial" w:hAnsi="Arial" w:cs="Arial"/>
          <w:noProof/>
          <w:sz w:val="22"/>
        </w:rPr>
        <w:instrText xml:space="preserve"> PAGEREF _Toc235537084 \h </w:instrText>
      </w:r>
      <w:r w:rsidR="003F5718" w:rsidRPr="007B0ED6">
        <w:rPr>
          <w:rFonts w:ascii="Arial" w:hAnsi="Arial" w:cs="Arial"/>
          <w:noProof/>
          <w:sz w:val="22"/>
        </w:rPr>
      </w:r>
      <w:r w:rsidR="003F5718" w:rsidRPr="007B0ED6">
        <w:rPr>
          <w:rFonts w:ascii="Arial" w:hAnsi="Arial" w:cs="Arial"/>
          <w:noProof/>
          <w:sz w:val="22"/>
        </w:rPr>
        <w:fldChar w:fldCharType="separate"/>
      </w:r>
      <w:r w:rsidR="003F5718" w:rsidRPr="007B0ED6">
        <w:rPr>
          <w:rFonts w:ascii="Arial" w:hAnsi="Arial" w:cs="Arial"/>
          <w:noProof/>
          <w:sz w:val="22"/>
        </w:rPr>
        <w:t>3</w:t>
      </w:r>
      <w:r w:rsidR="003F5718" w:rsidRPr="007B0ED6">
        <w:rPr>
          <w:rFonts w:ascii="Arial" w:hAnsi="Arial" w:cs="Arial"/>
          <w:noProof/>
          <w:sz w:val="22"/>
        </w:rPr>
        <w:fldChar w:fldCharType="end"/>
      </w:r>
    </w:p>
    <w:p w14:paraId="1562973D" w14:textId="77777777" w:rsidR="003F5718" w:rsidRPr="00023B7B" w:rsidRDefault="003F5718">
      <w:pPr>
        <w:pStyle w:val="TOC1"/>
        <w:rPr>
          <w:rFonts w:ascii="Arial" w:eastAsia="Times New Roman" w:hAnsi="Arial" w:cs="Arial"/>
          <w:noProof/>
          <w:color w:val="auto"/>
          <w:sz w:val="22"/>
          <w:lang w:eastAsia="en-GB"/>
        </w:rPr>
      </w:pPr>
      <w:r w:rsidRPr="007B0ED6">
        <w:rPr>
          <w:rFonts w:ascii="Arial" w:hAnsi="Arial" w:cs="Arial"/>
          <w:noProof/>
          <w:sz w:val="22"/>
        </w:rPr>
        <w:t>Effective and Inclusive Communication</w:t>
      </w:r>
      <w:r w:rsidRPr="007B0ED6">
        <w:rPr>
          <w:rFonts w:ascii="Arial" w:hAnsi="Arial" w:cs="Arial"/>
          <w:noProof/>
          <w:sz w:val="22"/>
        </w:rPr>
        <w:tab/>
      </w:r>
      <w:r w:rsidRPr="007B0ED6">
        <w:rPr>
          <w:rFonts w:ascii="Arial" w:hAnsi="Arial" w:cs="Arial"/>
          <w:noProof/>
          <w:sz w:val="22"/>
        </w:rPr>
        <w:fldChar w:fldCharType="begin"/>
      </w:r>
      <w:r w:rsidRPr="007B0ED6">
        <w:rPr>
          <w:rFonts w:ascii="Arial" w:hAnsi="Arial" w:cs="Arial"/>
          <w:noProof/>
          <w:sz w:val="22"/>
        </w:rPr>
        <w:instrText xml:space="preserve"> PAGEREF _Toc235537085 \h </w:instrText>
      </w:r>
      <w:r w:rsidRPr="007B0ED6">
        <w:rPr>
          <w:rFonts w:ascii="Arial" w:hAnsi="Arial" w:cs="Arial"/>
          <w:noProof/>
          <w:sz w:val="22"/>
        </w:rPr>
      </w:r>
      <w:r w:rsidRPr="007B0ED6">
        <w:rPr>
          <w:rFonts w:ascii="Arial" w:hAnsi="Arial" w:cs="Arial"/>
          <w:noProof/>
          <w:sz w:val="22"/>
        </w:rPr>
        <w:fldChar w:fldCharType="separate"/>
      </w:r>
      <w:r w:rsidRPr="007B0ED6">
        <w:rPr>
          <w:rFonts w:ascii="Arial" w:hAnsi="Arial" w:cs="Arial"/>
          <w:noProof/>
          <w:sz w:val="22"/>
        </w:rPr>
        <w:t>3</w:t>
      </w:r>
      <w:r w:rsidRPr="007B0ED6">
        <w:rPr>
          <w:rFonts w:ascii="Arial" w:hAnsi="Arial" w:cs="Arial"/>
          <w:noProof/>
          <w:sz w:val="22"/>
        </w:rPr>
        <w:fldChar w:fldCharType="end"/>
      </w:r>
    </w:p>
    <w:p w14:paraId="0250C7EB" w14:textId="77777777" w:rsidR="003F5718" w:rsidRPr="00023B7B" w:rsidRDefault="003F5718">
      <w:pPr>
        <w:pStyle w:val="TOC1"/>
        <w:rPr>
          <w:rFonts w:ascii="Arial" w:eastAsia="Times New Roman" w:hAnsi="Arial" w:cs="Arial"/>
          <w:noProof/>
          <w:color w:val="auto"/>
          <w:sz w:val="22"/>
          <w:lang w:eastAsia="en-GB"/>
        </w:rPr>
      </w:pPr>
      <w:r w:rsidRPr="007B0ED6">
        <w:rPr>
          <w:rFonts w:ascii="Arial" w:hAnsi="Arial" w:cs="Arial"/>
          <w:noProof/>
          <w:sz w:val="22"/>
        </w:rPr>
        <w:t>Administrative Practice, Record Keeping and Information Governance</w:t>
      </w:r>
      <w:r w:rsidRPr="007B0ED6">
        <w:rPr>
          <w:rFonts w:ascii="Arial" w:hAnsi="Arial" w:cs="Arial"/>
          <w:noProof/>
          <w:sz w:val="22"/>
        </w:rPr>
        <w:tab/>
      </w:r>
      <w:r w:rsidRPr="007B0ED6">
        <w:rPr>
          <w:rFonts w:ascii="Arial" w:hAnsi="Arial" w:cs="Arial"/>
          <w:noProof/>
          <w:sz w:val="22"/>
        </w:rPr>
        <w:fldChar w:fldCharType="begin"/>
      </w:r>
      <w:r w:rsidRPr="007B0ED6">
        <w:rPr>
          <w:rFonts w:ascii="Arial" w:hAnsi="Arial" w:cs="Arial"/>
          <w:noProof/>
          <w:sz w:val="22"/>
        </w:rPr>
        <w:instrText xml:space="preserve"> PAGEREF _Toc235537086 \h </w:instrText>
      </w:r>
      <w:r w:rsidRPr="007B0ED6">
        <w:rPr>
          <w:rFonts w:ascii="Arial" w:hAnsi="Arial" w:cs="Arial"/>
          <w:noProof/>
          <w:sz w:val="22"/>
        </w:rPr>
      </w:r>
      <w:r w:rsidRPr="007B0ED6">
        <w:rPr>
          <w:rFonts w:ascii="Arial" w:hAnsi="Arial" w:cs="Arial"/>
          <w:noProof/>
          <w:sz w:val="22"/>
        </w:rPr>
        <w:fldChar w:fldCharType="separate"/>
      </w:r>
      <w:r w:rsidRPr="007B0ED6">
        <w:rPr>
          <w:rFonts w:ascii="Arial" w:hAnsi="Arial" w:cs="Arial"/>
          <w:noProof/>
          <w:sz w:val="22"/>
        </w:rPr>
        <w:t>4</w:t>
      </w:r>
      <w:r w:rsidRPr="007B0ED6">
        <w:rPr>
          <w:rFonts w:ascii="Arial" w:hAnsi="Arial" w:cs="Arial"/>
          <w:noProof/>
          <w:sz w:val="22"/>
        </w:rPr>
        <w:fldChar w:fldCharType="end"/>
      </w:r>
    </w:p>
    <w:p w14:paraId="70124428" w14:textId="77777777" w:rsidR="003F5718" w:rsidRPr="00023B7B" w:rsidRDefault="003F5718">
      <w:pPr>
        <w:pStyle w:val="TOC1"/>
        <w:rPr>
          <w:rFonts w:ascii="Arial" w:eastAsia="Times New Roman" w:hAnsi="Arial" w:cs="Arial"/>
          <w:noProof/>
          <w:color w:val="auto"/>
          <w:sz w:val="22"/>
          <w:lang w:eastAsia="en-GB"/>
        </w:rPr>
      </w:pPr>
      <w:r w:rsidRPr="007B0ED6">
        <w:rPr>
          <w:rFonts w:ascii="Arial" w:hAnsi="Arial" w:cs="Arial"/>
          <w:noProof/>
          <w:sz w:val="22"/>
        </w:rPr>
        <w:t>Collaborative and Multi-Agency Working</w:t>
      </w:r>
      <w:r w:rsidRPr="007B0ED6">
        <w:rPr>
          <w:rFonts w:ascii="Arial" w:hAnsi="Arial" w:cs="Arial"/>
          <w:noProof/>
          <w:sz w:val="22"/>
        </w:rPr>
        <w:tab/>
      </w:r>
      <w:r w:rsidRPr="007B0ED6">
        <w:rPr>
          <w:rFonts w:ascii="Arial" w:hAnsi="Arial" w:cs="Arial"/>
          <w:noProof/>
          <w:sz w:val="22"/>
        </w:rPr>
        <w:fldChar w:fldCharType="begin"/>
      </w:r>
      <w:r w:rsidRPr="007B0ED6">
        <w:rPr>
          <w:rFonts w:ascii="Arial" w:hAnsi="Arial" w:cs="Arial"/>
          <w:noProof/>
          <w:sz w:val="22"/>
        </w:rPr>
        <w:instrText xml:space="preserve"> PAGEREF _Toc235537087 \h </w:instrText>
      </w:r>
      <w:r w:rsidRPr="007B0ED6">
        <w:rPr>
          <w:rFonts w:ascii="Arial" w:hAnsi="Arial" w:cs="Arial"/>
          <w:noProof/>
          <w:sz w:val="22"/>
        </w:rPr>
      </w:r>
      <w:r w:rsidRPr="007B0ED6">
        <w:rPr>
          <w:rFonts w:ascii="Arial" w:hAnsi="Arial" w:cs="Arial"/>
          <w:noProof/>
          <w:sz w:val="22"/>
        </w:rPr>
        <w:fldChar w:fldCharType="separate"/>
      </w:r>
      <w:r w:rsidRPr="007B0ED6">
        <w:rPr>
          <w:rFonts w:ascii="Arial" w:hAnsi="Arial" w:cs="Arial"/>
          <w:noProof/>
          <w:sz w:val="22"/>
        </w:rPr>
        <w:t>5</w:t>
      </w:r>
      <w:r w:rsidRPr="007B0ED6">
        <w:rPr>
          <w:rFonts w:ascii="Arial" w:hAnsi="Arial" w:cs="Arial"/>
          <w:noProof/>
          <w:sz w:val="22"/>
        </w:rPr>
        <w:fldChar w:fldCharType="end"/>
      </w:r>
    </w:p>
    <w:p w14:paraId="07CD9ECF" w14:textId="77777777" w:rsidR="003F5718" w:rsidRPr="00023B7B" w:rsidRDefault="003F5718">
      <w:pPr>
        <w:pStyle w:val="TOC1"/>
        <w:rPr>
          <w:rFonts w:ascii="Arial" w:eastAsia="Times New Roman" w:hAnsi="Arial" w:cs="Arial"/>
          <w:noProof/>
          <w:color w:val="auto"/>
          <w:sz w:val="22"/>
          <w:lang w:eastAsia="en-GB"/>
        </w:rPr>
      </w:pPr>
      <w:r w:rsidRPr="007B0ED6">
        <w:rPr>
          <w:rFonts w:ascii="Arial" w:hAnsi="Arial" w:cs="Arial"/>
          <w:noProof/>
          <w:sz w:val="22"/>
        </w:rPr>
        <w:t>Conclusion</w:t>
      </w:r>
      <w:r w:rsidRPr="007B0ED6">
        <w:rPr>
          <w:rFonts w:ascii="Arial" w:hAnsi="Arial" w:cs="Arial"/>
          <w:noProof/>
          <w:sz w:val="22"/>
        </w:rPr>
        <w:tab/>
      </w:r>
      <w:r w:rsidRPr="007B0ED6">
        <w:rPr>
          <w:rFonts w:ascii="Arial" w:hAnsi="Arial" w:cs="Arial"/>
          <w:noProof/>
          <w:sz w:val="22"/>
        </w:rPr>
        <w:fldChar w:fldCharType="begin"/>
      </w:r>
      <w:r w:rsidRPr="007B0ED6">
        <w:rPr>
          <w:rFonts w:ascii="Arial" w:hAnsi="Arial" w:cs="Arial"/>
          <w:noProof/>
          <w:sz w:val="22"/>
        </w:rPr>
        <w:instrText xml:space="preserve"> PAGEREF _Toc235537088 \h </w:instrText>
      </w:r>
      <w:r w:rsidRPr="007B0ED6">
        <w:rPr>
          <w:rFonts w:ascii="Arial" w:hAnsi="Arial" w:cs="Arial"/>
          <w:noProof/>
          <w:sz w:val="22"/>
        </w:rPr>
      </w:r>
      <w:r w:rsidRPr="007B0ED6">
        <w:rPr>
          <w:rFonts w:ascii="Arial" w:hAnsi="Arial" w:cs="Arial"/>
          <w:noProof/>
          <w:sz w:val="22"/>
        </w:rPr>
        <w:fldChar w:fldCharType="separate"/>
      </w:r>
      <w:r w:rsidRPr="007B0ED6">
        <w:rPr>
          <w:rFonts w:ascii="Arial" w:hAnsi="Arial" w:cs="Arial"/>
          <w:noProof/>
          <w:sz w:val="22"/>
        </w:rPr>
        <w:t>6</w:t>
      </w:r>
      <w:r w:rsidRPr="007B0ED6">
        <w:rPr>
          <w:rFonts w:ascii="Arial" w:hAnsi="Arial" w:cs="Arial"/>
          <w:noProof/>
          <w:sz w:val="22"/>
        </w:rPr>
        <w:fldChar w:fldCharType="end"/>
      </w:r>
    </w:p>
    <w:p w14:paraId="7652215F" w14:textId="77777777" w:rsidR="003F5718" w:rsidRPr="00023B7B" w:rsidRDefault="003F5718">
      <w:pPr>
        <w:pStyle w:val="TOC1"/>
        <w:rPr>
          <w:rFonts w:ascii="Arial" w:eastAsia="Times New Roman" w:hAnsi="Arial" w:cs="Arial"/>
          <w:noProof/>
          <w:color w:val="auto"/>
          <w:sz w:val="22"/>
          <w:lang w:eastAsia="en-GB"/>
        </w:rPr>
      </w:pPr>
      <w:r w:rsidRPr="007B0ED6">
        <w:rPr>
          <w:rFonts w:ascii="Arial" w:hAnsi="Arial" w:cs="Arial"/>
          <w:noProof/>
          <w:sz w:val="22"/>
        </w:rPr>
        <w:t>References</w:t>
      </w:r>
      <w:r w:rsidRPr="007B0ED6">
        <w:rPr>
          <w:rFonts w:ascii="Arial" w:hAnsi="Arial" w:cs="Arial"/>
          <w:noProof/>
          <w:sz w:val="22"/>
        </w:rPr>
        <w:tab/>
      </w:r>
      <w:r w:rsidRPr="007B0ED6">
        <w:rPr>
          <w:rFonts w:ascii="Arial" w:hAnsi="Arial" w:cs="Arial"/>
          <w:noProof/>
          <w:sz w:val="22"/>
        </w:rPr>
        <w:fldChar w:fldCharType="begin"/>
      </w:r>
      <w:r w:rsidRPr="007B0ED6">
        <w:rPr>
          <w:rFonts w:ascii="Arial" w:hAnsi="Arial" w:cs="Arial"/>
          <w:noProof/>
          <w:sz w:val="22"/>
        </w:rPr>
        <w:instrText xml:space="preserve"> PAGEREF _Toc235537089 \h </w:instrText>
      </w:r>
      <w:r w:rsidRPr="007B0ED6">
        <w:rPr>
          <w:rFonts w:ascii="Arial" w:hAnsi="Arial" w:cs="Arial"/>
          <w:noProof/>
          <w:sz w:val="22"/>
        </w:rPr>
      </w:r>
      <w:r w:rsidRPr="007B0ED6">
        <w:rPr>
          <w:rFonts w:ascii="Arial" w:hAnsi="Arial" w:cs="Arial"/>
          <w:noProof/>
          <w:sz w:val="22"/>
        </w:rPr>
        <w:fldChar w:fldCharType="separate"/>
      </w:r>
      <w:r w:rsidRPr="007B0ED6">
        <w:rPr>
          <w:rFonts w:ascii="Arial" w:hAnsi="Arial" w:cs="Arial"/>
          <w:noProof/>
          <w:sz w:val="22"/>
        </w:rPr>
        <w:t>7</w:t>
      </w:r>
      <w:r w:rsidRPr="007B0ED6">
        <w:rPr>
          <w:rFonts w:ascii="Arial" w:hAnsi="Arial" w:cs="Arial"/>
          <w:noProof/>
          <w:sz w:val="22"/>
        </w:rPr>
        <w:fldChar w:fldCharType="end"/>
      </w:r>
    </w:p>
    <w:p w14:paraId="47D71FDD" w14:textId="77777777" w:rsidR="005901D0" w:rsidRPr="007B0ED6" w:rsidRDefault="00793373" w:rsidP="005901D0">
      <w:pPr>
        <w:pStyle w:val="TOC1"/>
        <w:rPr>
          <w:rFonts w:ascii="Arial" w:hAnsi="Arial" w:cs="Arial"/>
          <w:color w:val="auto"/>
          <w:sz w:val="22"/>
        </w:rPr>
      </w:pPr>
      <w:r w:rsidRPr="007B0ED6">
        <w:rPr>
          <w:rFonts w:ascii="Arial" w:hAnsi="Arial" w:cs="Arial"/>
          <w:color w:val="auto"/>
          <w:sz w:val="22"/>
        </w:rPr>
        <w:fldChar w:fldCharType="end"/>
      </w:r>
    </w:p>
    <w:p w14:paraId="22EE3FC6" w14:textId="77777777" w:rsidR="00793373" w:rsidRPr="007B0ED6" w:rsidRDefault="00793373">
      <w:pPr>
        <w:rPr>
          <w:rFonts w:ascii="Arial" w:hAnsi="Arial" w:cs="Arial"/>
          <w:color w:val="auto"/>
          <w:sz w:val="22"/>
        </w:rPr>
      </w:pPr>
    </w:p>
    <w:p w14:paraId="29114448" w14:textId="77777777" w:rsidR="00FA3835" w:rsidRPr="007B0ED6" w:rsidRDefault="00FA3835">
      <w:pPr>
        <w:rPr>
          <w:rFonts w:ascii="Arial" w:hAnsi="Arial" w:cs="Arial"/>
          <w:color w:val="auto"/>
          <w:sz w:val="22"/>
        </w:rPr>
      </w:pPr>
    </w:p>
    <w:p w14:paraId="16753E39" w14:textId="77777777" w:rsidR="00FA3835" w:rsidRPr="007B0ED6" w:rsidRDefault="00FA3835">
      <w:pPr>
        <w:rPr>
          <w:rFonts w:ascii="Arial" w:hAnsi="Arial" w:cs="Arial"/>
          <w:color w:val="auto"/>
          <w:sz w:val="22"/>
        </w:rPr>
      </w:pPr>
    </w:p>
    <w:p w14:paraId="2AE0CFCC" w14:textId="77777777" w:rsidR="00607926" w:rsidRPr="007B0ED6" w:rsidRDefault="006407FE" w:rsidP="003F5718">
      <w:pPr>
        <w:pStyle w:val="Heading1"/>
        <w:rPr>
          <w:rFonts w:ascii="Arial" w:hAnsi="Arial" w:cs="Arial"/>
          <w:sz w:val="22"/>
          <w:szCs w:val="22"/>
        </w:rPr>
      </w:pPr>
      <w:r w:rsidRPr="007B0ED6">
        <w:rPr>
          <w:rFonts w:ascii="Arial" w:hAnsi="Arial" w:cs="Arial"/>
          <w:sz w:val="22"/>
          <w:szCs w:val="22"/>
        </w:rPr>
        <w:br w:type="page"/>
      </w:r>
      <w:bookmarkStart w:id="1" w:name="_Toc235537084"/>
      <w:r w:rsidR="00607926" w:rsidRPr="007B0ED6">
        <w:rPr>
          <w:rFonts w:ascii="Arial" w:hAnsi="Arial" w:cs="Arial"/>
          <w:sz w:val="22"/>
          <w:szCs w:val="22"/>
        </w:rPr>
        <w:lastRenderedPageBreak/>
        <w:t>Introduction</w:t>
      </w:r>
      <w:bookmarkEnd w:id="1"/>
    </w:p>
    <w:p w14:paraId="0D909CB4" w14:textId="77777777" w:rsidR="003F5718" w:rsidRPr="007B0ED6" w:rsidRDefault="003F5718" w:rsidP="003F5718">
      <w:pPr>
        <w:rPr>
          <w:rFonts w:ascii="Arial" w:hAnsi="Arial" w:cs="Arial"/>
          <w:sz w:val="22"/>
        </w:rPr>
      </w:pPr>
      <w:r w:rsidRPr="007B0ED6">
        <w:rPr>
          <w:rFonts w:ascii="Arial" w:hAnsi="Arial" w:cs="Arial"/>
          <w:sz w:val="22"/>
        </w:rPr>
        <w:t>Good health and social care is about communication, good records, multi-disciplinary working and the observance of legal and safeguarding issues. These principles are of particular relevance in the case of Mrs Thompson, an 84 year old lady who was recently discharged after a bout of pneumonia, who lives alone, is receiving domiciliary care and has mild dementia and who has forgotten to take her prescribed medication and has been found out of doors in the cold wearing inappropriately. This report explores the interdependency of these aspects and critically considers how they are linked to safe, lawful and person-centred care and to minimising unnecessary risks and fragmentation of care</w:t>
      </w:r>
      <w:r w:rsidR="003D5039" w:rsidRPr="003D5039">
        <w:t xml:space="preserve"> </w:t>
      </w:r>
      <w:r w:rsidR="003D5039" w:rsidRPr="003D5039">
        <w:rPr>
          <w:rFonts w:ascii="Arial" w:hAnsi="Arial" w:cs="Arial"/>
          <w:sz w:val="22"/>
        </w:rPr>
        <w:t>(NICE, 2021</w:t>
      </w:r>
      <w:r w:rsidR="003D5039">
        <w:rPr>
          <w:rFonts w:ascii="Arial" w:hAnsi="Arial" w:cs="Arial"/>
          <w:sz w:val="22"/>
        </w:rPr>
        <w:t>; NICE, 2019</w:t>
      </w:r>
      <w:r w:rsidR="003D5039" w:rsidRPr="003D5039">
        <w:rPr>
          <w:rFonts w:ascii="Arial" w:hAnsi="Arial" w:cs="Arial"/>
          <w:sz w:val="22"/>
        </w:rPr>
        <w:t>)</w:t>
      </w:r>
      <w:r w:rsidRPr="007B0ED6">
        <w:rPr>
          <w:rFonts w:ascii="Arial" w:hAnsi="Arial" w:cs="Arial"/>
          <w:sz w:val="22"/>
        </w:rPr>
        <w:t>.</w:t>
      </w:r>
    </w:p>
    <w:p w14:paraId="7FD865D3" w14:textId="77777777" w:rsidR="003F5718" w:rsidRPr="007B0ED6" w:rsidRDefault="003F5718" w:rsidP="003F5718">
      <w:pPr>
        <w:rPr>
          <w:rFonts w:ascii="Arial" w:hAnsi="Arial" w:cs="Arial"/>
          <w:sz w:val="22"/>
        </w:rPr>
      </w:pPr>
    </w:p>
    <w:p w14:paraId="2BC757F3" w14:textId="77777777" w:rsidR="003F5718" w:rsidRPr="007B0ED6" w:rsidRDefault="003F5718" w:rsidP="003F5718">
      <w:pPr>
        <w:pStyle w:val="Heading1"/>
        <w:rPr>
          <w:rFonts w:ascii="Arial" w:hAnsi="Arial" w:cs="Arial"/>
          <w:sz w:val="22"/>
          <w:szCs w:val="22"/>
        </w:rPr>
      </w:pPr>
      <w:bookmarkStart w:id="2" w:name="_Toc235537085"/>
      <w:r w:rsidRPr="007B0ED6">
        <w:rPr>
          <w:rFonts w:ascii="Arial" w:hAnsi="Arial" w:cs="Arial"/>
          <w:sz w:val="22"/>
          <w:szCs w:val="22"/>
        </w:rPr>
        <w:t>Effective and Inclusive Communication</w:t>
      </w:r>
      <w:bookmarkEnd w:id="2"/>
      <w:r w:rsidRPr="007B0ED6">
        <w:rPr>
          <w:rFonts w:ascii="Arial" w:hAnsi="Arial" w:cs="Arial"/>
          <w:sz w:val="22"/>
          <w:szCs w:val="22"/>
        </w:rPr>
        <w:t xml:space="preserve"> </w:t>
      </w:r>
    </w:p>
    <w:p w14:paraId="1985C857" w14:textId="77777777" w:rsidR="003F5718" w:rsidRPr="007B0ED6" w:rsidRDefault="003F5718" w:rsidP="003F5718">
      <w:pPr>
        <w:rPr>
          <w:rFonts w:ascii="Arial" w:hAnsi="Arial" w:cs="Arial"/>
          <w:sz w:val="22"/>
        </w:rPr>
      </w:pPr>
      <w:r w:rsidRPr="007B0ED6">
        <w:rPr>
          <w:rFonts w:ascii="Arial" w:hAnsi="Arial" w:cs="Arial"/>
          <w:sz w:val="22"/>
        </w:rPr>
        <w:t>Safe person-centred care depends on effective communication as it helps to facilitate reporting, making sure that staff members are aware of any changes in the person's cognitive ability, ensure that medication is taken as prescribed, minimize anxiety, ensure informed decision making and facilitate the rapid reporting of any concerns relating to safeguarding. Communication is particularly important in Mrs Thompson's case as she suffers from a mild dementia and in the last few years has had some confusion about what she is supposed to do and take. Therefore, it is essential for professionals to actively check for understanding and not take it for granted that information has been understood. It also fosters better continuity of care between hospital services, domiciliary carers and community nurses and GP which limits fragmentary interventions</w:t>
      </w:r>
      <w:r w:rsidR="003D5039" w:rsidRPr="003D5039">
        <w:t xml:space="preserve"> </w:t>
      </w:r>
      <w:r w:rsidR="003D5039" w:rsidRPr="003D5039">
        <w:rPr>
          <w:rFonts w:ascii="Arial" w:hAnsi="Arial" w:cs="Arial"/>
          <w:sz w:val="22"/>
        </w:rPr>
        <w:t>(NICE.uk, 2021</w:t>
      </w:r>
      <w:r w:rsidR="003D5039">
        <w:rPr>
          <w:rFonts w:ascii="Arial" w:hAnsi="Arial" w:cs="Arial"/>
          <w:sz w:val="22"/>
        </w:rPr>
        <w:t xml:space="preserve">; </w:t>
      </w:r>
      <w:r w:rsidR="003D5039" w:rsidRPr="003D5039">
        <w:rPr>
          <w:rFonts w:ascii="Arial" w:hAnsi="Arial" w:cs="Arial"/>
          <w:sz w:val="22"/>
        </w:rPr>
        <w:t>National Institute for H</w:t>
      </w:r>
      <w:r w:rsidR="003D5039">
        <w:rPr>
          <w:rFonts w:ascii="Arial" w:hAnsi="Arial" w:cs="Arial"/>
          <w:sz w:val="22"/>
        </w:rPr>
        <w:t>ealth and Care Excellence, 2018</w:t>
      </w:r>
      <w:r w:rsidR="003D5039" w:rsidRPr="003D5039">
        <w:rPr>
          <w:rFonts w:ascii="Arial" w:hAnsi="Arial" w:cs="Arial"/>
          <w:sz w:val="22"/>
        </w:rPr>
        <w:t>)</w:t>
      </w:r>
      <w:r w:rsidRPr="007B0ED6">
        <w:rPr>
          <w:rFonts w:ascii="Arial" w:hAnsi="Arial" w:cs="Arial"/>
          <w:sz w:val="22"/>
        </w:rPr>
        <w:t>.</w:t>
      </w:r>
    </w:p>
    <w:p w14:paraId="3C637AE3" w14:textId="77777777" w:rsidR="003D5039" w:rsidRDefault="003F5718" w:rsidP="003D5039">
      <w:pPr>
        <w:ind w:firstLine="720"/>
        <w:rPr>
          <w:rFonts w:ascii="Arial" w:hAnsi="Arial" w:cs="Arial"/>
          <w:sz w:val="22"/>
        </w:rPr>
      </w:pPr>
      <w:r w:rsidRPr="007B0ED6">
        <w:rPr>
          <w:rFonts w:ascii="Arial" w:hAnsi="Arial" w:cs="Arial"/>
          <w:sz w:val="22"/>
        </w:rPr>
        <w:t>Communication with Mrs Thompson will be sensitive, respecting her dignity and independence, and taking account of her cognitive needs. This should be done calmly by professionals, with her preferred name, short sentences, and in a non-medical jargon, with only one question per sentence. The processing time, listening skills and appropriate eye contact and observation of non-verbal cues can enhance understanding. Information should not be provided but confirmed through memory prompts, calendars, written medication reminders and teach-back. Notably, adapting communication should make it easier for her to be involved in decisions, rather than being excluded from decisions due to dementia. NICE also suggests altering methods of communication such as using visual aids and giving simplified information to ensure as much involvement as possible in decisions about care</w:t>
      </w:r>
      <w:r w:rsidR="003D5039" w:rsidRPr="003D5039">
        <w:t xml:space="preserve"> </w:t>
      </w:r>
      <w:r w:rsidR="003D5039" w:rsidRPr="003D5039">
        <w:rPr>
          <w:rFonts w:ascii="Arial" w:hAnsi="Arial" w:cs="Arial"/>
          <w:sz w:val="22"/>
        </w:rPr>
        <w:t>(NHS, 2023)</w:t>
      </w:r>
      <w:r w:rsidRPr="007B0ED6">
        <w:rPr>
          <w:rFonts w:ascii="Arial" w:hAnsi="Arial" w:cs="Arial"/>
          <w:sz w:val="22"/>
        </w:rPr>
        <w:t>.</w:t>
      </w:r>
    </w:p>
    <w:p w14:paraId="4F6E22AB" w14:textId="77777777" w:rsidR="003D5039" w:rsidRDefault="003F5718" w:rsidP="003D5039">
      <w:pPr>
        <w:ind w:firstLine="720"/>
        <w:rPr>
          <w:rFonts w:ascii="Arial" w:hAnsi="Arial" w:cs="Arial"/>
          <w:sz w:val="22"/>
        </w:rPr>
      </w:pPr>
      <w:r w:rsidRPr="007B0ED6">
        <w:rPr>
          <w:rFonts w:ascii="Arial" w:hAnsi="Arial" w:cs="Arial"/>
          <w:sz w:val="22"/>
        </w:rPr>
        <w:t xml:space="preserve">Argyle's Communication Cycle is the relevant cycle as it views communication as an on-going process of encoding, transmitting, receiving, decoding and feedback. For instance, if the </w:t>
      </w:r>
      <w:r w:rsidRPr="007B0ED6">
        <w:rPr>
          <w:rFonts w:ascii="Arial" w:hAnsi="Arial" w:cs="Arial"/>
          <w:sz w:val="22"/>
        </w:rPr>
        <w:lastRenderedPageBreak/>
        <w:t>domiciliary care worker asks if medication has been taken, Mrs Thompson's body language and response gives crucial information that may be an expression of uncertainty or confusion. The professional has to therefore, re-state the message, check the medication record and check for understanding before proceeding. While the model makes a strong point of reciprocal communication, the linear nature of the model might be an oversimplification of the cognitive deficits and impairments which can vary from time to time in dementia, and may need to be supplemented with professional judgement</w:t>
      </w:r>
      <w:r w:rsidR="003D5039" w:rsidRPr="003D5039">
        <w:t xml:space="preserve"> </w:t>
      </w:r>
      <w:r w:rsidR="003D5039" w:rsidRPr="003D5039">
        <w:rPr>
          <w:rFonts w:ascii="Arial" w:hAnsi="Arial" w:cs="Arial"/>
          <w:sz w:val="22"/>
        </w:rPr>
        <w:t>(Savundranayagam and Moore-Nielsen, 2015)</w:t>
      </w:r>
      <w:r w:rsidR="003D5039">
        <w:rPr>
          <w:rFonts w:ascii="Arial" w:hAnsi="Arial" w:cs="Arial"/>
          <w:sz w:val="22"/>
        </w:rPr>
        <w:t>.</w:t>
      </w:r>
    </w:p>
    <w:p w14:paraId="4F34C98B" w14:textId="77777777" w:rsidR="003F5718" w:rsidRPr="007B0ED6" w:rsidRDefault="003F5718" w:rsidP="003D5039">
      <w:pPr>
        <w:ind w:firstLine="720"/>
        <w:rPr>
          <w:rFonts w:ascii="Arial" w:hAnsi="Arial" w:cs="Arial"/>
          <w:sz w:val="22"/>
        </w:rPr>
      </w:pPr>
      <w:r w:rsidRPr="007B0ED6">
        <w:rPr>
          <w:rFonts w:ascii="Arial" w:hAnsi="Arial" w:cs="Arial"/>
          <w:sz w:val="22"/>
        </w:rPr>
        <w:t>Under the Equality Act 2010 reasonable adjustments must be made to prevent discrimination based on age and disability. As a result, Mrs Thompson should have more time for communication, be provided with information, have the same carers and, if suitable, family involvement and/or advocacy. However, equal treatment doesn't mean the same treatment, equitable care means communicating in a way that takes her needs into account and keeps her opinions at the forefront of decision making</w:t>
      </w:r>
      <w:r w:rsidR="003D5039" w:rsidRPr="003D5039">
        <w:t xml:space="preserve"> </w:t>
      </w:r>
      <w:r w:rsidR="003D5039" w:rsidRPr="003D5039">
        <w:rPr>
          <w:rFonts w:ascii="Arial" w:hAnsi="Arial" w:cs="Arial"/>
          <w:sz w:val="22"/>
        </w:rPr>
        <w:t>(NHS England, 2026)</w:t>
      </w:r>
      <w:r w:rsidRPr="007B0ED6">
        <w:rPr>
          <w:rFonts w:ascii="Arial" w:hAnsi="Arial" w:cs="Arial"/>
          <w:sz w:val="22"/>
        </w:rPr>
        <w:t>.</w:t>
      </w:r>
    </w:p>
    <w:p w14:paraId="3724C804" w14:textId="77777777" w:rsidR="003F5718" w:rsidRPr="007B0ED6" w:rsidRDefault="003F5718" w:rsidP="003F5718">
      <w:pPr>
        <w:rPr>
          <w:rFonts w:ascii="Arial" w:hAnsi="Arial" w:cs="Arial"/>
          <w:sz w:val="22"/>
        </w:rPr>
      </w:pPr>
    </w:p>
    <w:p w14:paraId="191A1839" w14:textId="77777777" w:rsidR="003F5718" w:rsidRPr="007B0ED6" w:rsidRDefault="003F5718" w:rsidP="003F5718">
      <w:pPr>
        <w:pStyle w:val="Heading1"/>
        <w:rPr>
          <w:rFonts w:ascii="Arial" w:hAnsi="Arial" w:cs="Arial"/>
          <w:sz w:val="22"/>
          <w:szCs w:val="22"/>
        </w:rPr>
      </w:pPr>
      <w:bookmarkStart w:id="3" w:name="_Toc235537086"/>
      <w:r w:rsidRPr="007B0ED6">
        <w:rPr>
          <w:rFonts w:ascii="Arial" w:hAnsi="Arial" w:cs="Arial"/>
          <w:sz w:val="22"/>
          <w:szCs w:val="22"/>
        </w:rPr>
        <w:t>Administrative Practice, Record Keeping and Information Governance</w:t>
      </w:r>
      <w:bookmarkEnd w:id="3"/>
      <w:r w:rsidRPr="007B0ED6">
        <w:rPr>
          <w:rFonts w:ascii="Arial" w:hAnsi="Arial" w:cs="Arial"/>
          <w:sz w:val="22"/>
          <w:szCs w:val="22"/>
        </w:rPr>
        <w:t xml:space="preserve"> </w:t>
      </w:r>
    </w:p>
    <w:p w14:paraId="19200339" w14:textId="77777777" w:rsidR="003F5718" w:rsidRPr="007B0ED6" w:rsidRDefault="003F5718" w:rsidP="003F5718">
      <w:pPr>
        <w:rPr>
          <w:rFonts w:ascii="Arial" w:hAnsi="Arial" w:cs="Arial"/>
          <w:sz w:val="22"/>
        </w:rPr>
      </w:pPr>
      <w:r w:rsidRPr="007B0ED6">
        <w:rPr>
          <w:rFonts w:ascii="Arial" w:hAnsi="Arial" w:cs="Arial"/>
          <w:sz w:val="22"/>
        </w:rPr>
        <w:t>Administering practice is an integral part of safe health and social care and not just something to do with paperwork. Documentation is important to patient safety, continuity of care, professional responsibility, protection and legal requirements, and communication between health care professionals. A high quality and effective administration of medicines can facilitate early recognition of deterioration and timely action in Mrs Thompson, especially as several professionals are involved and she has cognitive impairment which makes the risk of medication error greater. Accurate documentation of missed medication or behavioural changes could be jeopardized if it is not documented in an accurate manner, which may impact clinical judgement and/or responses to safeguarding concerns</w:t>
      </w:r>
      <w:r w:rsidR="003D5039" w:rsidRPr="003D5039">
        <w:t xml:space="preserve"> </w:t>
      </w:r>
      <w:r w:rsidR="003D5039" w:rsidRPr="003D5039">
        <w:rPr>
          <w:rFonts w:ascii="Arial" w:hAnsi="Arial" w:cs="Arial"/>
          <w:sz w:val="22"/>
        </w:rPr>
        <w:t>(NICE, 2018)</w:t>
      </w:r>
      <w:r w:rsidRPr="007B0ED6">
        <w:rPr>
          <w:rFonts w:ascii="Arial" w:hAnsi="Arial" w:cs="Arial"/>
          <w:sz w:val="22"/>
        </w:rPr>
        <w:t>.</w:t>
      </w:r>
    </w:p>
    <w:p w14:paraId="7C28643D" w14:textId="77777777" w:rsidR="003D5039" w:rsidRDefault="003F5718" w:rsidP="003D5039">
      <w:pPr>
        <w:ind w:firstLine="720"/>
        <w:rPr>
          <w:rFonts w:ascii="Arial" w:hAnsi="Arial" w:cs="Arial"/>
          <w:sz w:val="22"/>
        </w:rPr>
      </w:pPr>
      <w:r w:rsidRPr="007B0ED6">
        <w:rPr>
          <w:rFonts w:ascii="Arial" w:hAnsi="Arial" w:cs="Arial"/>
          <w:sz w:val="22"/>
        </w:rPr>
        <w:t>These should include daily care notes, medication administration records (MAR), missed-medication details, incident details, hospital discharge information, medication review requests, care plans, risk assessments, safeguarding information, consent information and mental capacity assessments, professional communication and documented review outcomes. The basic rules of good record keeping are that it must be factual, accurate, contemporised, dated, and be made with no subjective/judgemental words. In Mrs Thompson's case, the documentation of the missed two doses, the confusion, and the notification of the professionals, should be recorded, the immediate actions should be taken and the result of any medical review should be recorded – all this should be documented in a way that allows for an auditable record which supports continuity of care</w:t>
      </w:r>
      <w:r w:rsidR="003D5039" w:rsidRPr="003D5039">
        <w:t xml:space="preserve"> </w:t>
      </w:r>
      <w:r w:rsidR="003D5039" w:rsidRPr="003D5039">
        <w:rPr>
          <w:rFonts w:ascii="Arial" w:hAnsi="Arial" w:cs="Arial"/>
          <w:sz w:val="22"/>
        </w:rPr>
        <w:t>(NICE, 2014)</w:t>
      </w:r>
      <w:r w:rsidRPr="007B0ED6">
        <w:rPr>
          <w:rFonts w:ascii="Arial" w:hAnsi="Arial" w:cs="Arial"/>
          <w:sz w:val="22"/>
        </w:rPr>
        <w:t>.</w:t>
      </w:r>
    </w:p>
    <w:p w14:paraId="349A83C1" w14:textId="77777777" w:rsidR="003D5039" w:rsidRDefault="003F5718" w:rsidP="003D5039">
      <w:pPr>
        <w:ind w:firstLine="720"/>
        <w:rPr>
          <w:rFonts w:ascii="Arial" w:hAnsi="Arial" w:cs="Arial"/>
          <w:sz w:val="22"/>
        </w:rPr>
      </w:pPr>
      <w:r w:rsidRPr="007B0ED6">
        <w:rPr>
          <w:rFonts w:ascii="Arial" w:hAnsi="Arial" w:cs="Arial"/>
          <w:sz w:val="22"/>
        </w:rPr>
        <w:lastRenderedPageBreak/>
        <w:t>The MAR chart is an important risk-management tool as it documents drugs given, refused and omitted, and the reasons for non-administration, as well as the signatures of staff and actions taken. But documentation is not enough to avoid harm caused by medication. If a child has a repeated absence, the reasons should be explored, such as lack of memory of the child and/or poor support or confusing professional roles. Mrs Thompson should therefore undergo a medication review, consideration of a monitored dosage system, reminder technology (where appropriate) and additional supervision and escalation if necessary in order to reduce future risks</w:t>
      </w:r>
      <w:r w:rsidR="003D5039" w:rsidRPr="003D5039">
        <w:t xml:space="preserve"> </w:t>
      </w:r>
      <w:r w:rsidR="003D5039" w:rsidRPr="003D5039">
        <w:rPr>
          <w:rFonts w:ascii="Arial" w:hAnsi="Arial" w:cs="Arial"/>
          <w:sz w:val="22"/>
        </w:rPr>
        <w:t>(CQC, 2022)</w:t>
      </w:r>
      <w:r w:rsidR="003D5039">
        <w:rPr>
          <w:rFonts w:ascii="Arial" w:hAnsi="Arial" w:cs="Arial"/>
          <w:sz w:val="22"/>
        </w:rPr>
        <w:t>.</w:t>
      </w:r>
    </w:p>
    <w:p w14:paraId="26BD45E0" w14:textId="77777777" w:rsidR="003F5718" w:rsidRPr="007B0ED6" w:rsidRDefault="003F5718" w:rsidP="003D5039">
      <w:pPr>
        <w:ind w:firstLine="720"/>
        <w:rPr>
          <w:rFonts w:ascii="Arial" w:hAnsi="Arial" w:cs="Arial"/>
          <w:sz w:val="22"/>
        </w:rPr>
      </w:pPr>
      <w:r w:rsidRPr="007B0ED6">
        <w:rPr>
          <w:rFonts w:ascii="Arial" w:hAnsi="Arial" w:cs="Arial"/>
          <w:sz w:val="22"/>
        </w:rPr>
        <w:t>The Data Protection Act 2018 and UK GDPR demand the processing of personal data to be lawful, fair and transparent with purpose limitation, minimizing data, keeping data accurate, secure storage, and accountability. Sensitive information should therefore be recorded only for the purposes of Mrs Thompson's care and can only be seen and accessed by those authorised to do so via a secure system. But there are exceptions to this; it is acceptable to share proportionate information when there is a concern for safeguarding. Additionally, the Care Act 2014, Mental Capacity Act 2005, Caldicott Principles and CQC Fundamental Standards all help to reinforce person-centred assessment, capacity evaluation (specifically for each decision), justified information sharing and safe governance, all of which will assist in delivering lawful, coordinated and high quality Care for Mrs Thompson</w:t>
      </w:r>
      <w:r w:rsidR="003D5039" w:rsidRPr="003D5039">
        <w:t xml:space="preserve"> </w:t>
      </w:r>
      <w:r w:rsidR="003D5039" w:rsidRPr="003D5039">
        <w:rPr>
          <w:rFonts w:ascii="Arial" w:hAnsi="Arial" w:cs="Arial"/>
          <w:sz w:val="22"/>
        </w:rPr>
        <w:t>(NICE.uk, 2018)</w:t>
      </w:r>
      <w:r w:rsidRPr="007B0ED6">
        <w:rPr>
          <w:rFonts w:ascii="Arial" w:hAnsi="Arial" w:cs="Arial"/>
          <w:sz w:val="22"/>
        </w:rPr>
        <w:t>.</w:t>
      </w:r>
    </w:p>
    <w:p w14:paraId="462E7625" w14:textId="77777777" w:rsidR="003F5718" w:rsidRPr="007B0ED6" w:rsidRDefault="003F5718" w:rsidP="003F5718">
      <w:pPr>
        <w:rPr>
          <w:rFonts w:ascii="Arial" w:hAnsi="Arial" w:cs="Arial"/>
          <w:sz w:val="22"/>
        </w:rPr>
      </w:pPr>
    </w:p>
    <w:p w14:paraId="7F774620" w14:textId="77777777" w:rsidR="003F5718" w:rsidRPr="007B0ED6" w:rsidRDefault="003F5718" w:rsidP="003F5718">
      <w:pPr>
        <w:pStyle w:val="Heading1"/>
        <w:rPr>
          <w:rFonts w:ascii="Arial" w:hAnsi="Arial" w:cs="Arial"/>
          <w:sz w:val="22"/>
          <w:szCs w:val="22"/>
        </w:rPr>
      </w:pPr>
      <w:bookmarkStart w:id="4" w:name="_Toc235537087"/>
      <w:r w:rsidRPr="007B0ED6">
        <w:rPr>
          <w:rFonts w:ascii="Arial" w:hAnsi="Arial" w:cs="Arial"/>
          <w:sz w:val="22"/>
          <w:szCs w:val="22"/>
        </w:rPr>
        <w:t>Collaborative and Multi-Agency Working</w:t>
      </w:r>
      <w:bookmarkEnd w:id="4"/>
      <w:r w:rsidRPr="007B0ED6">
        <w:rPr>
          <w:rFonts w:ascii="Arial" w:hAnsi="Arial" w:cs="Arial"/>
          <w:sz w:val="22"/>
          <w:szCs w:val="22"/>
        </w:rPr>
        <w:t xml:space="preserve"> </w:t>
      </w:r>
    </w:p>
    <w:p w14:paraId="1DCA2DEB" w14:textId="77777777" w:rsidR="003F5718" w:rsidRPr="007B0ED6" w:rsidRDefault="003F5718" w:rsidP="003F5718">
      <w:pPr>
        <w:rPr>
          <w:rFonts w:ascii="Arial" w:hAnsi="Arial" w:cs="Arial"/>
          <w:sz w:val="22"/>
        </w:rPr>
      </w:pPr>
      <w:r w:rsidRPr="007B0ED6">
        <w:rPr>
          <w:rFonts w:ascii="Arial" w:hAnsi="Arial" w:cs="Arial"/>
          <w:sz w:val="22"/>
        </w:rPr>
        <w:t>Healthcare, social care and community services need to work cooperatively to provide effective management of Mrs Thompson's complex needs. The multidisciplinary team should comprise the GP, community nurse, domiciliary care workers, pharmacist, social worker, occupational therapist, staff working in sheltered housing, dementia specialists and, if applicable, family members or an advocate</w:t>
      </w:r>
      <w:r w:rsidR="003D5039" w:rsidRPr="003D5039">
        <w:t xml:space="preserve"> </w:t>
      </w:r>
      <w:r w:rsidR="003D5039" w:rsidRPr="003D5039">
        <w:rPr>
          <w:rFonts w:ascii="Arial" w:hAnsi="Arial" w:cs="Arial"/>
          <w:sz w:val="22"/>
        </w:rPr>
        <w:t>(NICE, 2015)</w:t>
      </w:r>
      <w:r w:rsidRPr="007B0ED6">
        <w:rPr>
          <w:rFonts w:ascii="Arial" w:hAnsi="Arial" w:cs="Arial"/>
          <w:sz w:val="22"/>
        </w:rPr>
        <w:t>. They have each brought their own skills to the table, the GP brings their expertise in medication and investigations for medical causes of confusion, the community nurse brings expertise in monitoring recovery from pneumonia, domiciliary carers bring expertise in day-to-day functioning, the pharmacist brings expertise in supporting medicines optimisation, social care practitioners bring expertise in coordinating safeguarding and support planning and occupational therapists bring an expertise in assessing day to day environment and what risks may contribute to falls or wandering</w:t>
      </w:r>
      <w:r w:rsidR="003D5039" w:rsidRPr="003D5039">
        <w:t xml:space="preserve"> </w:t>
      </w:r>
      <w:r w:rsidR="003D5039" w:rsidRPr="003D5039">
        <w:rPr>
          <w:rFonts w:ascii="Arial" w:hAnsi="Arial" w:cs="Arial"/>
          <w:sz w:val="22"/>
        </w:rPr>
        <w:t>(National Institute for Health and Care Excellence, 2018)</w:t>
      </w:r>
      <w:r w:rsidRPr="007B0ED6">
        <w:rPr>
          <w:rFonts w:ascii="Arial" w:hAnsi="Arial" w:cs="Arial"/>
          <w:sz w:val="22"/>
        </w:rPr>
        <w:t>.</w:t>
      </w:r>
    </w:p>
    <w:p w14:paraId="7050403F" w14:textId="77777777" w:rsidR="003D5039" w:rsidRDefault="003F5718" w:rsidP="003D5039">
      <w:pPr>
        <w:ind w:firstLine="720"/>
        <w:rPr>
          <w:rFonts w:ascii="Arial" w:hAnsi="Arial" w:cs="Arial"/>
          <w:sz w:val="22"/>
        </w:rPr>
      </w:pPr>
      <w:r w:rsidRPr="007B0ED6">
        <w:rPr>
          <w:rFonts w:ascii="Arial" w:hAnsi="Arial" w:cs="Arial"/>
          <w:sz w:val="22"/>
        </w:rPr>
        <w:t xml:space="preserve">Through collaborative working, it leads to better continuity of care, fewer gaps and opportunities for duplication of effort, earlier detection of deterioration, better management of </w:t>
      </w:r>
      <w:r w:rsidRPr="007B0ED6">
        <w:rPr>
          <w:rFonts w:ascii="Arial" w:hAnsi="Arial" w:cs="Arial"/>
          <w:sz w:val="22"/>
        </w:rPr>
        <w:lastRenderedPageBreak/>
        <w:t>medicines and enhanced safeguarding, through shared decision making and integrated care planning. Effective collaboration requires, however, that the value of observations by all professionals be recognised. Domiciliary carers have the longest time with Mrs Thompson and may notice changes before clinical signs of deterioration are apparent and the GP will be the medical leader. Combined, these complementary viewpoints help to inform better decisions</w:t>
      </w:r>
      <w:r w:rsidR="003D5039" w:rsidRPr="003D5039">
        <w:t xml:space="preserve"> </w:t>
      </w:r>
      <w:r w:rsidR="003D5039" w:rsidRPr="003D5039">
        <w:rPr>
          <w:rFonts w:ascii="Arial" w:hAnsi="Arial" w:cs="Arial"/>
          <w:sz w:val="22"/>
        </w:rPr>
        <w:t>(NICE, 2019)</w:t>
      </w:r>
      <w:r w:rsidRPr="007B0ED6">
        <w:rPr>
          <w:rFonts w:ascii="Arial" w:hAnsi="Arial" w:cs="Arial"/>
          <w:sz w:val="22"/>
        </w:rPr>
        <w:t>.</w:t>
      </w:r>
    </w:p>
    <w:p w14:paraId="51BDB3B6" w14:textId="77777777" w:rsidR="003F5718" w:rsidRPr="007B0ED6" w:rsidRDefault="003F5718" w:rsidP="003D5039">
      <w:pPr>
        <w:ind w:firstLine="720"/>
        <w:rPr>
          <w:rFonts w:ascii="Arial" w:hAnsi="Arial" w:cs="Arial"/>
          <w:sz w:val="22"/>
        </w:rPr>
      </w:pPr>
      <w:r w:rsidRPr="007B0ED6">
        <w:rPr>
          <w:rFonts w:ascii="Arial" w:hAnsi="Arial" w:cs="Arial"/>
          <w:sz w:val="22"/>
        </w:rPr>
        <w:t>However, shortcomings in information sharing, lack of interoperability between electronic systems, poor collaboration among professionals and staffing shortages can slow down response. If, for instance, the missed medication is not recorded and then immediately reported to the GP and community nurse then the usefulness of the record is reduced. Appointing a named care coordinator, conducting frequent multidisciplinary reviews, having a shared person-centred care plan, ensuring the use of secure information-sharing systems and establishing clear procedures for escalation, therefore, are essential</w:t>
      </w:r>
      <w:r w:rsidR="003D5039" w:rsidRPr="003D5039">
        <w:t xml:space="preserve"> </w:t>
      </w:r>
      <w:r w:rsidR="003D5039" w:rsidRPr="003D5039">
        <w:rPr>
          <w:rFonts w:ascii="Arial" w:hAnsi="Arial" w:cs="Arial"/>
          <w:sz w:val="22"/>
        </w:rPr>
        <w:t>(NHS, 2022)</w:t>
      </w:r>
      <w:r w:rsidRPr="007B0ED6">
        <w:rPr>
          <w:rFonts w:ascii="Arial" w:hAnsi="Arial" w:cs="Arial"/>
          <w:sz w:val="22"/>
        </w:rPr>
        <w:t>. Co-operation should therefore be assessed on how information is acted on in a timely manner to improve Mrs Thompson's safety and independence, and quality of care, and not on the number of professionals.</w:t>
      </w:r>
    </w:p>
    <w:p w14:paraId="75A42C7F" w14:textId="77777777" w:rsidR="003F5718" w:rsidRPr="007B0ED6" w:rsidRDefault="003F5718" w:rsidP="003F5718">
      <w:pPr>
        <w:rPr>
          <w:rFonts w:ascii="Arial" w:hAnsi="Arial" w:cs="Arial"/>
          <w:sz w:val="22"/>
        </w:rPr>
      </w:pPr>
    </w:p>
    <w:p w14:paraId="364C0D1B" w14:textId="77777777" w:rsidR="003F5718" w:rsidRPr="007B0ED6" w:rsidRDefault="003F5718" w:rsidP="003F5718">
      <w:pPr>
        <w:pStyle w:val="Heading1"/>
        <w:rPr>
          <w:rFonts w:ascii="Arial" w:hAnsi="Arial" w:cs="Arial"/>
          <w:sz w:val="22"/>
          <w:szCs w:val="22"/>
        </w:rPr>
      </w:pPr>
      <w:bookmarkStart w:id="5" w:name="_Toc235537088"/>
      <w:r w:rsidRPr="007B0ED6">
        <w:rPr>
          <w:rFonts w:ascii="Arial" w:hAnsi="Arial" w:cs="Arial"/>
          <w:sz w:val="22"/>
          <w:szCs w:val="22"/>
        </w:rPr>
        <w:t>Conclusion</w:t>
      </w:r>
      <w:bookmarkEnd w:id="5"/>
      <w:r w:rsidRPr="007B0ED6">
        <w:rPr>
          <w:rFonts w:ascii="Arial" w:hAnsi="Arial" w:cs="Arial"/>
          <w:sz w:val="22"/>
          <w:szCs w:val="22"/>
        </w:rPr>
        <w:t xml:space="preserve"> </w:t>
      </w:r>
    </w:p>
    <w:p w14:paraId="1E9FA026" w14:textId="77777777" w:rsidR="003F5718" w:rsidRPr="007B0ED6" w:rsidRDefault="003F5718" w:rsidP="003F5718">
      <w:pPr>
        <w:rPr>
          <w:rFonts w:ascii="Arial" w:hAnsi="Arial" w:cs="Arial"/>
          <w:sz w:val="22"/>
        </w:rPr>
      </w:pPr>
      <w:r w:rsidRPr="007B0ED6">
        <w:rPr>
          <w:rFonts w:ascii="Arial" w:hAnsi="Arial" w:cs="Arial"/>
          <w:sz w:val="22"/>
        </w:rPr>
        <w:t>In Mrs Thompson's case, effective communication, accurate documentation and collaborative working are essential aspects of safe, person centred working. Communication techniques need to take into account the need to check understanding when there is dementia or a changing level of confusion, and the need for feedback and clarification of messages when using Argyle's Communication Cycle. The Equality Act 2010 calls for reasonable adjustments that will ensure that everyone has equal access without discrimination. The Data Protection Act 2018 aids in ensuring the safety of medications, accountability and information governance. In addition, coordinated decision making is provided for by the Care Act 2014, Mental Capacity Act 2005 and the safeguarding principles. She has a number of needs and the current care arrangements are not being provided by a single professional and should be considered as having the potential for improving the safety, independence and continuity of care to Mrs Thompson.</w:t>
      </w:r>
    </w:p>
    <w:p w14:paraId="6CCF9563" w14:textId="77777777" w:rsidR="0074789A" w:rsidRDefault="00E61475" w:rsidP="00073CCE">
      <w:pPr>
        <w:pStyle w:val="Heading1"/>
        <w:ind w:left="0" w:firstLine="0"/>
        <w:rPr>
          <w:rFonts w:ascii="Arial" w:hAnsi="Arial" w:cs="Arial"/>
          <w:sz w:val="22"/>
          <w:szCs w:val="22"/>
        </w:rPr>
      </w:pPr>
      <w:r w:rsidRPr="007B0ED6">
        <w:rPr>
          <w:rFonts w:ascii="Arial" w:hAnsi="Arial" w:cs="Arial"/>
          <w:sz w:val="22"/>
          <w:szCs w:val="22"/>
        </w:rPr>
        <w:br w:type="page"/>
      </w:r>
      <w:bookmarkStart w:id="6" w:name="_Toc235537089"/>
      <w:r w:rsidR="0082293E" w:rsidRPr="007B0ED6">
        <w:rPr>
          <w:rFonts w:ascii="Arial" w:hAnsi="Arial" w:cs="Arial"/>
          <w:sz w:val="22"/>
          <w:szCs w:val="22"/>
        </w:rPr>
        <w:lastRenderedPageBreak/>
        <w:t>R</w:t>
      </w:r>
      <w:r w:rsidR="003F5718" w:rsidRPr="007B0ED6">
        <w:rPr>
          <w:rFonts w:ascii="Arial" w:hAnsi="Arial" w:cs="Arial"/>
          <w:sz w:val="22"/>
          <w:szCs w:val="22"/>
        </w:rPr>
        <w:t>eferences</w:t>
      </w:r>
      <w:bookmarkEnd w:id="6"/>
    </w:p>
    <w:p w14:paraId="72A2F105"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CQC (2022). </w:t>
      </w:r>
      <w:r>
        <w:rPr>
          <w:rFonts w:ascii="Arial" w:hAnsi="Arial" w:cs="Arial"/>
          <w:i/>
          <w:iCs/>
          <w:sz w:val="22"/>
          <w:szCs w:val="22"/>
        </w:rPr>
        <w:t>Medicines administration records in Adult social care | care quality commission</w:t>
      </w:r>
      <w:r>
        <w:rPr>
          <w:rFonts w:ascii="Arial" w:hAnsi="Arial" w:cs="Arial"/>
          <w:sz w:val="22"/>
          <w:szCs w:val="22"/>
        </w:rPr>
        <w:t xml:space="preserve">. [online] </w:t>
      </w:r>
      <w:r>
        <w:rPr>
          <w:rFonts w:ascii="Arial" w:hAnsi="Arial" w:cs="Arial"/>
          <w:i/>
          <w:iCs/>
          <w:sz w:val="22"/>
          <w:szCs w:val="22"/>
        </w:rPr>
        <w:t>www.cqc.org.uk</w:t>
      </w:r>
      <w:r>
        <w:rPr>
          <w:rFonts w:ascii="Arial" w:hAnsi="Arial" w:cs="Arial"/>
          <w:sz w:val="22"/>
          <w:szCs w:val="22"/>
        </w:rPr>
        <w:t xml:space="preserve">. Available at: </w:t>
      </w:r>
      <w:hyperlink r:id="rId8" w:history="1">
        <w:r w:rsidRPr="007C2362">
          <w:rPr>
            <w:rStyle w:val="Hyperlink"/>
            <w:rFonts w:ascii="Arial" w:hAnsi="Arial" w:cs="Arial"/>
            <w:sz w:val="22"/>
            <w:szCs w:val="22"/>
            <w:lang w:val="en-GB" w:eastAsia="ar-SA" w:bidi="ar-SA"/>
          </w:rPr>
          <w:t>https://www.cqc.org.uk/guidance-providers/adult-social-care/medicines-administration-records-adult-social-care</w:t>
        </w:r>
      </w:hyperlink>
    </w:p>
    <w:p w14:paraId="700548F8"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National Institute for Health and Care Excellence (2018). </w:t>
      </w:r>
      <w:r>
        <w:rPr>
          <w:rFonts w:ascii="Arial" w:hAnsi="Arial" w:cs="Arial"/>
          <w:i/>
          <w:iCs/>
          <w:sz w:val="22"/>
          <w:szCs w:val="22"/>
        </w:rPr>
        <w:t>Recommendations | dementia: Assessment, management and support for People living with dementia and their carers | guidance | NICE</w:t>
      </w:r>
      <w:r>
        <w:rPr>
          <w:rFonts w:ascii="Arial" w:hAnsi="Arial" w:cs="Arial"/>
          <w:sz w:val="22"/>
          <w:szCs w:val="22"/>
        </w:rPr>
        <w:t xml:space="preserve">. [online] </w:t>
      </w:r>
      <w:r>
        <w:rPr>
          <w:rFonts w:ascii="Arial" w:hAnsi="Arial" w:cs="Arial"/>
          <w:i/>
          <w:iCs/>
          <w:sz w:val="22"/>
          <w:szCs w:val="22"/>
        </w:rPr>
        <w:t>Nice.org.uk</w:t>
      </w:r>
      <w:r>
        <w:rPr>
          <w:rFonts w:ascii="Arial" w:hAnsi="Arial" w:cs="Arial"/>
          <w:sz w:val="22"/>
          <w:szCs w:val="22"/>
        </w:rPr>
        <w:t xml:space="preserve">. NICE. Available at: </w:t>
      </w:r>
      <w:hyperlink r:id="rId9" w:history="1">
        <w:r w:rsidRPr="007C2362">
          <w:rPr>
            <w:rStyle w:val="Hyperlink"/>
            <w:rFonts w:ascii="Arial" w:hAnsi="Arial" w:cs="Arial"/>
            <w:sz w:val="22"/>
            <w:szCs w:val="22"/>
            <w:lang w:val="en-GB" w:eastAsia="ar-SA" w:bidi="ar-SA"/>
          </w:rPr>
          <w:t>https://www.nice.org.uk/guidance/ng97/chapter/Recommendations</w:t>
        </w:r>
      </w:hyperlink>
    </w:p>
    <w:p w14:paraId="15CD518D"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NHS (2022). </w:t>
      </w:r>
      <w:r>
        <w:rPr>
          <w:rFonts w:ascii="Arial" w:hAnsi="Arial" w:cs="Arial"/>
          <w:i/>
          <w:iCs/>
          <w:sz w:val="22"/>
          <w:szCs w:val="22"/>
        </w:rPr>
        <w:t>Information sharing in multidisciplinary teams</w:t>
      </w:r>
      <w:r>
        <w:rPr>
          <w:rFonts w:ascii="Arial" w:hAnsi="Arial" w:cs="Arial"/>
          <w:sz w:val="22"/>
          <w:szCs w:val="22"/>
        </w:rPr>
        <w:t xml:space="preserve">. [online] Available at: </w:t>
      </w:r>
      <w:hyperlink r:id="rId10" w:history="1">
        <w:r w:rsidRPr="007C2362">
          <w:rPr>
            <w:rStyle w:val="Hyperlink"/>
            <w:rFonts w:ascii="Arial" w:hAnsi="Arial" w:cs="Arial"/>
            <w:sz w:val="22"/>
            <w:szCs w:val="22"/>
            <w:lang w:val="en-GB" w:eastAsia="ar-SA" w:bidi="ar-SA"/>
          </w:rPr>
          <w:t>https://digital.nhs.uk/data-and-information/information-governance/guidance/information-sharing-in-multidisciplinary-teams</w:t>
        </w:r>
      </w:hyperlink>
      <w:r>
        <w:rPr>
          <w:rFonts w:ascii="Arial" w:hAnsi="Arial" w:cs="Arial"/>
          <w:sz w:val="22"/>
          <w:szCs w:val="22"/>
        </w:rPr>
        <w:t>.</w:t>
      </w:r>
    </w:p>
    <w:p w14:paraId="00BE40A7"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NHS (2023). </w:t>
      </w:r>
      <w:r>
        <w:rPr>
          <w:rFonts w:ascii="Arial" w:hAnsi="Arial" w:cs="Arial"/>
          <w:i/>
          <w:iCs/>
          <w:sz w:val="22"/>
          <w:szCs w:val="22"/>
        </w:rPr>
        <w:t>Communicating with someone with dementia</w:t>
      </w:r>
      <w:r>
        <w:rPr>
          <w:rFonts w:ascii="Arial" w:hAnsi="Arial" w:cs="Arial"/>
          <w:sz w:val="22"/>
          <w:szCs w:val="22"/>
        </w:rPr>
        <w:t xml:space="preserve">. [online] </w:t>
      </w:r>
      <w:r>
        <w:rPr>
          <w:rFonts w:ascii="Arial" w:hAnsi="Arial" w:cs="Arial"/>
          <w:i/>
          <w:iCs/>
          <w:sz w:val="22"/>
          <w:szCs w:val="22"/>
        </w:rPr>
        <w:t>NHS</w:t>
      </w:r>
      <w:r>
        <w:rPr>
          <w:rFonts w:ascii="Arial" w:hAnsi="Arial" w:cs="Arial"/>
          <w:sz w:val="22"/>
          <w:szCs w:val="22"/>
        </w:rPr>
        <w:t xml:space="preserve">. Available at: </w:t>
      </w:r>
      <w:hyperlink r:id="rId11" w:history="1">
        <w:r w:rsidRPr="007C2362">
          <w:rPr>
            <w:rStyle w:val="Hyperlink"/>
            <w:rFonts w:ascii="Arial" w:hAnsi="Arial" w:cs="Arial"/>
            <w:sz w:val="22"/>
            <w:szCs w:val="22"/>
            <w:lang w:val="en-GB" w:eastAsia="ar-SA" w:bidi="ar-SA"/>
          </w:rPr>
          <w:t>https://www.nhs.uk/conditions/dementia/living-with-dementia/communication/</w:t>
        </w:r>
      </w:hyperlink>
    </w:p>
    <w:p w14:paraId="1DC30383"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NHS England (2026). </w:t>
      </w:r>
      <w:r>
        <w:rPr>
          <w:rFonts w:ascii="Arial" w:hAnsi="Arial" w:cs="Arial"/>
          <w:i/>
          <w:iCs/>
          <w:sz w:val="22"/>
          <w:szCs w:val="22"/>
        </w:rPr>
        <w:t>NHS England » reasonable adjustments</w:t>
      </w:r>
      <w:r>
        <w:rPr>
          <w:rFonts w:ascii="Arial" w:hAnsi="Arial" w:cs="Arial"/>
          <w:sz w:val="22"/>
          <w:szCs w:val="22"/>
        </w:rPr>
        <w:t xml:space="preserve">. [online] </w:t>
      </w:r>
      <w:r>
        <w:rPr>
          <w:rFonts w:ascii="Arial" w:hAnsi="Arial" w:cs="Arial"/>
          <w:i/>
          <w:iCs/>
          <w:sz w:val="22"/>
          <w:szCs w:val="22"/>
        </w:rPr>
        <w:t>England.nhs.uk</w:t>
      </w:r>
      <w:r>
        <w:rPr>
          <w:rFonts w:ascii="Arial" w:hAnsi="Arial" w:cs="Arial"/>
          <w:sz w:val="22"/>
          <w:szCs w:val="22"/>
        </w:rPr>
        <w:t xml:space="preserve">. Available at: </w:t>
      </w:r>
      <w:hyperlink r:id="rId12" w:history="1">
        <w:r w:rsidRPr="007C2362">
          <w:rPr>
            <w:rStyle w:val="Hyperlink"/>
            <w:rFonts w:ascii="Arial" w:hAnsi="Arial" w:cs="Arial"/>
            <w:sz w:val="22"/>
            <w:szCs w:val="22"/>
            <w:lang w:val="en-GB" w:eastAsia="ar-SA" w:bidi="ar-SA"/>
          </w:rPr>
          <w:t>https://www.england.nhs.uk/learning-disabilities/improving-health/reasonable-adjustments/?ContensisTextOnly=true</w:t>
        </w:r>
      </w:hyperlink>
    </w:p>
    <w:p w14:paraId="5D6A7EF2"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NICE (2014). </w:t>
      </w:r>
      <w:r>
        <w:rPr>
          <w:rFonts w:ascii="Arial" w:hAnsi="Arial" w:cs="Arial"/>
          <w:i/>
          <w:iCs/>
          <w:sz w:val="22"/>
          <w:szCs w:val="22"/>
        </w:rPr>
        <w:t>Keeping records | information for the public | managing medicines in care homes | guidance | nice</w:t>
      </w:r>
      <w:r>
        <w:rPr>
          <w:rFonts w:ascii="Arial" w:hAnsi="Arial" w:cs="Arial"/>
          <w:sz w:val="22"/>
          <w:szCs w:val="22"/>
        </w:rPr>
        <w:t xml:space="preserve">. [online] </w:t>
      </w:r>
      <w:r>
        <w:rPr>
          <w:rFonts w:ascii="Arial" w:hAnsi="Arial" w:cs="Arial"/>
          <w:i/>
          <w:iCs/>
          <w:sz w:val="22"/>
          <w:szCs w:val="22"/>
        </w:rPr>
        <w:t>www.nice.org.uk</w:t>
      </w:r>
      <w:r>
        <w:rPr>
          <w:rFonts w:ascii="Arial" w:hAnsi="Arial" w:cs="Arial"/>
          <w:sz w:val="22"/>
          <w:szCs w:val="22"/>
        </w:rPr>
        <w:t xml:space="preserve">. Available at: </w:t>
      </w:r>
      <w:hyperlink r:id="rId13" w:history="1">
        <w:r w:rsidRPr="007C2362">
          <w:rPr>
            <w:rStyle w:val="Hyperlink"/>
            <w:rFonts w:ascii="Arial" w:hAnsi="Arial" w:cs="Arial"/>
            <w:sz w:val="22"/>
            <w:szCs w:val="22"/>
            <w:lang w:val="en-GB" w:eastAsia="ar-SA" w:bidi="ar-SA"/>
          </w:rPr>
          <w:t>https://www.nice.org.uk/guidance/sc1/ifp/chapter/Keeping-records</w:t>
        </w:r>
      </w:hyperlink>
    </w:p>
    <w:p w14:paraId="599504C2"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NICE (2015). </w:t>
      </w:r>
      <w:r>
        <w:rPr>
          <w:rFonts w:ascii="Arial" w:hAnsi="Arial" w:cs="Arial"/>
          <w:i/>
          <w:iCs/>
          <w:sz w:val="22"/>
          <w:szCs w:val="22"/>
        </w:rPr>
        <w:t>Overview | medicines optimisation: The safe and effective use of Medicines to enable the best possible outcomes | guidance | NICE</w:t>
      </w:r>
      <w:r>
        <w:rPr>
          <w:rFonts w:ascii="Arial" w:hAnsi="Arial" w:cs="Arial"/>
          <w:sz w:val="22"/>
          <w:szCs w:val="22"/>
        </w:rPr>
        <w:t xml:space="preserve">. [online] </w:t>
      </w:r>
      <w:r>
        <w:rPr>
          <w:rFonts w:ascii="Arial" w:hAnsi="Arial" w:cs="Arial"/>
          <w:i/>
          <w:iCs/>
          <w:sz w:val="22"/>
          <w:szCs w:val="22"/>
        </w:rPr>
        <w:t>Nice.org.uk</w:t>
      </w:r>
      <w:r>
        <w:rPr>
          <w:rFonts w:ascii="Arial" w:hAnsi="Arial" w:cs="Arial"/>
          <w:sz w:val="22"/>
          <w:szCs w:val="22"/>
        </w:rPr>
        <w:t xml:space="preserve">. NICE. Available at: </w:t>
      </w:r>
      <w:hyperlink r:id="rId14" w:history="1">
        <w:r w:rsidRPr="007C2362">
          <w:rPr>
            <w:rStyle w:val="Hyperlink"/>
            <w:rFonts w:ascii="Arial" w:hAnsi="Arial" w:cs="Arial"/>
            <w:sz w:val="22"/>
            <w:szCs w:val="22"/>
            <w:lang w:val="en-GB" w:eastAsia="ar-SA" w:bidi="ar-SA"/>
          </w:rPr>
          <w:t>https://www.nice.org.uk/guidance/NG5</w:t>
        </w:r>
      </w:hyperlink>
    </w:p>
    <w:p w14:paraId="44E46BDB"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NICE (2018). </w:t>
      </w:r>
      <w:r>
        <w:rPr>
          <w:rFonts w:ascii="Arial" w:hAnsi="Arial" w:cs="Arial"/>
          <w:i/>
          <w:iCs/>
          <w:sz w:val="22"/>
          <w:szCs w:val="22"/>
        </w:rPr>
        <w:t>Medicines management for people receiving social care in the community</w:t>
      </w:r>
      <w:r>
        <w:rPr>
          <w:rFonts w:ascii="Arial" w:hAnsi="Arial" w:cs="Arial"/>
          <w:sz w:val="22"/>
          <w:szCs w:val="22"/>
        </w:rPr>
        <w:t xml:space="preserve">. [online] Available at: </w:t>
      </w:r>
      <w:hyperlink r:id="rId15" w:history="1">
        <w:r w:rsidRPr="007C2362">
          <w:rPr>
            <w:rStyle w:val="Hyperlink"/>
            <w:rFonts w:ascii="Arial" w:hAnsi="Arial" w:cs="Arial"/>
            <w:sz w:val="22"/>
            <w:szCs w:val="22"/>
            <w:lang w:val="en-GB" w:eastAsia="ar-SA" w:bidi="ar-SA"/>
          </w:rPr>
          <w:t>https://www.nice.org.uk/guidance/qs171/chapter/quality-statement-3-recording-medicine-support-needs</w:t>
        </w:r>
      </w:hyperlink>
      <w:r>
        <w:rPr>
          <w:rFonts w:ascii="Arial" w:hAnsi="Arial" w:cs="Arial"/>
          <w:sz w:val="22"/>
          <w:szCs w:val="22"/>
        </w:rPr>
        <w:t>.</w:t>
      </w:r>
    </w:p>
    <w:p w14:paraId="0A0A812F"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NICE (2019). </w:t>
      </w:r>
      <w:r>
        <w:rPr>
          <w:rFonts w:ascii="Arial" w:hAnsi="Arial" w:cs="Arial"/>
          <w:i/>
          <w:iCs/>
          <w:sz w:val="22"/>
          <w:szCs w:val="22"/>
        </w:rPr>
        <w:t>Quality statement 4: Coordinating care | dementia | quality standards | nice</w:t>
      </w:r>
      <w:r>
        <w:rPr>
          <w:rFonts w:ascii="Arial" w:hAnsi="Arial" w:cs="Arial"/>
          <w:sz w:val="22"/>
          <w:szCs w:val="22"/>
        </w:rPr>
        <w:t xml:space="preserve">. [online] </w:t>
      </w:r>
      <w:r>
        <w:rPr>
          <w:rFonts w:ascii="Arial" w:hAnsi="Arial" w:cs="Arial"/>
          <w:i/>
          <w:iCs/>
          <w:sz w:val="22"/>
          <w:szCs w:val="22"/>
        </w:rPr>
        <w:t>www.nice.org.uk</w:t>
      </w:r>
      <w:r>
        <w:rPr>
          <w:rFonts w:ascii="Arial" w:hAnsi="Arial" w:cs="Arial"/>
          <w:sz w:val="22"/>
          <w:szCs w:val="22"/>
        </w:rPr>
        <w:t xml:space="preserve">. Available at: </w:t>
      </w:r>
      <w:hyperlink r:id="rId16" w:history="1">
        <w:r w:rsidRPr="007C2362">
          <w:rPr>
            <w:rStyle w:val="Hyperlink"/>
            <w:rFonts w:ascii="Arial" w:hAnsi="Arial" w:cs="Arial"/>
            <w:sz w:val="22"/>
            <w:szCs w:val="22"/>
            <w:lang w:val="en-GB" w:eastAsia="ar-SA" w:bidi="ar-SA"/>
          </w:rPr>
          <w:t>https://www.nice.org.uk/guidance/qs184/chapter/Quality-statement-4-Coordinating-care</w:t>
        </w:r>
      </w:hyperlink>
    </w:p>
    <w:p w14:paraId="500AACA2"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NICE (2021). </w:t>
      </w:r>
      <w:r>
        <w:rPr>
          <w:rFonts w:ascii="Arial" w:hAnsi="Arial" w:cs="Arial"/>
          <w:i/>
          <w:iCs/>
          <w:sz w:val="22"/>
          <w:szCs w:val="22"/>
        </w:rPr>
        <w:t>Recommendations | safeguarding adults in care homes | guidance | nice</w:t>
      </w:r>
      <w:r>
        <w:rPr>
          <w:rFonts w:ascii="Arial" w:hAnsi="Arial" w:cs="Arial"/>
          <w:sz w:val="22"/>
          <w:szCs w:val="22"/>
        </w:rPr>
        <w:t xml:space="preserve">. [online] </w:t>
      </w:r>
      <w:r>
        <w:rPr>
          <w:rFonts w:ascii="Arial" w:hAnsi="Arial" w:cs="Arial"/>
          <w:i/>
          <w:iCs/>
          <w:sz w:val="22"/>
          <w:szCs w:val="22"/>
        </w:rPr>
        <w:t>www.nice.org.uk</w:t>
      </w:r>
      <w:r>
        <w:rPr>
          <w:rFonts w:ascii="Arial" w:hAnsi="Arial" w:cs="Arial"/>
          <w:sz w:val="22"/>
          <w:szCs w:val="22"/>
        </w:rPr>
        <w:t xml:space="preserve">. Available at: </w:t>
      </w:r>
      <w:hyperlink r:id="rId17" w:history="1">
        <w:r w:rsidRPr="007C2362">
          <w:rPr>
            <w:rStyle w:val="Hyperlink"/>
            <w:rFonts w:ascii="Arial" w:hAnsi="Arial" w:cs="Arial"/>
            <w:sz w:val="22"/>
            <w:szCs w:val="22"/>
            <w:lang w:val="en-GB" w:eastAsia="ar-SA" w:bidi="ar-SA"/>
          </w:rPr>
          <w:t>https://www.nice.org.uk/guidance/ng189/chapter/Recommendations</w:t>
        </w:r>
      </w:hyperlink>
    </w:p>
    <w:p w14:paraId="448DA469"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NICE.uk (2018). </w:t>
      </w:r>
      <w:r>
        <w:rPr>
          <w:rFonts w:ascii="Arial" w:hAnsi="Arial" w:cs="Arial"/>
          <w:i/>
          <w:iCs/>
          <w:sz w:val="22"/>
          <w:szCs w:val="22"/>
        </w:rPr>
        <w:t>Recommendations | decision-making and mental capacity | guidance | NICE</w:t>
      </w:r>
      <w:r>
        <w:rPr>
          <w:rFonts w:ascii="Arial" w:hAnsi="Arial" w:cs="Arial"/>
          <w:sz w:val="22"/>
          <w:szCs w:val="22"/>
        </w:rPr>
        <w:t xml:space="preserve">. [online] </w:t>
      </w:r>
      <w:r>
        <w:rPr>
          <w:rFonts w:ascii="Arial" w:hAnsi="Arial" w:cs="Arial"/>
          <w:i/>
          <w:iCs/>
          <w:sz w:val="22"/>
          <w:szCs w:val="22"/>
        </w:rPr>
        <w:t>Nice.org.uk</w:t>
      </w:r>
      <w:r>
        <w:rPr>
          <w:rFonts w:ascii="Arial" w:hAnsi="Arial" w:cs="Arial"/>
          <w:sz w:val="22"/>
          <w:szCs w:val="22"/>
        </w:rPr>
        <w:t xml:space="preserve">. NICE. Available at: </w:t>
      </w:r>
      <w:hyperlink r:id="rId18" w:history="1">
        <w:r w:rsidRPr="007C2362">
          <w:rPr>
            <w:rStyle w:val="Hyperlink"/>
            <w:rFonts w:ascii="Arial" w:hAnsi="Arial" w:cs="Arial"/>
            <w:sz w:val="22"/>
            <w:szCs w:val="22"/>
            <w:lang w:val="en-GB" w:eastAsia="ar-SA" w:bidi="ar-SA"/>
          </w:rPr>
          <w:t>https://www.nice.org.uk/guidance/ng108/chapter/Recommendations</w:t>
        </w:r>
      </w:hyperlink>
    </w:p>
    <w:p w14:paraId="08E916A8"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NICE.uk (2021). </w:t>
      </w:r>
      <w:r>
        <w:rPr>
          <w:rFonts w:ascii="Arial" w:hAnsi="Arial" w:cs="Arial"/>
          <w:i/>
          <w:iCs/>
          <w:sz w:val="22"/>
          <w:szCs w:val="22"/>
        </w:rPr>
        <w:t>Shared decision making</w:t>
      </w:r>
      <w:r>
        <w:rPr>
          <w:rFonts w:ascii="Arial" w:hAnsi="Arial" w:cs="Arial"/>
          <w:sz w:val="22"/>
          <w:szCs w:val="22"/>
        </w:rPr>
        <w:t xml:space="preserve">. [online] </w:t>
      </w:r>
      <w:r>
        <w:rPr>
          <w:rFonts w:ascii="Arial" w:hAnsi="Arial" w:cs="Arial"/>
          <w:i/>
          <w:iCs/>
          <w:sz w:val="22"/>
          <w:szCs w:val="22"/>
        </w:rPr>
        <w:t>www.nice.org.uk</w:t>
      </w:r>
      <w:r>
        <w:rPr>
          <w:rFonts w:ascii="Arial" w:hAnsi="Arial" w:cs="Arial"/>
          <w:sz w:val="22"/>
          <w:szCs w:val="22"/>
        </w:rPr>
        <w:t xml:space="preserve">. Available at: </w:t>
      </w:r>
      <w:hyperlink r:id="rId19" w:history="1">
        <w:r w:rsidRPr="007C2362">
          <w:rPr>
            <w:rStyle w:val="Hyperlink"/>
            <w:rFonts w:ascii="Arial" w:hAnsi="Arial" w:cs="Arial"/>
            <w:sz w:val="22"/>
            <w:szCs w:val="22"/>
            <w:lang w:val="en-GB" w:eastAsia="ar-SA" w:bidi="ar-SA"/>
          </w:rPr>
          <w:t>https://www.nice.org.uk/guidance/ng197/chapter/Recommendations</w:t>
        </w:r>
      </w:hyperlink>
    </w:p>
    <w:p w14:paraId="7116DB95" w14:textId="77777777" w:rsidR="003D5039" w:rsidRDefault="003D5039" w:rsidP="003D5039">
      <w:pPr>
        <w:pStyle w:val="NormalWeb"/>
        <w:spacing w:after="240" w:line="240" w:lineRule="auto"/>
        <w:ind w:left="720" w:hanging="720"/>
        <w:rPr>
          <w:rFonts w:ascii="Arial" w:hAnsi="Arial" w:cs="Arial"/>
          <w:sz w:val="22"/>
          <w:szCs w:val="22"/>
        </w:rPr>
      </w:pPr>
      <w:r>
        <w:rPr>
          <w:rFonts w:ascii="Arial" w:hAnsi="Arial" w:cs="Arial"/>
          <w:sz w:val="22"/>
          <w:szCs w:val="22"/>
        </w:rPr>
        <w:t xml:space="preserve">Savundranayagam, M.Y. and Moore-Nielsen, K. (2015). Language-based communication strategies that support person-centered communication with persons with dementia. </w:t>
      </w:r>
      <w:r>
        <w:rPr>
          <w:rFonts w:ascii="Arial" w:hAnsi="Arial" w:cs="Arial"/>
          <w:i/>
          <w:iCs/>
          <w:sz w:val="22"/>
          <w:szCs w:val="22"/>
        </w:rPr>
        <w:lastRenderedPageBreak/>
        <w:t>International psychogeriatrics</w:t>
      </w:r>
      <w:r>
        <w:rPr>
          <w:rFonts w:ascii="Arial" w:hAnsi="Arial" w:cs="Arial"/>
          <w:sz w:val="22"/>
          <w:szCs w:val="22"/>
        </w:rPr>
        <w:t xml:space="preserve">, [online] 27(10), pp.1707–1718. </w:t>
      </w:r>
      <w:hyperlink r:id="rId20" w:history="1">
        <w:r w:rsidRPr="007C2362">
          <w:rPr>
            <w:rStyle w:val="Hyperlink"/>
            <w:rFonts w:ascii="Arial" w:hAnsi="Arial" w:cs="Arial"/>
            <w:sz w:val="22"/>
            <w:szCs w:val="22"/>
            <w:lang w:val="en-GB" w:eastAsia="ar-SA" w:bidi="ar-SA"/>
          </w:rPr>
          <w:t>https://doi:10.1017/s1041610215000903</w:t>
        </w:r>
      </w:hyperlink>
      <w:r>
        <w:rPr>
          <w:rFonts w:ascii="Arial" w:hAnsi="Arial" w:cs="Arial"/>
          <w:sz w:val="22"/>
          <w:szCs w:val="22"/>
        </w:rPr>
        <w:t>.</w:t>
      </w:r>
    </w:p>
    <w:p w14:paraId="14F2D7F2" w14:textId="77777777" w:rsidR="003D5039" w:rsidRDefault="003D5039" w:rsidP="003D5039">
      <w:pPr>
        <w:pStyle w:val="NormalWeb"/>
        <w:spacing w:after="240" w:line="240" w:lineRule="auto"/>
        <w:ind w:left="720" w:hanging="720"/>
        <w:rPr>
          <w:rFonts w:ascii="Arial" w:hAnsi="Arial" w:cs="Arial"/>
          <w:sz w:val="22"/>
          <w:szCs w:val="22"/>
        </w:rPr>
      </w:pPr>
    </w:p>
    <w:p w14:paraId="43531949" w14:textId="77777777" w:rsidR="003D5039" w:rsidRPr="003D5039" w:rsidRDefault="003D5039" w:rsidP="003D5039"/>
    <w:sectPr w:rsidR="003D5039" w:rsidRPr="003D5039">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0FB089" w14:textId="77777777" w:rsidR="00E6769B" w:rsidRDefault="00E6769B" w:rsidP="00A87747">
      <w:pPr>
        <w:spacing w:line="240" w:lineRule="auto"/>
      </w:pPr>
      <w:r>
        <w:separator/>
      </w:r>
    </w:p>
  </w:endnote>
  <w:endnote w:type="continuationSeparator" w:id="0">
    <w:p w14:paraId="1CE32B3F" w14:textId="77777777" w:rsidR="00E6769B" w:rsidRDefault="00E6769B"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Droid Sans">
    <w:panose1 w:val="020B0604020202020204"/>
    <w:charset w:val="80"/>
    <w:family w:val="auto"/>
    <w:pitch w:val="variable"/>
  </w:font>
  <w:font w:name="OpenSymbol">
    <w:altName w:val="Arial Unicode MS"/>
    <w:panose1 w:val="020B0604020202020204"/>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jaVu Sans">
    <w:altName w:val="Yu Gothic"/>
    <w:panose1 w:val="020B0604020202020204"/>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panose1 w:val="020B0604020202020204"/>
    <w:charset w:val="80"/>
    <w:family w:val="roman"/>
    <w:pitch w:val="variable"/>
  </w:font>
  <w:font w:name="DejaVu Sans Mono">
    <w:panose1 w:val="020B0604020202020204"/>
    <w:charset w:val="80"/>
    <w:family w:val="modern"/>
    <w:pitch w:val="default"/>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87DE48" w14:textId="77777777" w:rsidR="00C4258C" w:rsidRDefault="00C425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4E8E42" w14:textId="77777777" w:rsidR="00A87747" w:rsidRDefault="00A87747">
    <w:pPr>
      <w:pStyle w:val="Footer"/>
      <w:jc w:val="center"/>
    </w:pPr>
    <w:r>
      <w:fldChar w:fldCharType="begin"/>
    </w:r>
    <w:r>
      <w:instrText xml:space="preserve"> PAGE   \* MERGEFORMAT </w:instrText>
    </w:r>
    <w:r>
      <w:fldChar w:fldCharType="separate"/>
    </w:r>
    <w:r w:rsidR="00E6769B">
      <w:rPr>
        <w:noProof/>
      </w:rPr>
      <w:t>1</w:t>
    </w:r>
    <w:r>
      <w:rPr>
        <w:noProof/>
      </w:rPr>
      <w:fldChar w:fldCharType="end"/>
    </w:r>
  </w:p>
  <w:p w14:paraId="79B45978" w14:textId="77777777" w:rsidR="00A87747" w:rsidRDefault="00A877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F5997A" w14:textId="77777777" w:rsidR="00C4258C" w:rsidRDefault="00C42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5038A36" w14:textId="77777777" w:rsidR="00E6769B" w:rsidRDefault="00E6769B" w:rsidP="00A87747">
      <w:pPr>
        <w:spacing w:line="240" w:lineRule="auto"/>
      </w:pPr>
      <w:r>
        <w:separator/>
      </w:r>
    </w:p>
  </w:footnote>
  <w:footnote w:type="continuationSeparator" w:id="0">
    <w:p w14:paraId="1B7D76FA" w14:textId="77777777" w:rsidR="00E6769B" w:rsidRDefault="00E6769B" w:rsidP="00A87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DBE0FE" w14:textId="77777777" w:rsidR="00C4258C" w:rsidRDefault="00C425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C2070A" w14:textId="77777777" w:rsidR="00C4258C" w:rsidRDefault="00C425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FD73DC" w14:textId="77777777" w:rsidR="00C4258C" w:rsidRDefault="00C425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634543">
    <w:abstractNumId w:val="0"/>
  </w:num>
  <w:num w:numId="2" w16cid:durableId="192808994">
    <w:abstractNumId w:val="1"/>
  </w:num>
  <w:num w:numId="3" w16cid:durableId="1000349219">
    <w:abstractNumId w:val="10"/>
  </w:num>
  <w:num w:numId="4" w16cid:durableId="1687243517">
    <w:abstractNumId w:val="24"/>
  </w:num>
  <w:num w:numId="5" w16cid:durableId="554510456">
    <w:abstractNumId w:val="9"/>
  </w:num>
  <w:num w:numId="6" w16cid:durableId="997072884">
    <w:abstractNumId w:val="23"/>
  </w:num>
  <w:num w:numId="7" w16cid:durableId="408619617">
    <w:abstractNumId w:val="27"/>
  </w:num>
  <w:num w:numId="8" w16cid:durableId="1491216695">
    <w:abstractNumId w:val="19"/>
  </w:num>
  <w:num w:numId="9" w16cid:durableId="1267735105">
    <w:abstractNumId w:val="6"/>
  </w:num>
  <w:num w:numId="10" w16cid:durableId="1600403453">
    <w:abstractNumId w:val="16"/>
  </w:num>
  <w:num w:numId="11" w16cid:durableId="417364577">
    <w:abstractNumId w:val="20"/>
  </w:num>
  <w:num w:numId="12" w16cid:durableId="787549958">
    <w:abstractNumId w:val="11"/>
  </w:num>
  <w:num w:numId="13" w16cid:durableId="474641153">
    <w:abstractNumId w:val="4"/>
  </w:num>
  <w:num w:numId="14" w16cid:durableId="1240211503">
    <w:abstractNumId w:val="17"/>
  </w:num>
  <w:num w:numId="15" w16cid:durableId="1819154197">
    <w:abstractNumId w:val="5"/>
  </w:num>
  <w:num w:numId="16" w16cid:durableId="1149831644">
    <w:abstractNumId w:val="22"/>
  </w:num>
  <w:num w:numId="17" w16cid:durableId="1721436351">
    <w:abstractNumId w:val="3"/>
  </w:num>
  <w:num w:numId="18" w16cid:durableId="804471711">
    <w:abstractNumId w:val="18"/>
  </w:num>
  <w:num w:numId="19" w16cid:durableId="1941645772">
    <w:abstractNumId w:val="2"/>
  </w:num>
  <w:num w:numId="20" w16cid:durableId="997659019">
    <w:abstractNumId w:val="26"/>
  </w:num>
  <w:num w:numId="21" w16cid:durableId="1075542599">
    <w:abstractNumId w:val="13"/>
  </w:num>
  <w:num w:numId="22" w16cid:durableId="928580285">
    <w:abstractNumId w:val="12"/>
  </w:num>
  <w:num w:numId="23" w16cid:durableId="808784814">
    <w:abstractNumId w:val="25"/>
  </w:num>
  <w:num w:numId="24" w16cid:durableId="611786163">
    <w:abstractNumId w:val="28"/>
  </w:num>
  <w:num w:numId="25" w16cid:durableId="587496736">
    <w:abstractNumId w:val="7"/>
  </w:num>
  <w:num w:numId="26" w16cid:durableId="363487469">
    <w:abstractNumId w:val="15"/>
  </w:num>
  <w:num w:numId="27" w16cid:durableId="478115271">
    <w:abstractNumId w:val="14"/>
  </w:num>
  <w:num w:numId="28" w16cid:durableId="571744635">
    <w:abstractNumId w:val="21"/>
  </w:num>
  <w:num w:numId="29" w16cid:durableId="836261983">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formatting="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yNbcwNTM0BXKMLJV0lIJTi4sz8/NACixqATyvwOIsAAAA"/>
  </w:docVars>
  <w:rsids>
    <w:rsidRoot w:val="008D09FF"/>
    <w:rsid w:val="000143B4"/>
    <w:rsid w:val="000157F7"/>
    <w:rsid w:val="000169FC"/>
    <w:rsid w:val="00023B7B"/>
    <w:rsid w:val="00026F62"/>
    <w:rsid w:val="0003210E"/>
    <w:rsid w:val="00033E1E"/>
    <w:rsid w:val="00043DD1"/>
    <w:rsid w:val="00044E03"/>
    <w:rsid w:val="00051B13"/>
    <w:rsid w:val="0005499F"/>
    <w:rsid w:val="00073CCE"/>
    <w:rsid w:val="00077B6D"/>
    <w:rsid w:val="000824D7"/>
    <w:rsid w:val="0009752E"/>
    <w:rsid w:val="000A0300"/>
    <w:rsid w:val="000A2736"/>
    <w:rsid w:val="000A693F"/>
    <w:rsid w:val="000B55F1"/>
    <w:rsid w:val="000B7C25"/>
    <w:rsid w:val="000C54FA"/>
    <w:rsid w:val="000D13F2"/>
    <w:rsid w:val="000D1E89"/>
    <w:rsid w:val="000D5F91"/>
    <w:rsid w:val="000E3657"/>
    <w:rsid w:val="000E5B1D"/>
    <w:rsid w:val="000E7C63"/>
    <w:rsid w:val="000F7A29"/>
    <w:rsid w:val="0010080F"/>
    <w:rsid w:val="001127EC"/>
    <w:rsid w:val="00115FA2"/>
    <w:rsid w:val="0011725C"/>
    <w:rsid w:val="0012311E"/>
    <w:rsid w:val="00124129"/>
    <w:rsid w:val="00131CE2"/>
    <w:rsid w:val="00135FA8"/>
    <w:rsid w:val="0014081F"/>
    <w:rsid w:val="0014236D"/>
    <w:rsid w:val="001543C4"/>
    <w:rsid w:val="00155DFF"/>
    <w:rsid w:val="00171AB7"/>
    <w:rsid w:val="001959E7"/>
    <w:rsid w:val="001A2386"/>
    <w:rsid w:val="001A6CE4"/>
    <w:rsid w:val="001B148D"/>
    <w:rsid w:val="001B293F"/>
    <w:rsid w:val="001B2B71"/>
    <w:rsid w:val="001B3DA5"/>
    <w:rsid w:val="001C4B30"/>
    <w:rsid w:val="001C6C19"/>
    <w:rsid w:val="001C7C69"/>
    <w:rsid w:val="001D1CAC"/>
    <w:rsid w:val="001D46FF"/>
    <w:rsid w:val="001F2F9D"/>
    <w:rsid w:val="002037AB"/>
    <w:rsid w:val="00203ADA"/>
    <w:rsid w:val="00207BF7"/>
    <w:rsid w:val="0021152B"/>
    <w:rsid w:val="00214B85"/>
    <w:rsid w:val="002157B6"/>
    <w:rsid w:val="00245957"/>
    <w:rsid w:val="00245FD9"/>
    <w:rsid w:val="0024714F"/>
    <w:rsid w:val="00251842"/>
    <w:rsid w:val="00255300"/>
    <w:rsid w:val="00267D0D"/>
    <w:rsid w:val="00273F83"/>
    <w:rsid w:val="002923C2"/>
    <w:rsid w:val="0029461D"/>
    <w:rsid w:val="002A218E"/>
    <w:rsid w:val="002B1C88"/>
    <w:rsid w:val="002B6D16"/>
    <w:rsid w:val="002C58C6"/>
    <w:rsid w:val="002C5976"/>
    <w:rsid w:val="002C5AFE"/>
    <w:rsid w:val="002C5DF6"/>
    <w:rsid w:val="002D5608"/>
    <w:rsid w:val="002E2445"/>
    <w:rsid w:val="002F3715"/>
    <w:rsid w:val="002F4C8F"/>
    <w:rsid w:val="00306373"/>
    <w:rsid w:val="003347F4"/>
    <w:rsid w:val="003407C3"/>
    <w:rsid w:val="00341F1F"/>
    <w:rsid w:val="00352949"/>
    <w:rsid w:val="00354A83"/>
    <w:rsid w:val="003559FD"/>
    <w:rsid w:val="00355AA6"/>
    <w:rsid w:val="0035740A"/>
    <w:rsid w:val="00363625"/>
    <w:rsid w:val="003644F3"/>
    <w:rsid w:val="00371215"/>
    <w:rsid w:val="0037352A"/>
    <w:rsid w:val="00377720"/>
    <w:rsid w:val="00380505"/>
    <w:rsid w:val="00390787"/>
    <w:rsid w:val="003915E6"/>
    <w:rsid w:val="003A21CE"/>
    <w:rsid w:val="003B2223"/>
    <w:rsid w:val="003D2B08"/>
    <w:rsid w:val="003D5039"/>
    <w:rsid w:val="003D6472"/>
    <w:rsid w:val="003E3CE3"/>
    <w:rsid w:val="003F321A"/>
    <w:rsid w:val="003F5718"/>
    <w:rsid w:val="003F58CF"/>
    <w:rsid w:val="003F652C"/>
    <w:rsid w:val="003F6A34"/>
    <w:rsid w:val="004001C6"/>
    <w:rsid w:val="0040516B"/>
    <w:rsid w:val="00406F8A"/>
    <w:rsid w:val="004118BC"/>
    <w:rsid w:val="00412D04"/>
    <w:rsid w:val="00426EFB"/>
    <w:rsid w:val="004275E6"/>
    <w:rsid w:val="00430271"/>
    <w:rsid w:val="0043392D"/>
    <w:rsid w:val="00435F23"/>
    <w:rsid w:val="004510CC"/>
    <w:rsid w:val="00454D5E"/>
    <w:rsid w:val="00455304"/>
    <w:rsid w:val="00460545"/>
    <w:rsid w:val="0046208D"/>
    <w:rsid w:val="0047293C"/>
    <w:rsid w:val="00480840"/>
    <w:rsid w:val="004836C4"/>
    <w:rsid w:val="0049537E"/>
    <w:rsid w:val="00496C57"/>
    <w:rsid w:val="004A17F2"/>
    <w:rsid w:val="004A42D9"/>
    <w:rsid w:val="004A6F78"/>
    <w:rsid w:val="004A78C8"/>
    <w:rsid w:val="004B2DC1"/>
    <w:rsid w:val="004B6253"/>
    <w:rsid w:val="004B637E"/>
    <w:rsid w:val="004D05E4"/>
    <w:rsid w:val="004D5B16"/>
    <w:rsid w:val="004D5BFC"/>
    <w:rsid w:val="004E44CC"/>
    <w:rsid w:val="004F372C"/>
    <w:rsid w:val="00500202"/>
    <w:rsid w:val="005007FB"/>
    <w:rsid w:val="005025FB"/>
    <w:rsid w:val="0050612C"/>
    <w:rsid w:val="00514B64"/>
    <w:rsid w:val="00514C27"/>
    <w:rsid w:val="005244D0"/>
    <w:rsid w:val="00526156"/>
    <w:rsid w:val="00526B25"/>
    <w:rsid w:val="00531793"/>
    <w:rsid w:val="005363C9"/>
    <w:rsid w:val="00545BE1"/>
    <w:rsid w:val="005466F4"/>
    <w:rsid w:val="00551CE4"/>
    <w:rsid w:val="00556141"/>
    <w:rsid w:val="005575BB"/>
    <w:rsid w:val="00563005"/>
    <w:rsid w:val="00565E1A"/>
    <w:rsid w:val="00572E0C"/>
    <w:rsid w:val="00583DDF"/>
    <w:rsid w:val="005901D0"/>
    <w:rsid w:val="00591D3F"/>
    <w:rsid w:val="00592304"/>
    <w:rsid w:val="005955CD"/>
    <w:rsid w:val="005978A5"/>
    <w:rsid w:val="00597C27"/>
    <w:rsid w:val="005A4881"/>
    <w:rsid w:val="005B1D0F"/>
    <w:rsid w:val="005B3892"/>
    <w:rsid w:val="005C2B38"/>
    <w:rsid w:val="005C6F1F"/>
    <w:rsid w:val="005C729D"/>
    <w:rsid w:val="005C740A"/>
    <w:rsid w:val="005D4939"/>
    <w:rsid w:val="005D49B9"/>
    <w:rsid w:val="005F292C"/>
    <w:rsid w:val="0060463A"/>
    <w:rsid w:val="00607926"/>
    <w:rsid w:val="0061173B"/>
    <w:rsid w:val="00615B24"/>
    <w:rsid w:val="00621B9C"/>
    <w:rsid w:val="006237FB"/>
    <w:rsid w:val="006302B6"/>
    <w:rsid w:val="006407FE"/>
    <w:rsid w:val="006438EC"/>
    <w:rsid w:val="006475FF"/>
    <w:rsid w:val="00654A6E"/>
    <w:rsid w:val="00657DCB"/>
    <w:rsid w:val="00661773"/>
    <w:rsid w:val="0066496D"/>
    <w:rsid w:val="00671F66"/>
    <w:rsid w:val="00674A76"/>
    <w:rsid w:val="00682A76"/>
    <w:rsid w:val="00682D74"/>
    <w:rsid w:val="00684916"/>
    <w:rsid w:val="006948E8"/>
    <w:rsid w:val="00697727"/>
    <w:rsid w:val="006A724A"/>
    <w:rsid w:val="006B65D2"/>
    <w:rsid w:val="006C51DB"/>
    <w:rsid w:val="006C5469"/>
    <w:rsid w:val="006C5728"/>
    <w:rsid w:val="006D07E0"/>
    <w:rsid w:val="006D6837"/>
    <w:rsid w:val="006D7C5E"/>
    <w:rsid w:val="006E177F"/>
    <w:rsid w:val="00705F33"/>
    <w:rsid w:val="007130F3"/>
    <w:rsid w:val="00720A6F"/>
    <w:rsid w:val="0072548E"/>
    <w:rsid w:val="00732B9B"/>
    <w:rsid w:val="007406B8"/>
    <w:rsid w:val="00746466"/>
    <w:rsid w:val="0074789A"/>
    <w:rsid w:val="007515C4"/>
    <w:rsid w:val="00752C57"/>
    <w:rsid w:val="0075424F"/>
    <w:rsid w:val="00755616"/>
    <w:rsid w:val="00755E7B"/>
    <w:rsid w:val="007626C2"/>
    <w:rsid w:val="00764092"/>
    <w:rsid w:val="00772400"/>
    <w:rsid w:val="007739F9"/>
    <w:rsid w:val="00777727"/>
    <w:rsid w:val="00781B1F"/>
    <w:rsid w:val="007847BC"/>
    <w:rsid w:val="00784EBE"/>
    <w:rsid w:val="00793373"/>
    <w:rsid w:val="00796A0C"/>
    <w:rsid w:val="007B0ED6"/>
    <w:rsid w:val="007B6BA5"/>
    <w:rsid w:val="007C0686"/>
    <w:rsid w:val="007C1004"/>
    <w:rsid w:val="007C3193"/>
    <w:rsid w:val="007D0A05"/>
    <w:rsid w:val="007D1B17"/>
    <w:rsid w:val="007D4E7D"/>
    <w:rsid w:val="007D6079"/>
    <w:rsid w:val="007E5D62"/>
    <w:rsid w:val="007E61B3"/>
    <w:rsid w:val="007E79B8"/>
    <w:rsid w:val="007F06BE"/>
    <w:rsid w:val="007F543B"/>
    <w:rsid w:val="007F5B80"/>
    <w:rsid w:val="007F654B"/>
    <w:rsid w:val="00814EE5"/>
    <w:rsid w:val="0082293E"/>
    <w:rsid w:val="0083045C"/>
    <w:rsid w:val="0083094A"/>
    <w:rsid w:val="008309B1"/>
    <w:rsid w:val="00831ABD"/>
    <w:rsid w:val="00841350"/>
    <w:rsid w:val="00853117"/>
    <w:rsid w:val="008645D9"/>
    <w:rsid w:val="0087207B"/>
    <w:rsid w:val="00872FDC"/>
    <w:rsid w:val="00884801"/>
    <w:rsid w:val="008934D6"/>
    <w:rsid w:val="008A4FEE"/>
    <w:rsid w:val="008A5AAC"/>
    <w:rsid w:val="008B1D5E"/>
    <w:rsid w:val="008B6785"/>
    <w:rsid w:val="008C4464"/>
    <w:rsid w:val="008C5894"/>
    <w:rsid w:val="008D09FF"/>
    <w:rsid w:val="008E6B1D"/>
    <w:rsid w:val="008F29E6"/>
    <w:rsid w:val="00900DD5"/>
    <w:rsid w:val="009022FD"/>
    <w:rsid w:val="0090744C"/>
    <w:rsid w:val="009125AD"/>
    <w:rsid w:val="00913FA1"/>
    <w:rsid w:val="00914249"/>
    <w:rsid w:val="009172DB"/>
    <w:rsid w:val="00924407"/>
    <w:rsid w:val="00932737"/>
    <w:rsid w:val="0093725C"/>
    <w:rsid w:val="00941F56"/>
    <w:rsid w:val="0094548E"/>
    <w:rsid w:val="00956173"/>
    <w:rsid w:val="009561AE"/>
    <w:rsid w:val="00957CD0"/>
    <w:rsid w:val="00963740"/>
    <w:rsid w:val="00964B2F"/>
    <w:rsid w:val="00970C40"/>
    <w:rsid w:val="00975F56"/>
    <w:rsid w:val="009812B8"/>
    <w:rsid w:val="00982038"/>
    <w:rsid w:val="00991B22"/>
    <w:rsid w:val="00993BA5"/>
    <w:rsid w:val="009A205A"/>
    <w:rsid w:val="009A2AD5"/>
    <w:rsid w:val="009B08FC"/>
    <w:rsid w:val="009B0B1B"/>
    <w:rsid w:val="009B2391"/>
    <w:rsid w:val="009B53D8"/>
    <w:rsid w:val="009C2D59"/>
    <w:rsid w:val="009D18F1"/>
    <w:rsid w:val="009D1961"/>
    <w:rsid w:val="009D507B"/>
    <w:rsid w:val="009D7AE7"/>
    <w:rsid w:val="009E0198"/>
    <w:rsid w:val="009E22EF"/>
    <w:rsid w:val="009E31A5"/>
    <w:rsid w:val="009F0254"/>
    <w:rsid w:val="00A008EC"/>
    <w:rsid w:val="00A0522A"/>
    <w:rsid w:val="00A06682"/>
    <w:rsid w:val="00A2542B"/>
    <w:rsid w:val="00A31089"/>
    <w:rsid w:val="00A60F2E"/>
    <w:rsid w:val="00A62491"/>
    <w:rsid w:val="00A630B9"/>
    <w:rsid w:val="00A654E6"/>
    <w:rsid w:val="00A7011E"/>
    <w:rsid w:val="00A70CE1"/>
    <w:rsid w:val="00A73945"/>
    <w:rsid w:val="00A75675"/>
    <w:rsid w:val="00A801A0"/>
    <w:rsid w:val="00A82125"/>
    <w:rsid w:val="00A87747"/>
    <w:rsid w:val="00A90D99"/>
    <w:rsid w:val="00A9411B"/>
    <w:rsid w:val="00A954C7"/>
    <w:rsid w:val="00A97BE1"/>
    <w:rsid w:val="00AA470E"/>
    <w:rsid w:val="00AB326F"/>
    <w:rsid w:val="00AB5583"/>
    <w:rsid w:val="00AB5B5E"/>
    <w:rsid w:val="00AB73A8"/>
    <w:rsid w:val="00AC3A95"/>
    <w:rsid w:val="00AC52A2"/>
    <w:rsid w:val="00AD0E28"/>
    <w:rsid w:val="00AD2CBF"/>
    <w:rsid w:val="00AD2D58"/>
    <w:rsid w:val="00AD58AA"/>
    <w:rsid w:val="00AD7F58"/>
    <w:rsid w:val="00AE6BC8"/>
    <w:rsid w:val="00AF1F9B"/>
    <w:rsid w:val="00AF526C"/>
    <w:rsid w:val="00AF6143"/>
    <w:rsid w:val="00B01FD5"/>
    <w:rsid w:val="00B024B4"/>
    <w:rsid w:val="00B026C3"/>
    <w:rsid w:val="00B06232"/>
    <w:rsid w:val="00B07228"/>
    <w:rsid w:val="00B07373"/>
    <w:rsid w:val="00B10DA3"/>
    <w:rsid w:val="00B14771"/>
    <w:rsid w:val="00B179C2"/>
    <w:rsid w:val="00B17B92"/>
    <w:rsid w:val="00B20612"/>
    <w:rsid w:val="00B24C3C"/>
    <w:rsid w:val="00B2519F"/>
    <w:rsid w:val="00B313E9"/>
    <w:rsid w:val="00B31E9D"/>
    <w:rsid w:val="00B3225F"/>
    <w:rsid w:val="00B322E0"/>
    <w:rsid w:val="00B34CA4"/>
    <w:rsid w:val="00B462F2"/>
    <w:rsid w:val="00B465CF"/>
    <w:rsid w:val="00B46E41"/>
    <w:rsid w:val="00B51613"/>
    <w:rsid w:val="00B56352"/>
    <w:rsid w:val="00B57A65"/>
    <w:rsid w:val="00B61DB0"/>
    <w:rsid w:val="00B61FED"/>
    <w:rsid w:val="00B671A3"/>
    <w:rsid w:val="00B7065F"/>
    <w:rsid w:val="00B71230"/>
    <w:rsid w:val="00B74848"/>
    <w:rsid w:val="00B87943"/>
    <w:rsid w:val="00B91486"/>
    <w:rsid w:val="00B97BB3"/>
    <w:rsid w:val="00BA2FDA"/>
    <w:rsid w:val="00BA45F5"/>
    <w:rsid w:val="00BA67AD"/>
    <w:rsid w:val="00BC3B3A"/>
    <w:rsid w:val="00BD180E"/>
    <w:rsid w:val="00BD411F"/>
    <w:rsid w:val="00BE6EAE"/>
    <w:rsid w:val="00BF4E4E"/>
    <w:rsid w:val="00BF5CCF"/>
    <w:rsid w:val="00BF6034"/>
    <w:rsid w:val="00C00C12"/>
    <w:rsid w:val="00C106CE"/>
    <w:rsid w:val="00C14BE6"/>
    <w:rsid w:val="00C24BF1"/>
    <w:rsid w:val="00C41329"/>
    <w:rsid w:val="00C4258C"/>
    <w:rsid w:val="00C42A3F"/>
    <w:rsid w:val="00C42CEC"/>
    <w:rsid w:val="00C433FF"/>
    <w:rsid w:val="00C47BCC"/>
    <w:rsid w:val="00C52007"/>
    <w:rsid w:val="00C53CCD"/>
    <w:rsid w:val="00C57D30"/>
    <w:rsid w:val="00C66F95"/>
    <w:rsid w:val="00C73ADD"/>
    <w:rsid w:val="00C74D7D"/>
    <w:rsid w:val="00C8669D"/>
    <w:rsid w:val="00C8743A"/>
    <w:rsid w:val="00C919FB"/>
    <w:rsid w:val="00CA59F2"/>
    <w:rsid w:val="00CC3413"/>
    <w:rsid w:val="00CC671B"/>
    <w:rsid w:val="00CD2539"/>
    <w:rsid w:val="00CE4E4E"/>
    <w:rsid w:val="00CE5BDB"/>
    <w:rsid w:val="00CF15D8"/>
    <w:rsid w:val="00CF5F42"/>
    <w:rsid w:val="00D20ECD"/>
    <w:rsid w:val="00D2166C"/>
    <w:rsid w:val="00D23569"/>
    <w:rsid w:val="00D30910"/>
    <w:rsid w:val="00D35421"/>
    <w:rsid w:val="00D4151E"/>
    <w:rsid w:val="00D444CD"/>
    <w:rsid w:val="00D50037"/>
    <w:rsid w:val="00D73C7F"/>
    <w:rsid w:val="00D81130"/>
    <w:rsid w:val="00D942AF"/>
    <w:rsid w:val="00D9463B"/>
    <w:rsid w:val="00DA3189"/>
    <w:rsid w:val="00DA3A21"/>
    <w:rsid w:val="00DA5D0B"/>
    <w:rsid w:val="00DB19D0"/>
    <w:rsid w:val="00DB5216"/>
    <w:rsid w:val="00DC13DA"/>
    <w:rsid w:val="00DC49BD"/>
    <w:rsid w:val="00DC5F06"/>
    <w:rsid w:val="00DD45E3"/>
    <w:rsid w:val="00DD6A76"/>
    <w:rsid w:val="00DE0958"/>
    <w:rsid w:val="00DE64C4"/>
    <w:rsid w:val="00DF037E"/>
    <w:rsid w:val="00DF2060"/>
    <w:rsid w:val="00DF6304"/>
    <w:rsid w:val="00E000B9"/>
    <w:rsid w:val="00E039C5"/>
    <w:rsid w:val="00E03A4B"/>
    <w:rsid w:val="00E27145"/>
    <w:rsid w:val="00E315EE"/>
    <w:rsid w:val="00E37264"/>
    <w:rsid w:val="00E41AB6"/>
    <w:rsid w:val="00E5396E"/>
    <w:rsid w:val="00E61475"/>
    <w:rsid w:val="00E62EF6"/>
    <w:rsid w:val="00E6769B"/>
    <w:rsid w:val="00E71F36"/>
    <w:rsid w:val="00E811C1"/>
    <w:rsid w:val="00E859FA"/>
    <w:rsid w:val="00E85B3F"/>
    <w:rsid w:val="00E90A5A"/>
    <w:rsid w:val="00E928CA"/>
    <w:rsid w:val="00E94410"/>
    <w:rsid w:val="00E9780D"/>
    <w:rsid w:val="00EA0745"/>
    <w:rsid w:val="00EA2106"/>
    <w:rsid w:val="00EA7C96"/>
    <w:rsid w:val="00EB02D9"/>
    <w:rsid w:val="00EB0C0B"/>
    <w:rsid w:val="00EB32F9"/>
    <w:rsid w:val="00EB6093"/>
    <w:rsid w:val="00EC3B38"/>
    <w:rsid w:val="00EC3CED"/>
    <w:rsid w:val="00EC74AE"/>
    <w:rsid w:val="00ED6A6B"/>
    <w:rsid w:val="00EE04C1"/>
    <w:rsid w:val="00EE2BBA"/>
    <w:rsid w:val="00EE58F1"/>
    <w:rsid w:val="00EF0350"/>
    <w:rsid w:val="00F05440"/>
    <w:rsid w:val="00F10C64"/>
    <w:rsid w:val="00F16569"/>
    <w:rsid w:val="00F17CBC"/>
    <w:rsid w:val="00F31831"/>
    <w:rsid w:val="00F320B3"/>
    <w:rsid w:val="00F35020"/>
    <w:rsid w:val="00F42555"/>
    <w:rsid w:val="00F52B0E"/>
    <w:rsid w:val="00F71CCB"/>
    <w:rsid w:val="00FA1905"/>
    <w:rsid w:val="00FA3835"/>
    <w:rsid w:val="00FB012C"/>
    <w:rsid w:val="00FB44DD"/>
    <w:rsid w:val="00FB5913"/>
    <w:rsid w:val="00FB636C"/>
    <w:rsid w:val="00FD08F7"/>
    <w:rsid w:val="00FE007F"/>
    <w:rsid w:val="00FE1106"/>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57987788"/>
  <w15:chartTrackingRefBased/>
  <w15:docId w15:val="{4745CAD5-D6A8-0743-B455-5F3258C22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styleId="DefaultParagraphFont0">
    <w:name w:val="Default Paragraph Font"/>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43797866">
      <w:bodyDiv w:val="1"/>
      <w:marLeft w:val="0"/>
      <w:marRight w:val="0"/>
      <w:marTop w:val="0"/>
      <w:marBottom w:val="0"/>
      <w:divBdr>
        <w:top w:val="none" w:sz="0" w:space="0" w:color="auto"/>
        <w:left w:val="none" w:sz="0" w:space="0" w:color="auto"/>
        <w:bottom w:val="none" w:sz="0" w:space="0" w:color="auto"/>
        <w:right w:val="none" w:sz="0" w:space="0" w:color="auto"/>
      </w:divBdr>
      <w:divsChild>
        <w:div w:id="1712458358">
          <w:marLeft w:val="0"/>
          <w:marRight w:val="0"/>
          <w:marTop w:val="0"/>
          <w:marBottom w:val="0"/>
          <w:divBdr>
            <w:top w:val="none" w:sz="0" w:space="0" w:color="auto"/>
            <w:left w:val="none" w:sz="0" w:space="0" w:color="auto"/>
            <w:bottom w:val="none" w:sz="0" w:space="0" w:color="auto"/>
            <w:right w:val="none" w:sz="0" w:space="0" w:color="auto"/>
          </w:divBdr>
        </w:div>
      </w:divsChild>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providers/adult-social-care/medicines-administration-records-adult-social-care" TargetMode="External"/><Relationship Id="rId13" Type="http://schemas.openxmlformats.org/officeDocument/2006/relationships/hyperlink" Target="https://www.nice.org.uk/guidance/sc1/ifp/chapter/Keeping-records" TargetMode="External"/><Relationship Id="rId18" Type="http://schemas.openxmlformats.org/officeDocument/2006/relationships/hyperlink" Target="https://www.nice.org.uk/guidance/ng108/chapter/Recommendations"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ngland.nhs.uk/learning-disabilities/improving-health/reasonable-adjustments/?ContensisTextOnly=true" TargetMode="External"/><Relationship Id="rId17" Type="http://schemas.openxmlformats.org/officeDocument/2006/relationships/hyperlink" Target="https://www.nice.org.uk/guidance/ng189/chapter/Recommendations"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nice.org.uk/guidance/qs184/chapter/Quality-statement-4-Coordinating-care" TargetMode="External"/><Relationship Id="rId20" Type="http://schemas.openxmlformats.org/officeDocument/2006/relationships/hyperlink" Target="https://doi:10.1017/s10416102150009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dementia/living-with-dementia/communication/"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nice.org.uk/guidance/qs171/chapter/quality-statement-3-recording-medicine-support-need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digital.nhs.uk/data-and-information/information-governance/guidance/information-sharing-in-multidisciplinary-teams" TargetMode="External"/><Relationship Id="rId19" Type="http://schemas.openxmlformats.org/officeDocument/2006/relationships/hyperlink" Target="https://www.nice.org.uk/guidance/ng197/chapter/Recommendations" TargetMode="External"/><Relationship Id="rId4" Type="http://schemas.openxmlformats.org/officeDocument/2006/relationships/settings" Target="settings.xml"/><Relationship Id="rId9" Type="http://schemas.openxmlformats.org/officeDocument/2006/relationships/hyperlink" Target="https://www.nice.org.uk/guidance/ng97/chapter/Recommendations" TargetMode="External"/><Relationship Id="rId14" Type="http://schemas.openxmlformats.org/officeDocument/2006/relationships/hyperlink" Target="https://www.nice.org.uk/guidance/NG5"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880DE-5AF0-4456-9999-963909A79A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2288</Words>
  <Characters>13042</Characters>
  <Application>Microsoft Office Word</Application>
  <DocSecurity>0</DocSecurity>
  <Lines>108</Lines>
  <Paragraphs>30</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vt:lpstr>
      <vt:lpstr>Effective and Inclusive Communication </vt:lpstr>
      <vt:lpstr>Administrative Practice, Record Keeping and Information Governance </vt:lpstr>
      <vt:lpstr>Collaborative and Multi-Agency Working </vt:lpstr>
      <vt:lpstr>Conclusion </vt:lpstr>
      <vt:lpstr>References</vt:lpstr>
    </vt:vector>
  </TitlesOfParts>
  <Company/>
  <LinksUpToDate>false</LinksUpToDate>
  <CharactersWithSpaces>15300</CharactersWithSpaces>
  <SharedDoc>false</SharedDoc>
  <HLinks>
    <vt:vector size="78" baseType="variant">
      <vt:variant>
        <vt:i4>5832728</vt:i4>
      </vt:variant>
      <vt:variant>
        <vt:i4>57</vt:i4>
      </vt:variant>
      <vt:variant>
        <vt:i4>0</vt:i4>
      </vt:variant>
      <vt:variant>
        <vt:i4>5</vt:i4>
      </vt:variant>
      <vt:variant>
        <vt:lpwstr>https://doi:10.1017/s1041610215000903</vt:lpwstr>
      </vt:variant>
      <vt:variant>
        <vt:lpwstr/>
      </vt:variant>
      <vt:variant>
        <vt:i4>7667771</vt:i4>
      </vt:variant>
      <vt:variant>
        <vt:i4>54</vt:i4>
      </vt:variant>
      <vt:variant>
        <vt:i4>0</vt:i4>
      </vt:variant>
      <vt:variant>
        <vt:i4>5</vt:i4>
      </vt:variant>
      <vt:variant>
        <vt:lpwstr>https://www.nice.org.uk/guidance/ng197/chapter/Recommendations</vt:lpwstr>
      </vt:variant>
      <vt:variant>
        <vt:lpwstr/>
      </vt:variant>
      <vt:variant>
        <vt:i4>7995442</vt:i4>
      </vt:variant>
      <vt:variant>
        <vt:i4>51</vt:i4>
      </vt:variant>
      <vt:variant>
        <vt:i4>0</vt:i4>
      </vt:variant>
      <vt:variant>
        <vt:i4>5</vt:i4>
      </vt:variant>
      <vt:variant>
        <vt:lpwstr>https://www.nice.org.uk/guidance/ng108/chapter/Recommendations</vt:lpwstr>
      </vt:variant>
      <vt:variant>
        <vt:lpwstr/>
      </vt:variant>
      <vt:variant>
        <vt:i4>8060986</vt:i4>
      </vt:variant>
      <vt:variant>
        <vt:i4>48</vt:i4>
      </vt:variant>
      <vt:variant>
        <vt:i4>0</vt:i4>
      </vt:variant>
      <vt:variant>
        <vt:i4>5</vt:i4>
      </vt:variant>
      <vt:variant>
        <vt:lpwstr>https://www.nice.org.uk/guidance/ng189/chapter/Recommendations</vt:lpwstr>
      </vt:variant>
      <vt:variant>
        <vt:lpwstr/>
      </vt:variant>
      <vt:variant>
        <vt:i4>1769480</vt:i4>
      </vt:variant>
      <vt:variant>
        <vt:i4>45</vt:i4>
      </vt:variant>
      <vt:variant>
        <vt:i4>0</vt:i4>
      </vt:variant>
      <vt:variant>
        <vt:i4>5</vt:i4>
      </vt:variant>
      <vt:variant>
        <vt:lpwstr>https://www.nice.org.uk/guidance/qs184/chapter/Quality-statement-4-Coordinating-care</vt:lpwstr>
      </vt:variant>
      <vt:variant>
        <vt:lpwstr/>
      </vt:variant>
      <vt:variant>
        <vt:i4>3342387</vt:i4>
      </vt:variant>
      <vt:variant>
        <vt:i4>42</vt:i4>
      </vt:variant>
      <vt:variant>
        <vt:i4>0</vt:i4>
      </vt:variant>
      <vt:variant>
        <vt:i4>5</vt:i4>
      </vt:variant>
      <vt:variant>
        <vt:lpwstr>https://www.nice.org.uk/guidance/qs171/chapter/quality-statement-3-recording-medicine-support-needs</vt:lpwstr>
      </vt:variant>
      <vt:variant>
        <vt:lpwstr/>
      </vt:variant>
      <vt:variant>
        <vt:i4>5701648</vt:i4>
      </vt:variant>
      <vt:variant>
        <vt:i4>39</vt:i4>
      </vt:variant>
      <vt:variant>
        <vt:i4>0</vt:i4>
      </vt:variant>
      <vt:variant>
        <vt:i4>5</vt:i4>
      </vt:variant>
      <vt:variant>
        <vt:lpwstr>https://www.nice.org.uk/guidance/NG5</vt:lpwstr>
      </vt:variant>
      <vt:variant>
        <vt:lpwstr/>
      </vt:variant>
      <vt:variant>
        <vt:i4>4390936</vt:i4>
      </vt:variant>
      <vt:variant>
        <vt:i4>36</vt:i4>
      </vt:variant>
      <vt:variant>
        <vt:i4>0</vt:i4>
      </vt:variant>
      <vt:variant>
        <vt:i4>5</vt:i4>
      </vt:variant>
      <vt:variant>
        <vt:lpwstr>https://www.nice.org.uk/guidance/sc1/ifp/chapter/Keeping-records</vt:lpwstr>
      </vt:variant>
      <vt:variant>
        <vt:lpwstr/>
      </vt:variant>
      <vt:variant>
        <vt:i4>5111837</vt:i4>
      </vt:variant>
      <vt:variant>
        <vt:i4>33</vt:i4>
      </vt:variant>
      <vt:variant>
        <vt:i4>0</vt:i4>
      </vt:variant>
      <vt:variant>
        <vt:i4>5</vt:i4>
      </vt:variant>
      <vt:variant>
        <vt:lpwstr>https://www.england.nhs.uk/learning-disabilities/improving-health/reasonable-adjustments/?ContensisTextOnly=true</vt:lpwstr>
      </vt:variant>
      <vt:variant>
        <vt:lpwstr/>
      </vt:variant>
      <vt:variant>
        <vt:i4>8257645</vt:i4>
      </vt:variant>
      <vt:variant>
        <vt:i4>30</vt:i4>
      </vt:variant>
      <vt:variant>
        <vt:i4>0</vt:i4>
      </vt:variant>
      <vt:variant>
        <vt:i4>5</vt:i4>
      </vt:variant>
      <vt:variant>
        <vt:lpwstr>https://www.nhs.uk/conditions/dementia/living-with-dementia/communication/</vt:lpwstr>
      </vt:variant>
      <vt:variant>
        <vt:lpwstr/>
      </vt:variant>
      <vt:variant>
        <vt:i4>2818084</vt:i4>
      </vt:variant>
      <vt:variant>
        <vt:i4>27</vt:i4>
      </vt:variant>
      <vt:variant>
        <vt:i4>0</vt:i4>
      </vt:variant>
      <vt:variant>
        <vt:i4>5</vt:i4>
      </vt:variant>
      <vt:variant>
        <vt:lpwstr>https://digital.nhs.uk/data-and-information/information-governance/guidance/information-sharing-in-multidisciplinary-teams</vt:lpwstr>
      </vt:variant>
      <vt:variant>
        <vt:lpwstr/>
      </vt:variant>
      <vt:variant>
        <vt:i4>4784197</vt:i4>
      </vt:variant>
      <vt:variant>
        <vt:i4>24</vt:i4>
      </vt:variant>
      <vt:variant>
        <vt:i4>0</vt:i4>
      </vt:variant>
      <vt:variant>
        <vt:i4>5</vt:i4>
      </vt:variant>
      <vt:variant>
        <vt:lpwstr>https://www.nice.org.uk/guidance/ng97/chapter/Recommendations</vt:lpwstr>
      </vt:variant>
      <vt:variant>
        <vt:lpwstr/>
      </vt:variant>
      <vt:variant>
        <vt:i4>4063343</vt:i4>
      </vt:variant>
      <vt:variant>
        <vt:i4>21</vt:i4>
      </vt:variant>
      <vt:variant>
        <vt:i4>0</vt:i4>
      </vt:variant>
      <vt:variant>
        <vt:i4>5</vt:i4>
      </vt:variant>
      <vt:variant>
        <vt:lpwstr>https://www.cqc.org.uk/guidance-providers/adult-social-care/medicines-administration-records-adult-social-care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Amal Hussain (2520490)</cp:lastModifiedBy>
  <cp:revision>2</cp:revision>
  <cp:lastPrinted>1601-01-01T00:00:00Z</cp:lastPrinted>
  <dcterms:created xsi:type="dcterms:W3CDTF">2026-07-22T20:02:00Z</dcterms:created>
  <dcterms:modified xsi:type="dcterms:W3CDTF">2026-07-22T20:02:00Z</dcterms:modified>
</cp:coreProperties>
</file>