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4BC9" w:rsidRDefault="00A64BC9" w:rsidP="00A64BC9">
      <w:pPr>
        <w:jc w:val="center"/>
        <w:rPr>
          <w:u w:val="single"/>
        </w:rPr>
      </w:pPr>
      <w:r w:rsidRPr="00A64BC9">
        <w:rPr>
          <w:u w:val="single"/>
        </w:rPr>
        <w:t>CLCS6014 – Court and Society: Module Journal</w:t>
      </w:r>
    </w:p>
    <w:p w:rsidR="00A64BC9" w:rsidRDefault="00A64BC9" w:rsidP="00A64BC9">
      <w:pPr>
        <w:jc w:val="both"/>
      </w:pPr>
      <w:r>
        <w:t xml:space="preserve">Before any further discussion of my activities within this module can take place, it is important that I take the time make a few things clear first.  I would like to make sure that that there is some sort of consistency in all this (whether it is my approach, actions, or thoughts) given the chaos that unfolded over the course the module – and the circumstances that came with it – in connection to the actions taken by myself and my peers in each session.  Although others have chosen to take an immersive approach to the </w:t>
      </w:r>
      <w:r w:rsidR="002A34C7">
        <w:t xml:space="preserve">journal by writing, and therefore re-living, the decisions made in each session from the perspective of each of their respective characters, this is something I thought to avoid, and with good reason:  my original character had died at the beginning of the fifth session, which meant that I had to generate a new character on the spot. To write from the perspective of more than character would not only be confusing, but also troublesome </w:t>
      </w:r>
      <w:r w:rsidR="00711932">
        <w:t>– even</w:t>
      </w:r>
      <w:r w:rsidR="002A34C7">
        <w:t xml:space="preserve"> more so when you consider that my second character [Tigiris of Armenia] was created in the space of five minutes</w:t>
      </w:r>
      <w:r w:rsidR="00711932">
        <w:t xml:space="preserve">, and as such was not as “fleshed out” in terms of the research that went into it in the same sense that Kleitos Eupator (the original character) was. </w:t>
      </w:r>
    </w:p>
    <w:p w:rsidR="00566F92" w:rsidRDefault="00711932" w:rsidP="00A64BC9">
      <w:pPr>
        <w:jc w:val="both"/>
      </w:pPr>
      <w:r>
        <w:t xml:space="preserve">Conversely, this detached approach would allow me to examine my actions in a fashion that was far more critical, in particular how they related to the concept of historical precedent – in doing so giving me a chance to respond to the learning outcomes that were set up for this module.   This would also create space for more informed discussion of both the events and the concepts that were to arise in each session, and to see how they fit into the wider picture that was the </w:t>
      </w:r>
      <w:r w:rsidR="00F62643">
        <w:t xml:space="preserve">Hellenistic World in the late third century BC – or “our version” of it at least. </w:t>
      </w:r>
      <w:r w:rsidR="00566F92">
        <w:t xml:space="preserve"> Moreover, detachment would also allow me to </w:t>
      </w:r>
      <w:r w:rsidR="00A25652">
        <w:t xml:space="preserve">closely examine the concept of cause and effect, whether it </w:t>
      </w:r>
      <w:r w:rsidR="00152C12">
        <w:t>is</w:t>
      </w:r>
      <w:r w:rsidR="00A25652">
        <w:t xml:space="preserve"> on </w:t>
      </w:r>
      <w:r w:rsidR="00E462B1">
        <w:t xml:space="preserve">both the small and the larger scale, and the impact of these on character development and the world at large. </w:t>
      </w:r>
      <w:r w:rsidR="00152C12">
        <w:t xml:space="preserve"> </w:t>
      </w:r>
    </w:p>
    <w:p w:rsidR="00F93E79" w:rsidRDefault="00152C12" w:rsidP="00A64BC9">
      <w:pPr>
        <w:jc w:val="both"/>
      </w:pPr>
      <w:r>
        <w:t xml:space="preserve">And finally, I would like to clarify how I intend to structure this journal in terms of content, including how each session is to be organised. </w:t>
      </w:r>
      <w:r w:rsidR="003B1722">
        <w:t xml:space="preserve"> Although most would decide against including the introdu</w:t>
      </w:r>
      <w:r w:rsidR="005A33F3">
        <w:t xml:space="preserve">ctory sessions of the module in their own respective journals, and as such would not believe it to be an important </w:t>
      </w:r>
      <w:r w:rsidR="00CE5887">
        <w:t>part of the gameplay experience,</w:t>
      </w:r>
      <w:r w:rsidR="005A33F3">
        <w:t xml:space="preserve"> </w:t>
      </w:r>
      <w:r w:rsidR="006C2B5C">
        <w:t>I however have decided to do the opposite as I feel</w:t>
      </w:r>
      <w:r w:rsidR="00B109B9">
        <w:t xml:space="preserve"> it to be essential in terms of both world-building – and as a study of group dynamics. </w:t>
      </w:r>
      <w:r w:rsidR="004A1A0E">
        <w:t xml:space="preserve"> These formed about two to three weeks’ worth of the course content </w:t>
      </w:r>
      <w:r w:rsidR="00CE5887">
        <w:t>overall</w:t>
      </w:r>
      <w:r w:rsidR="004A1A0E">
        <w:t xml:space="preserve"> and in fact played a large role in terms of how gameplay was going to pan out before </w:t>
      </w:r>
      <w:r w:rsidR="00492582">
        <w:t xml:space="preserve">the experience even started.  </w:t>
      </w:r>
    </w:p>
    <w:p w:rsidR="00152C12" w:rsidRDefault="00346E4A" w:rsidP="00A64BC9">
      <w:pPr>
        <w:jc w:val="both"/>
      </w:pPr>
      <w:r>
        <w:t>I will describe these in terms of the research that took place, and the creative decisions we made as a group in response. Sessions that cover gameplay, on the other hand, will mostly be dedicated to the actions (and related concepts) I took as a member of my respective courts (C</w:t>
      </w:r>
      <w:r w:rsidR="00822359">
        <w:t xml:space="preserve">oele-Syria, Kingdom of Armenia), and how these relate to events in the wider world; discussion at points will include generally notable events that may not relate to me or my court specifically, </w:t>
      </w:r>
      <w:r w:rsidR="00AC3D9A">
        <w:t xml:space="preserve">but still are of importance to still warrant extended discussion. </w:t>
      </w:r>
      <w:r w:rsidR="00C875E6">
        <w:t xml:space="preserve"> These will both include discussions of hi</w:t>
      </w:r>
      <w:r w:rsidR="00F93E79">
        <w:t>storical precedent, as it is a concept that is forever present throughout all aspects of this module – especially how this is supposed to underpin the vast majority of the actions we take, as per the guidelines set out in the module handbook.</w:t>
      </w:r>
    </w:p>
    <w:p w:rsidR="00C30665" w:rsidRDefault="00C30665" w:rsidP="00A64BC9">
      <w:pPr>
        <w:jc w:val="both"/>
      </w:pPr>
    </w:p>
    <w:p w:rsidR="00C30665" w:rsidRDefault="00C30665" w:rsidP="00A64BC9">
      <w:pPr>
        <w:jc w:val="both"/>
      </w:pPr>
    </w:p>
    <w:p w:rsidR="00C30665" w:rsidRPr="00601838" w:rsidRDefault="006F3155" w:rsidP="00A64BC9">
      <w:pPr>
        <w:jc w:val="both"/>
        <w:rPr>
          <w:u w:val="single"/>
        </w:rPr>
      </w:pPr>
      <w:r>
        <w:rPr>
          <w:u w:val="single"/>
        </w:rPr>
        <w:lastRenderedPageBreak/>
        <w:t>Introductory Sessions</w:t>
      </w:r>
    </w:p>
    <w:p w:rsidR="00F93E79" w:rsidRDefault="00797A0C" w:rsidP="00A64BC9">
      <w:pPr>
        <w:jc w:val="both"/>
      </w:pPr>
      <w:r>
        <w:t xml:space="preserve">In these </w:t>
      </w:r>
      <w:r w:rsidR="00601838">
        <w:t>session</w:t>
      </w:r>
      <w:r>
        <w:t>s</w:t>
      </w:r>
      <w:r w:rsidR="00601838">
        <w:t xml:space="preserve"> the primary aim was to introduce both myself and my peers to the Court and Society module, </w:t>
      </w:r>
      <w:r w:rsidR="00A2399B">
        <w:t xml:space="preserve">which included discussion of what was expected of us in terms of assignments, research, and more importantly – group </w:t>
      </w:r>
      <w:r w:rsidR="00916A8E">
        <w:t xml:space="preserve">work. Before we were sorted into our respective courts, each of us was tasked with putting together small groups (of approximately three or four people; one group did however have five) </w:t>
      </w:r>
      <w:r w:rsidR="00490C0C">
        <w:t xml:space="preserve">with our peers: each group would represent a court, so it was important that we formed a group with those we knew we could work well with. </w:t>
      </w:r>
      <w:r w:rsidR="00630B8B">
        <w:t xml:space="preserve">Given that people had pretty much already formed groups by the time I had come into the lecture room, I wasn’t left with much choice in terms of who I could join up with – I did find good company in Aaron Barry and Joe Waddock, however, and </w:t>
      </w:r>
      <w:r w:rsidR="00015F45">
        <w:t>we decided to form a group there and then.  Shortly afterwards we became the region of Coele-Syria and Phoenicia</w:t>
      </w:r>
      <w:r w:rsidR="002B09F5">
        <w:t xml:space="preserve"> – which was still an asset of the Ptolemaic Empire at the end of the third century – by chance, as Kyle had decided to draw each court from a bag. </w:t>
      </w:r>
    </w:p>
    <w:p w:rsidR="00212CE9" w:rsidRDefault="00D612CF" w:rsidP="00A64BC9">
      <w:pPr>
        <w:jc w:val="both"/>
      </w:pPr>
      <w:r>
        <w:t>As each group had just been sorted into our respective courts, our fir</w:t>
      </w:r>
      <w:r w:rsidR="00C7649A">
        <w:t>st objective, therefore, was to</w:t>
      </w:r>
      <w:r w:rsidR="00E01CC3">
        <w:t xml:space="preserve"> which roles we were going to play – and to make sure that we were able to put these into context. </w:t>
      </w:r>
      <w:r w:rsidR="00184B57">
        <w:t xml:space="preserve"> This meant that we had to undertake some preliminary research as to familiarise ourselves with the social, economic, and political structures within the region of Coele-Syria </w:t>
      </w:r>
      <w:r w:rsidR="00DE556B">
        <w:t xml:space="preserve">and Phoenicia, which would then enable us to make a far more informed decision as to the roles that we wished to play. Although </w:t>
      </w:r>
      <w:r w:rsidR="000F1F0B">
        <w:t xml:space="preserve">we could have co-opted the standard structure for provincial governments within the Ptolemaic and Seleucid Empires during this period, </w:t>
      </w:r>
      <w:r w:rsidR="0037056C">
        <w:t xml:space="preserve">we instead decided to go for a structure that was reflective of the evidence available; Coele-Syria, given its </w:t>
      </w:r>
      <w:r w:rsidR="007F7CAB">
        <w:t>multi-ethnic background (</w:t>
      </w:r>
      <w:r w:rsidR="00DA7223">
        <w:t>strong influence of J</w:t>
      </w:r>
      <w:r w:rsidR="00D73DF2">
        <w:t xml:space="preserve">ewish and Aramaic cultures) and reliance on Persian infrastructure meant that governance of the region was </w:t>
      </w:r>
      <w:r w:rsidR="007F7CAB">
        <w:t>unorthodox</w:t>
      </w:r>
      <w:r w:rsidR="00D73DF2">
        <w:t xml:space="preserve"> compared to </w:t>
      </w:r>
      <w:r w:rsidR="007F7CAB">
        <w:t>its overly Greek counterparts.</w:t>
      </w:r>
      <w:r w:rsidR="007A4E79">
        <w:rPr>
          <w:rStyle w:val="FootnoteReference"/>
        </w:rPr>
        <w:footnoteReference w:id="1"/>
      </w:r>
      <w:r w:rsidR="007F7CAB">
        <w:t xml:space="preserve">  </w:t>
      </w:r>
    </w:p>
    <w:p w:rsidR="00D612CF" w:rsidRDefault="00AE6B47" w:rsidP="00A64BC9">
      <w:pPr>
        <w:jc w:val="both"/>
      </w:pPr>
      <w:r>
        <w:t xml:space="preserve">Although there is a lot of evidence for economic activity within Coele-Syria during the Ptolemaic </w:t>
      </w:r>
      <w:r w:rsidR="00AA353B">
        <w:t>period (i.e. Zenon Archives)</w:t>
      </w:r>
      <w:r>
        <w:t xml:space="preserve">, </w:t>
      </w:r>
      <w:r w:rsidR="00EB2C4F">
        <w:t xml:space="preserve">the same cannot be said for that of political structures – we therefore had to turn to Jewish and Seleucid </w:t>
      </w:r>
      <w:r w:rsidR="00AA353B">
        <w:t>sources in order to paint a greater picture of this.</w:t>
      </w:r>
      <w:r w:rsidR="00CA0E64">
        <w:rPr>
          <w:rStyle w:val="FootnoteReference"/>
        </w:rPr>
        <w:footnoteReference w:id="2"/>
      </w:r>
      <w:r w:rsidR="00AA353B">
        <w:t xml:space="preserve">  </w:t>
      </w:r>
      <w:r w:rsidR="00212CE9">
        <w:t xml:space="preserve">From our research we were then able to piece together an approximation of the political structures during this period, and in turn could now choose our respective roles and begin the </w:t>
      </w:r>
      <w:r w:rsidR="006E3A96">
        <w:t xml:space="preserve">next stage of research: Aaron and Joe had appointed themselves to be high priests of Sidon and </w:t>
      </w:r>
      <w:r w:rsidR="00343F0E">
        <w:t xml:space="preserve">Tyre, leaving me to adopt the role of Satrap (or Omar) of Coele-Syria.  </w:t>
      </w:r>
      <w:r w:rsidR="00FB50BB">
        <w:t xml:space="preserve">This also provided me with the basis of what was to be Kleitos Eupator’s background as a character, of which I could then expand </w:t>
      </w:r>
      <w:r w:rsidR="0001344C">
        <w:t xml:space="preserve">through further research –such as working relationships he would hold both with his high priests, and his King in Alexandria.  </w:t>
      </w:r>
      <w:r w:rsidR="00FB50BB">
        <w:t xml:space="preserve"> </w:t>
      </w:r>
      <w:r w:rsidR="00481785">
        <w:t>Conversely, the impact it had on the policies available to us as a group was mixed. While we now had a</w:t>
      </w:r>
      <w:r w:rsidR="007D05E0">
        <w:t xml:space="preserve"> greate</w:t>
      </w:r>
      <w:r w:rsidR="007D6129">
        <w:t xml:space="preserve">r picture in terms of </w:t>
      </w:r>
      <w:r w:rsidR="002B5E0D">
        <w:t>what these were</w:t>
      </w:r>
      <w:r w:rsidR="007D6129">
        <w:t>, it was how these policies were put into practice that still remained unclear.</w:t>
      </w:r>
      <w:r w:rsidR="009D18FF">
        <w:rPr>
          <w:rStyle w:val="FootnoteReference"/>
        </w:rPr>
        <w:footnoteReference w:id="3"/>
      </w:r>
      <w:r w:rsidR="007D6129">
        <w:t xml:space="preserve"> An example of this was the </w:t>
      </w:r>
      <w:r w:rsidR="005C08D5">
        <w:t>use of taxation and tribute in relation to Jews or wealthy patrons</w:t>
      </w:r>
      <w:r w:rsidR="002B5E0D">
        <w:t xml:space="preserve">, </w:t>
      </w:r>
      <w:r w:rsidR="00EA6139">
        <w:t>where the source material made no mention as to the frequency of these payments, especi</w:t>
      </w:r>
      <w:r w:rsidR="00C92288">
        <w:t xml:space="preserve">ally in the case of the latter; there exists evidence in Sulpicius Severus’ </w:t>
      </w:r>
      <w:r w:rsidR="00DE2859">
        <w:rPr>
          <w:i/>
        </w:rPr>
        <w:t>Chronicon</w:t>
      </w:r>
      <w:r w:rsidR="00DE2859">
        <w:t xml:space="preserve"> of </w:t>
      </w:r>
      <w:r w:rsidR="00DE2859">
        <w:lastRenderedPageBreak/>
        <w:t>Menelaus</w:t>
      </w:r>
      <w:r w:rsidR="00471178">
        <w:t xml:space="preserve"> paying a tribute of six hundred talents to Antiochus III, </w:t>
      </w:r>
      <w:r w:rsidR="00DE2859">
        <w:t>but no mention as to if this was a</w:t>
      </w:r>
      <w:r w:rsidR="00C333D6">
        <w:t xml:space="preserve"> recurring or one-time payment.</w:t>
      </w:r>
      <w:r w:rsidR="00C333D6">
        <w:rPr>
          <w:rStyle w:val="FootnoteReference"/>
        </w:rPr>
        <w:footnoteReference w:id="4"/>
      </w:r>
      <w:r w:rsidR="001C2D9A">
        <w:t xml:space="preserve"> The collection of lan</w:t>
      </w:r>
      <w:r w:rsidR="00A8098F">
        <w:t xml:space="preserve">d taxes was also an issue, especially in relation to the taxation of non-Jews in Coele-Syria; although </w:t>
      </w:r>
      <w:r w:rsidR="0031100C">
        <w:t xml:space="preserve">there existed a wealth of evidence that discussed this in relation to Jews (unsurprisingly), the same could not be said for non-Jews, especially those of Greek/Hellenic origin – with the Zenon archive, for example, focussing on the wages Greek soldiers earned as opposed to the taxes they paid. </w:t>
      </w:r>
      <w:r w:rsidR="00D24B8E">
        <w:rPr>
          <w:rStyle w:val="FootnoteReference"/>
        </w:rPr>
        <w:footnoteReference w:id="5"/>
      </w:r>
    </w:p>
    <w:p w:rsidR="00D13D19" w:rsidRDefault="003E7898" w:rsidP="00A64BC9">
      <w:pPr>
        <w:jc w:val="both"/>
      </w:pPr>
      <w:r>
        <w:t xml:space="preserve">These sessions would also serve as the basis for my research in both the character dossier and the resource model, with the latter especially being supplemented by the work Aaron, Joe and I did as a group – whether it be through the sharing of resources, or discussion of how we were to apply our research in practice. As I had decided to play the Satrap (or Omar) of </w:t>
      </w:r>
      <w:r w:rsidR="00D24B8E">
        <w:t xml:space="preserve">Coele-Syria, it was therefore my responsibility to research the economic and political infrastructure within the region’s capital city, Damascus. </w:t>
      </w:r>
      <w:proofErr w:type="gramStart"/>
      <w:r w:rsidR="00D24B8E">
        <w:t>Similar to</w:t>
      </w:r>
      <w:proofErr w:type="gramEnd"/>
      <w:r w:rsidR="00D24B8E">
        <w:t xml:space="preserve"> our previous research, Ptolemaic sources on Damascus during this period were sparse in terms of facts or figures, and as such meant that I had to turn to the Seleucid, Jewish and Aramaic sources in order to get a better understanding of the city and its inhabitants. </w:t>
      </w:r>
      <w:r w:rsidR="00646546">
        <w:rPr>
          <w:rStyle w:val="FootnoteReference"/>
        </w:rPr>
        <w:footnoteReference w:id="6"/>
      </w:r>
      <w:r w:rsidR="00646546">
        <w:t xml:space="preserve"> There is no mention of, for example, of a clear or definitive answer as to the size of the population within Damascus – or the surrounding settlements for that matter. This meant that I had to piece together the figures we would later use during the gameplay elements based on comparisons made with cities of a similar size, such as Jerusalem or Antioch. </w:t>
      </w:r>
    </w:p>
    <w:p w:rsidR="00646546" w:rsidRPr="000C2320" w:rsidRDefault="000C2320" w:rsidP="00A64BC9">
      <w:pPr>
        <w:jc w:val="both"/>
        <w:rPr>
          <w:u w:val="single"/>
        </w:rPr>
      </w:pPr>
      <w:r w:rsidRPr="000C2320">
        <w:rPr>
          <w:u w:val="single"/>
        </w:rPr>
        <w:t>Gameplay: Coele-Syria</w:t>
      </w:r>
    </w:p>
    <w:p w:rsidR="00646546" w:rsidRDefault="00CF5F27" w:rsidP="00A64BC9">
      <w:pPr>
        <w:jc w:val="both"/>
      </w:pPr>
      <w:r>
        <w:t xml:space="preserve">The first part of my gameplay experience, which had begun at 223 BC, was as Satrap of Coele-Syria, then an asset of the Ptolemaic Empire – and as such meant that we were subject to the intentions of its King, Ptolemy IV [Luke Carter].  My involvement in Coele-Syria was </w:t>
      </w:r>
      <w:r w:rsidR="00796E90">
        <w:t xml:space="preserve">at times rather limited, given the actions taken by both Ptolemy and the members of my group, which ranged from being taken hostage in Alexandria for almost two years (221 – 219 BC), to being used as a bargaining chip in a deal that would eventually see governance of Coele-Syria devolved into three smaller, regional governments.  </w:t>
      </w:r>
      <w:r>
        <w:t xml:space="preserve"> </w:t>
      </w:r>
      <w:proofErr w:type="spellStart"/>
      <w:r w:rsidR="00695F36">
        <w:t>Kleitos</w:t>
      </w:r>
      <w:proofErr w:type="spellEnd"/>
      <w:r w:rsidR="00695F36">
        <w:t xml:space="preserve"> would fall to Ptolemy’s alcoholism, as written by Polybius.</w:t>
      </w:r>
      <w:r w:rsidR="00695F36">
        <w:rPr>
          <w:rStyle w:val="FootnoteReference"/>
        </w:rPr>
        <w:footnoteReference w:id="7"/>
      </w:r>
    </w:p>
    <w:p w:rsidR="0051743E" w:rsidRDefault="00796E90" w:rsidP="00A64BC9">
      <w:pPr>
        <w:jc w:val="both"/>
      </w:pPr>
      <w:r>
        <w:t>Our first action as a group was to build a road that was to connect the cities of Damascus, Tyre and Sidon, as to allow far more efficient communication between the cities – and to make it far easier to levy soldiers in circumstances of war. This also included construction of a bridge at the Euphrates, of which we had then planned to build fortifications around. Our basis for this decision was the Zenon Archive, of which Zenon had discussed the construction of bridges over canals – and the contracts that were rewarded to labourers.</w:t>
      </w:r>
      <w:r>
        <w:rPr>
          <w:rStyle w:val="FootnoteReference"/>
        </w:rPr>
        <w:footnoteReference w:id="8"/>
      </w:r>
      <w:r w:rsidR="0051743E">
        <w:t xml:space="preserve"> This went down rather well for the most part, with progress being relatively good for the space of twelve in-game months – before having to abandon the project when Carter called for war. </w:t>
      </w:r>
    </w:p>
    <w:p w:rsidR="0051743E" w:rsidRDefault="0051743E" w:rsidP="00A64BC9">
      <w:pPr>
        <w:jc w:val="both"/>
      </w:pPr>
      <w:r>
        <w:t xml:space="preserve">Carter’s decision to go to war was based on his (or Ptolemy’s) desire to expand the Empire’s control in Syria to the North – itself a point of contention for more than a century between the Ptolemaic and Seleucid powers, and a vital asset when it comes to gaining complete control of both the </w:t>
      </w:r>
      <w:r>
        <w:lastRenderedPageBreak/>
        <w:t>Arabian Desert, and the River Euphrates.</w:t>
      </w:r>
      <w:r w:rsidR="00695F36">
        <w:rPr>
          <w:rStyle w:val="FootnoteReference"/>
        </w:rPr>
        <w:footnoteReference w:id="9"/>
      </w:r>
      <w:r>
        <w:t xml:space="preserve"> Given that Coele-Syria was in the centre of this confl</w:t>
      </w:r>
      <w:r w:rsidR="00695F36">
        <w:t xml:space="preserve">ict, it therefore fell to us act as both a muster point and an advance party for the invasion of Northern Syria; this ended in the botched siege of Laodicea, although we were able to somehow 15,000 more troops than what we started with (20,000) – most likely out of human error on Carter’s part.  Both the Seleucids, and the Ptolemaic courts had intended to fight a pitched battle similar in scale to </w:t>
      </w:r>
      <w:proofErr w:type="spellStart"/>
      <w:r w:rsidR="00695F36">
        <w:t>Raphia</w:t>
      </w:r>
      <w:proofErr w:type="spellEnd"/>
      <w:r w:rsidR="00695F36">
        <w:t xml:space="preserve"> (317 BC), but this never occurred due to last-minute negotiations between the royal courts.</w:t>
      </w:r>
    </w:p>
    <w:p w:rsidR="00695F36" w:rsidRPr="00C92288" w:rsidRDefault="00695F36" w:rsidP="00A64BC9">
      <w:pPr>
        <w:jc w:val="both"/>
      </w:pPr>
    </w:p>
    <w:p w:rsidR="00F93E79" w:rsidRPr="00A64BC9" w:rsidRDefault="00F93E79" w:rsidP="00A64BC9">
      <w:pPr>
        <w:jc w:val="both"/>
      </w:pPr>
    </w:p>
    <w:p w:rsidR="00635F24" w:rsidRDefault="00635F24">
      <w:pPr>
        <w:jc w:val="both"/>
      </w:pPr>
    </w:p>
    <w:p w:rsidR="00635F24" w:rsidRDefault="00635F24">
      <w:r>
        <w:br w:type="page"/>
      </w:r>
    </w:p>
    <w:p w:rsidR="00AA353B" w:rsidRDefault="00635F24">
      <w:pPr>
        <w:jc w:val="both"/>
        <w:rPr>
          <w:u w:val="single"/>
        </w:rPr>
      </w:pPr>
      <w:r w:rsidRPr="00635F24">
        <w:rPr>
          <w:u w:val="single"/>
        </w:rPr>
        <w:lastRenderedPageBreak/>
        <w:t>Bibliography</w:t>
      </w:r>
    </w:p>
    <w:p w:rsidR="00635F24" w:rsidRDefault="00635F24">
      <w:pPr>
        <w:jc w:val="both"/>
      </w:pPr>
      <w:r>
        <w:t>Polybius</w:t>
      </w:r>
    </w:p>
    <w:p w:rsidR="00635F24" w:rsidRPr="00635F24" w:rsidRDefault="00635F24">
      <w:pPr>
        <w:jc w:val="both"/>
      </w:pPr>
      <w:r>
        <w:t xml:space="preserve">Zenon, </w:t>
      </w:r>
      <w:r>
        <w:rPr>
          <w:i/>
        </w:rPr>
        <w:t>Papyri</w:t>
      </w:r>
      <w:bookmarkStart w:id="4" w:name="_GoBack"/>
      <w:bookmarkEnd w:id="4"/>
    </w:p>
    <w:p w:rsidR="00635F24" w:rsidRDefault="00635F24">
      <w:pPr>
        <w:jc w:val="both"/>
        <w:rPr>
          <w:u w:val="single"/>
        </w:rPr>
      </w:pPr>
      <w:r>
        <w:rPr>
          <w:u w:val="single"/>
        </w:rPr>
        <w:t>Modern Scholarship</w:t>
      </w:r>
    </w:p>
    <w:p w:rsidR="00635F24" w:rsidRDefault="00635F24" w:rsidP="00635F24">
      <w:pPr>
        <w:jc w:val="both"/>
      </w:pPr>
      <w:r w:rsidRPr="00635F24">
        <w:t>Millar, F.G.B. 1987.</w:t>
      </w:r>
      <w:r w:rsidRPr="00635F24">
        <w:rPr>
          <w:i/>
          <w:iCs/>
        </w:rPr>
        <w:t> 'The Problem of Hellenistic Syria'</w:t>
      </w:r>
      <w:r w:rsidRPr="00635F24">
        <w:t xml:space="preserve">, in </w:t>
      </w:r>
      <w:proofErr w:type="spellStart"/>
      <w:r w:rsidRPr="00635F24">
        <w:t>Kuhrt</w:t>
      </w:r>
      <w:proofErr w:type="spellEnd"/>
      <w:r w:rsidRPr="00635F24">
        <w:t>, A. (ed.)</w:t>
      </w:r>
      <w:r w:rsidRPr="00635F24">
        <w:rPr>
          <w:i/>
          <w:iCs/>
        </w:rPr>
        <w:t> Hellenism in the East: The Interaction of Greek and Non-Greek Civilizations from Syria to Central Asia After Alexander</w:t>
      </w:r>
      <w:r w:rsidRPr="00635F24">
        <w:t> (United Kingdom: Duckworth),</w:t>
      </w:r>
    </w:p>
    <w:p w:rsidR="00635F24" w:rsidRPr="00635F24" w:rsidRDefault="00635F24" w:rsidP="00635F24">
      <w:pPr>
        <w:jc w:val="both"/>
      </w:pPr>
      <w:r w:rsidRPr="00635F24">
        <w:t xml:space="preserve">A. </w:t>
      </w:r>
      <w:proofErr w:type="spellStart"/>
      <w:r w:rsidRPr="00635F24">
        <w:t>Mittwoch</w:t>
      </w:r>
      <w:proofErr w:type="spellEnd"/>
      <w:r w:rsidRPr="00635F24">
        <w:t>. 1955.</w:t>
      </w:r>
      <w:r w:rsidRPr="00635F24">
        <w:rPr>
          <w:i/>
          <w:iCs/>
        </w:rPr>
        <w:t> 'Tribute and Land-Tax in Seleucid Judaea'</w:t>
      </w:r>
      <w:r w:rsidRPr="00635F24">
        <w:t xml:space="preserve">, </w:t>
      </w:r>
      <w:proofErr w:type="spellStart"/>
      <w:r w:rsidRPr="00635F24">
        <w:t>Biblica</w:t>
      </w:r>
      <w:proofErr w:type="spellEnd"/>
      <w:r w:rsidRPr="00635F24">
        <w:t>, v36, pp352</w:t>
      </w:r>
    </w:p>
    <w:p w:rsidR="00635F24" w:rsidRPr="00635F24" w:rsidRDefault="00635F24" w:rsidP="00635F24">
      <w:pPr>
        <w:jc w:val="both"/>
      </w:pPr>
      <w:r w:rsidRPr="00635F24">
        <w:t>Smith, R.H. 1990.</w:t>
      </w:r>
      <w:r w:rsidRPr="00635F24">
        <w:rPr>
          <w:i/>
          <w:iCs/>
        </w:rPr>
        <w:t> 'The Southern Levant in the Hellenistic Period'</w:t>
      </w:r>
      <w:r w:rsidRPr="00635F24">
        <w:t xml:space="preserve">, The Journal of the Council for British Research in the Levant, v22, </w:t>
      </w:r>
    </w:p>
    <w:p w:rsidR="00635F24" w:rsidRPr="00635F24" w:rsidRDefault="00635F24">
      <w:pPr>
        <w:jc w:val="both"/>
        <w:rPr>
          <w:u w:val="single"/>
        </w:rPr>
      </w:pPr>
    </w:p>
    <w:sectPr w:rsidR="00635F24" w:rsidRPr="00635F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4E79" w:rsidRDefault="007A4E79" w:rsidP="007A4E79">
      <w:pPr>
        <w:spacing w:after="0" w:line="240" w:lineRule="auto"/>
      </w:pPr>
      <w:r>
        <w:separator/>
      </w:r>
    </w:p>
  </w:endnote>
  <w:endnote w:type="continuationSeparator" w:id="0">
    <w:p w:rsidR="007A4E79" w:rsidRDefault="007A4E79" w:rsidP="007A4E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4E79" w:rsidRDefault="007A4E79" w:rsidP="007A4E79">
      <w:pPr>
        <w:spacing w:after="0" w:line="240" w:lineRule="auto"/>
      </w:pPr>
      <w:r>
        <w:separator/>
      </w:r>
    </w:p>
  </w:footnote>
  <w:footnote w:type="continuationSeparator" w:id="0">
    <w:p w:rsidR="007A4E79" w:rsidRDefault="007A4E79" w:rsidP="007A4E79">
      <w:pPr>
        <w:spacing w:after="0" w:line="240" w:lineRule="auto"/>
      </w:pPr>
      <w:r>
        <w:continuationSeparator/>
      </w:r>
    </w:p>
  </w:footnote>
  <w:footnote w:id="1">
    <w:p w:rsidR="007A4E79" w:rsidRPr="007A4E79" w:rsidRDefault="007A4E79" w:rsidP="007A4E79">
      <w:pPr>
        <w:pStyle w:val="FootnoteText"/>
      </w:pPr>
      <w:r>
        <w:rPr>
          <w:rStyle w:val="FootnoteReference"/>
        </w:rPr>
        <w:footnoteRef/>
      </w:r>
      <w:r>
        <w:t xml:space="preserve"> </w:t>
      </w:r>
      <w:bookmarkStart w:id="0" w:name="_Hlk513587008"/>
      <w:r w:rsidRPr="007A4E79">
        <w:t>Millar, F.G.B. 1987.</w:t>
      </w:r>
      <w:r w:rsidRPr="007A4E79">
        <w:rPr>
          <w:i/>
          <w:iCs/>
        </w:rPr>
        <w:t> 'The Problem of Hellenistic Syria'</w:t>
      </w:r>
      <w:r w:rsidRPr="007A4E79">
        <w:t>, in Kuhrt, A. (ed.)</w:t>
      </w:r>
      <w:r w:rsidRPr="007A4E79">
        <w:rPr>
          <w:i/>
          <w:iCs/>
        </w:rPr>
        <w:t> Hellenism in the East: The Interaction of Greek and Non-Greek Civilizations from Syria to Central Asia After Alexander</w:t>
      </w:r>
      <w:r w:rsidRPr="007A4E79">
        <w:t> (United Kingdom: Duckworth)</w:t>
      </w:r>
      <w:r w:rsidR="0019799A">
        <w:t>, pp18</w:t>
      </w:r>
    </w:p>
    <w:p w:rsidR="007A4E79" w:rsidRPr="007A4E79" w:rsidRDefault="007A4E79" w:rsidP="007A4E79">
      <w:pPr>
        <w:pStyle w:val="FootnoteText"/>
      </w:pPr>
      <w:r w:rsidRPr="007A4E79">
        <w:t>Smith, R.H. 1990.</w:t>
      </w:r>
      <w:r w:rsidRPr="007A4E79">
        <w:rPr>
          <w:i/>
          <w:iCs/>
        </w:rPr>
        <w:t> 'The Southern Levant in the Hellenistic Period'</w:t>
      </w:r>
      <w:r w:rsidRPr="007A4E79">
        <w:t xml:space="preserve">, The Journal of the Council for British Research in the Levant, </w:t>
      </w:r>
      <w:r w:rsidR="0019799A">
        <w:t>v22, pp</w:t>
      </w:r>
      <w:r w:rsidRPr="007A4E79">
        <w:t>123</w:t>
      </w:r>
    </w:p>
    <w:bookmarkEnd w:id="0"/>
    <w:p w:rsidR="007A4E79" w:rsidRDefault="007A4E79">
      <w:pPr>
        <w:pStyle w:val="FootnoteText"/>
      </w:pPr>
    </w:p>
  </w:footnote>
  <w:footnote w:id="2">
    <w:p w:rsidR="00CA0E64" w:rsidRPr="006F3155" w:rsidRDefault="00CA0E64">
      <w:pPr>
        <w:pStyle w:val="FootnoteText"/>
        <w:rPr>
          <w:lang w:val="sv-SE"/>
        </w:rPr>
      </w:pPr>
      <w:r>
        <w:rPr>
          <w:rStyle w:val="FootnoteReference"/>
        </w:rPr>
        <w:footnoteRef/>
      </w:r>
      <w:r w:rsidRPr="006F3155">
        <w:rPr>
          <w:lang w:val="sv-SE"/>
        </w:rPr>
        <w:t xml:space="preserve"> </w:t>
      </w:r>
      <w:bookmarkStart w:id="1" w:name="_Hlk513584212"/>
      <w:proofErr w:type="spellStart"/>
      <w:r w:rsidRPr="006F3155">
        <w:rPr>
          <w:lang w:val="sv-SE"/>
        </w:rPr>
        <w:t>Millar</w:t>
      </w:r>
      <w:proofErr w:type="spellEnd"/>
      <w:r w:rsidRPr="006F3155">
        <w:rPr>
          <w:lang w:val="sv-SE"/>
        </w:rPr>
        <w:t>, F.G.B. 1987, pp19</w:t>
      </w:r>
      <w:bookmarkEnd w:id="1"/>
      <w:r w:rsidR="00766D6C" w:rsidRPr="006F3155">
        <w:rPr>
          <w:lang w:val="sv-SE"/>
        </w:rPr>
        <w:t>, Smith R.H., 1990, pp123</w:t>
      </w:r>
    </w:p>
  </w:footnote>
  <w:footnote w:id="3">
    <w:p w:rsidR="009D18FF" w:rsidRDefault="009D18FF">
      <w:pPr>
        <w:pStyle w:val="FootnoteText"/>
      </w:pPr>
      <w:r>
        <w:rPr>
          <w:rStyle w:val="FootnoteReference"/>
        </w:rPr>
        <w:footnoteRef/>
      </w:r>
      <w:r>
        <w:t xml:space="preserve"> </w:t>
      </w:r>
      <w:bookmarkStart w:id="2" w:name="_Hlk513587043"/>
      <w:r w:rsidRPr="009D18FF">
        <w:t xml:space="preserve">A. </w:t>
      </w:r>
      <w:proofErr w:type="spellStart"/>
      <w:r w:rsidRPr="009D18FF">
        <w:t>Mittwoch</w:t>
      </w:r>
      <w:proofErr w:type="spellEnd"/>
      <w:r w:rsidRPr="009D18FF">
        <w:t>. 1955.</w:t>
      </w:r>
      <w:r w:rsidRPr="009D18FF">
        <w:rPr>
          <w:i/>
          <w:iCs/>
        </w:rPr>
        <w:t> </w:t>
      </w:r>
      <w:r>
        <w:rPr>
          <w:i/>
          <w:iCs/>
        </w:rPr>
        <w:t>'Tribute and Land-Tax i</w:t>
      </w:r>
      <w:r w:rsidRPr="009D18FF">
        <w:rPr>
          <w:i/>
          <w:iCs/>
        </w:rPr>
        <w:t>n Seleucid Judaea'</w:t>
      </w:r>
      <w:r w:rsidRPr="009D18FF">
        <w:t xml:space="preserve">, Biblica, </w:t>
      </w:r>
      <w:r>
        <w:t>v</w:t>
      </w:r>
      <w:r w:rsidR="006B36C5">
        <w:t>36, pp352</w:t>
      </w:r>
      <w:bookmarkEnd w:id="2"/>
    </w:p>
  </w:footnote>
  <w:footnote w:id="4">
    <w:p w:rsidR="00C333D6" w:rsidRPr="001B7954" w:rsidRDefault="00C333D6">
      <w:pPr>
        <w:pStyle w:val="FootnoteText"/>
      </w:pPr>
      <w:r>
        <w:rPr>
          <w:rStyle w:val="FootnoteReference"/>
        </w:rPr>
        <w:footnoteRef/>
      </w:r>
      <w:r>
        <w:t xml:space="preserve"> </w:t>
      </w:r>
      <w:proofErr w:type="spellStart"/>
      <w:r w:rsidR="007D52FA">
        <w:t>Mittowach</w:t>
      </w:r>
      <w:proofErr w:type="spellEnd"/>
      <w:r w:rsidR="007D52FA">
        <w:t>, A.</w:t>
      </w:r>
      <w:r w:rsidR="001B7954">
        <w:t xml:space="preserve"> 1955, pp</w:t>
      </w:r>
      <w:proofErr w:type="gramStart"/>
      <w:r w:rsidR="001B7954">
        <w:t xml:space="preserve">353,  </w:t>
      </w:r>
      <w:proofErr w:type="spellStart"/>
      <w:r w:rsidR="001B7954" w:rsidRPr="001B7954">
        <w:t>Sulpicius</w:t>
      </w:r>
      <w:proofErr w:type="spellEnd"/>
      <w:proofErr w:type="gramEnd"/>
      <w:r w:rsidR="001B7954" w:rsidRPr="001B7954">
        <w:t xml:space="preserve"> Severus</w:t>
      </w:r>
      <w:r w:rsidR="00683655">
        <w:t>,</w:t>
      </w:r>
      <w:r w:rsidR="001B7954">
        <w:t xml:space="preserve"> </w:t>
      </w:r>
      <w:r w:rsidR="001B7954" w:rsidRPr="001B7954">
        <w:rPr>
          <w:i/>
        </w:rPr>
        <w:t>Chronicon</w:t>
      </w:r>
      <w:r w:rsidR="001B7954">
        <w:t xml:space="preserve"> 2.17.5</w:t>
      </w:r>
      <w:r w:rsidR="00683655">
        <w:t xml:space="preserve"> </w:t>
      </w:r>
    </w:p>
  </w:footnote>
  <w:footnote w:id="5">
    <w:p w:rsidR="00D24B8E" w:rsidRDefault="00D24B8E">
      <w:pPr>
        <w:pStyle w:val="FootnoteText"/>
      </w:pPr>
      <w:r>
        <w:rPr>
          <w:rStyle w:val="FootnoteReference"/>
        </w:rPr>
        <w:footnoteRef/>
      </w:r>
      <w:r>
        <w:t xml:space="preserve"> </w:t>
      </w:r>
      <w:bookmarkStart w:id="3" w:name="_Hlk513585187"/>
      <w:proofErr w:type="spellStart"/>
      <w:r>
        <w:rPr>
          <w:lang w:val="sv-SE"/>
        </w:rPr>
        <w:t>Millar</w:t>
      </w:r>
      <w:proofErr w:type="spellEnd"/>
      <w:r>
        <w:rPr>
          <w:lang w:val="sv-SE"/>
        </w:rPr>
        <w:t>, F.G.B. 1987, pp21</w:t>
      </w:r>
      <w:bookmarkEnd w:id="3"/>
    </w:p>
  </w:footnote>
  <w:footnote w:id="6">
    <w:p w:rsidR="00646546" w:rsidRDefault="00646546">
      <w:pPr>
        <w:pStyle w:val="FootnoteText"/>
      </w:pPr>
      <w:r>
        <w:rPr>
          <w:rStyle w:val="FootnoteReference"/>
        </w:rPr>
        <w:footnoteRef/>
      </w:r>
      <w:r>
        <w:t xml:space="preserve"> </w:t>
      </w:r>
      <w:proofErr w:type="spellStart"/>
      <w:r w:rsidR="000C2320" w:rsidRPr="000C2320">
        <w:rPr>
          <w:lang w:val="sv-SE"/>
        </w:rPr>
        <w:t>Millar</w:t>
      </w:r>
      <w:proofErr w:type="spellEnd"/>
      <w:r w:rsidR="000C2320" w:rsidRPr="000C2320">
        <w:rPr>
          <w:lang w:val="sv-SE"/>
        </w:rPr>
        <w:t>, F.G.B. 1987, pp21</w:t>
      </w:r>
    </w:p>
  </w:footnote>
  <w:footnote w:id="7">
    <w:p w:rsidR="00695F36" w:rsidRDefault="00695F36">
      <w:pPr>
        <w:pStyle w:val="FootnoteText"/>
      </w:pPr>
      <w:r>
        <w:rPr>
          <w:rStyle w:val="FootnoteReference"/>
        </w:rPr>
        <w:footnoteRef/>
      </w:r>
      <w:r>
        <w:t xml:space="preserve"> Polybius 5.34</w:t>
      </w:r>
    </w:p>
  </w:footnote>
  <w:footnote w:id="8">
    <w:p w:rsidR="00796E90" w:rsidRDefault="00796E90">
      <w:pPr>
        <w:pStyle w:val="FootnoteText"/>
      </w:pPr>
      <w:r>
        <w:rPr>
          <w:rStyle w:val="FootnoteReference"/>
        </w:rPr>
        <w:footnoteRef/>
      </w:r>
      <w:r>
        <w:t xml:space="preserve"> P. Petr.  3.43(2), </w:t>
      </w:r>
      <w:r w:rsidR="00153CF4">
        <w:t xml:space="preserve">P. Petr. </w:t>
      </w:r>
      <w:r>
        <w:t>3.46</w:t>
      </w:r>
    </w:p>
  </w:footnote>
  <w:footnote w:id="9">
    <w:p w:rsidR="00695F36" w:rsidRDefault="00695F36">
      <w:pPr>
        <w:pStyle w:val="FootnoteText"/>
      </w:pPr>
      <w:r>
        <w:rPr>
          <w:rStyle w:val="FootnoteReference"/>
        </w:rPr>
        <w:footnoteRef/>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4BC9"/>
    <w:rsid w:val="0000282A"/>
    <w:rsid w:val="0001344C"/>
    <w:rsid w:val="00015F45"/>
    <w:rsid w:val="00030906"/>
    <w:rsid w:val="00056B93"/>
    <w:rsid w:val="00072DD1"/>
    <w:rsid w:val="00087234"/>
    <w:rsid w:val="000C2320"/>
    <w:rsid w:val="000E7A14"/>
    <w:rsid w:val="000F1F0B"/>
    <w:rsid w:val="00117C10"/>
    <w:rsid w:val="00152C12"/>
    <w:rsid w:val="00153CF4"/>
    <w:rsid w:val="00161638"/>
    <w:rsid w:val="001716B6"/>
    <w:rsid w:val="00177178"/>
    <w:rsid w:val="00182E3B"/>
    <w:rsid w:val="00184B57"/>
    <w:rsid w:val="0019799A"/>
    <w:rsid w:val="001B7954"/>
    <w:rsid w:val="001C2D9A"/>
    <w:rsid w:val="001F18EA"/>
    <w:rsid w:val="00212CE9"/>
    <w:rsid w:val="00215D93"/>
    <w:rsid w:val="00260C3D"/>
    <w:rsid w:val="002750A1"/>
    <w:rsid w:val="00287769"/>
    <w:rsid w:val="002A31FB"/>
    <w:rsid w:val="002A34C7"/>
    <w:rsid w:val="002B09F5"/>
    <w:rsid w:val="002B5E0D"/>
    <w:rsid w:val="002C4333"/>
    <w:rsid w:val="002C55CF"/>
    <w:rsid w:val="002F6B2D"/>
    <w:rsid w:val="0031100C"/>
    <w:rsid w:val="0031400D"/>
    <w:rsid w:val="003162C2"/>
    <w:rsid w:val="00317CFC"/>
    <w:rsid w:val="003415F8"/>
    <w:rsid w:val="00343E10"/>
    <w:rsid w:val="00343F0E"/>
    <w:rsid w:val="00346E4A"/>
    <w:rsid w:val="0037056C"/>
    <w:rsid w:val="0037775F"/>
    <w:rsid w:val="00391CDE"/>
    <w:rsid w:val="003955CD"/>
    <w:rsid w:val="003B1722"/>
    <w:rsid w:val="003B3DFD"/>
    <w:rsid w:val="003B44DC"/>
    <w:rsid w:val="003B5759"/>
    <w:rsid w:val="003C4350"/>
    <w:rsid w:val="003E7898"/>
    <w:rsid w:val="0042542A"/>
    <w:rsid w:val="00471178"/>
    <w:rsid w:val="00475792"/>
    <w:rsid w:val="00481785"/>
    <w:rsid w:val="00490644"/>
    <w:rsid w:val="00490C0C"/>
    <w:rsid w:val="00492582"/>
    <w:rsid w:val="00493303"/>
    <w:rsid w:val="00494048"/>
    <w:rsid w:val="00494AD6"/>
    <w:rsid w:val="004A1A0E"/>
    <w:rsid w:val="004B1FAA"/>
    <w:rsid w:val="004B2FA4"/>
    <w:rsid w:val="004C0A54"/>
    <w:rsid w:val="005038E6"/>
    <w:rsid w:val="0051743E"/>
    <w:rsid w:val="00535EA3"/>
    <w:rsid w:val="00537308"/>
    <w:rsid w:val="00546D6A"/>
    <w:rsid w:val="00551442"/>
    <w:rsid w:val="0055352A"/>
    <w:rsid w:val="005537BC"/>
    <w:rsid w:val="0055634F"/>
    <w:rsid w:val="00557BA1"/>
    <w:rsid w:val="00566F92"/>
    <w:rsid w:val="0058219B"/>
    <w:rsid w:val="005A33F3"/>
    <w:rsid w:val="005B4F1B"/>
    <w:rsid w:val="005C055B"/>
    <w:rsid w:val="005C08D5"/>
    <w:rsid w:val="005E64D5"/>
    <w:rsid w:val="005F169A"/>
    <w:rsid w:val="005F68E0"/>
    <w:rsid w:val="006011EE"/>
    <w:rsid w:val="00601838"/>
    <w:rsid w:val="0061158C"/>
    <w:rsid w:val="00611C61"/>
    <w:rsid w:val="00617AD4"/>
    <w:rsid w:val="00630B8B"/>
    <w:rsid w:val="00635F24"/>
    <w:rsid w:val="00646546"/>
    <w:rsid w:val="00651C14"/>
    <w:rsid w:val="0065250C"/>
    <w:rsid w:val="00662280"/>
    <w:rsid w:val="00683655"/>
    <w:rsid w:val="006955C4"/>
    <w:rsid w:val="00695F36"/>
    <w:rsid w:val="006B36C5"/>
    <w:rsid w:val="006B45C2"/>
    <w:rsid w:val="006C2B5C"/>
    <w:rsid w:val="006E3A96"/>
    <w:rsid w:val="006E7078"/>
    <w:rsid w:val="006F3155"/>
    <w:rsid w:val="006F5AE5"/>
    <w:rsid w:val="00707386"/>
    <w:rsid w:val="00711932"/>
    <w:rsid w:val="007246B0"/>
    <w:rsid w:val="00726EA5"/>
    <w:rsid w:val="00736459"/>
    <w:rsid w:val="00761CC0"/>
    <w:rsid w:val="00766D6C"/>
    <w:rsid w:val="00796E90"/>
    <w:rsid w:val="00797A0C"/>
    <w:rsid w:val="007A4E79"/>
    <w:rsid w:val="007D05E0"/>
    <w:rsid w:val="007D3B9E"/>
    <w:rsid w:val="007D52FA"/>
    <w:rsid w:val="007D6129"/>
    <w:rsid w:val="007D6F0D"/>
    <w:rsid w:val="007F7CAB"/>
    <w:rsid w:val="0080003B"/>
    <w:rsid w:val="00815939"/>
    <w:rsid w:val="00822359"/>
    <w:rsid w:val="0083129F"/>
    <w:rsid w:val="0083399A"/>
    <w:rsid w:val="00834EB0"/>
    <w:rsid w:val="00854156"/>
    <w:rsid w:val="00863F62"/>
    <w:rsid w:val="00867EF2"/>
    <w:rsid w:val="00886E88"/>
    <w:rsid w:val="00894A09"/>
    <w:rsid w:val="008A5787"/>
    <w:rsid w:val="008C022A"/>
    <w:rsid w:val="008E1888"/>
    <w:rsid w:val="008F166C"/>
    <w:rsid w:val="0090221C"/>
    <w:rsid w:val="009109FA"/>
    <w:rsid w:val="00916156"/>
    <w:rsid w:val="00916A8E"/>
    <w:rsid w:val="009322E9"/>
    <w:rsid w:val="0099216C"/>
    <w:rsid w:val="009D121A"/>
    <w:rsid w:val="009D18FF"/>
    <w:rsid w:val="009F7923"/>
    <w:rsid w:val="00A170E9"/>
    <w:rsid w:val="00A2399B"/>
    <w:rsid w:val="00A25652"/>
    <w:rsid w:val="00A25E13"/>
    <w:rsid w:val="00A445BC"/>
    <w:rsid w:val="00A5608C"/>
    <w:rsid w:val="00A64BC9"/>
    <w:rsid w:val="00A8098F"/>
    <w:rsid w:val="00A9023E"/>
    <w:rsid w:val="00AA04E2"/>
    <w:rsid w:val="00AA353B"/>
    <w:rsid w:val="00AB41AC"/>
    <w:rsid w:val="00AC3D9A"/>
    <w:rsid w:val="00AE6B47"/>
    <w:rsid w:val="00AF412C"/>
    <w:rsid w:val="00AF6116"/>
    <w:rsid w:val="00B109B9"/>
    <w:rsid w:val="00B15730"/>
    <w:rsid w:val="00B210E7"/>
    <w:rsid w:val="00B67ADA"/>
    <w:rsid w:val="00B7121A"/>
    <w:rsid w:val="00B71475"/>
    <w:rsid w:val="00B90E6A"/>
    <w:rsid w:val="00BA5510"/>
    <w:rsid w:val="00BC5D8A"/>
    <w:rsid w:val="00BD0B04"/>
    <w:rsid w:val="00BD63F8"/>
    <w:rsid w:val="00C05E85"/>
    <w:rsid w:val="00C30665"/>
    <w:rsid w:val="00C333D6"/>
    <w:rsid w:val="00C34AFE"/>
    <w:rsid w:val="00C42E65"/>
    <w:rsid w:val="00C7649A"/>
    <w:rsid w:val="00C76CAE"/>
    <w:rsid w:val="00C875E6"/>
    <w:rsid w:val="00C92288"/>
    <w:rsid w:val="00CA0E64"/>
    <w:rsid w:val="00CB6222"/>
    <w:rsid w:val="00CD071D"/>
    <w:rsid w:val="00CD76BC"/>
    <w:rsid w:val="00CE20FD"/>
    <w:rsid w:val="00CE5887"/>
    <w:rsid w:val="00CF5F27"/>
    <w:rsid w:val="00D13D19"/>
    <w:rsid w:val="00D245BA"/>
    <w:rsid w:val="00D24B8E"/>
    <w:rsid w:val="00D2510A"/>
    <w:rsid w:val="00D256E5"/>
    <w:rsid w:val="00D458FE"/>
    <w:rsid w:val="00D612CF"/>
    <w:rsid w:val="00D62482"/>
    <w:rsid w:val="00D73DF2"/>
    <w:rsid w:val="00D7532D"/>
    <w:rsid w:val="00D87CE9"/>
    <w:rsid w:val="00DA7223"/>
    <w:rsid w:val="00DC75B5"/>
    <w:rsid w:val="00DE2859"/>
    <w:rsid w:val="00DE556B"/>
    <w:rsid w:val="00E01CC3"/>
    <w:rsid w:val="00E462B1"/>
    <w:rsid w:val="00E464F6"/>
    <w:rsid w:val="00E5072E"/>
    <w:rsid w:val="00E84214"/>
    <w:rsid w:val="00EA6139"/>
    <w:rsid w:val="00EB2C4F"/>
    <w:rsid w:val="00EB5256"/>
    <w:rsid w:val="00EC6541"/>
    <w:rsid w:val="00EE42BB"/>
    <w:rsid w:val="00F10AB3"/>
    <w:rsid w:val="00F178DB"/>
    <w:rsid w:val="00F35FB0"/>
    <w:rsid w:val="00F62643"/>
    <w:rsid w:val="00F84FF7"/>
    <w:rsid w:val="00F93E79"/>
    <w:rsid w:val="00FB50BB"/>
    <w:rsid w:val="00FD3B08"/>
    <w:rsid w:val="00FE3EEE"/>
    <w:rsid w:val="00FE7CAB"/>
    <w:rsid w:val="00FF0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BF3D8"/>
  <w15:docId w15:val="{D105F9FD-3FCD-4D7B-A7D2-CBD9058C5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A4E7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4E79"/>
    <w:rPr>
      <w:sz w:val="20"/>
      <w:szCs w:val="20"/>
    </w:rPr>
  </w:style>
  <w:style w:type="character" w:styleId="FootnoteReference">
    <w:name w:val="footnote reference"/>
    <w:basedOn w:val="DefaultParagraphFont"/>
    <w:uiPriority w:val="99"/>
    <w:semiHidden/>
    <w:unhideWhenUsed/>
    <w:rsid w:val="007A4E79"/>
    <w:rPr>
      <w:vertAlign w:val="superscript"/>
    </w:rPr>
  </w:style>
  <w:style w:type="paragraph" w:styleId="NormalWeb">
    <w:name w:val="Normal (Web)"/>
    <w:basedOn w:val="Normal"/>
    <w:uiPriority w:val="99"/>
    <w:semiHidden/>
    <w:unhideWhenUsed/>
    <w:rsid w:val="007A4E7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4946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98C5A2-42CB-4222-AFB8-D525B03ED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5</Pages>
  <Words>1719</Words>
  <Characters>9801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vincent hingley</cp:lastModifiedBy>
  <cp:revision>23</cp:revision>
  <dcterms:created xsi:type="dcterms:W3CDTF">2018-04-26T13:18:00Z</dcterms:created>
  <dcterms:modified xsi:type="dcterms:W3CDTF">2018-05-08T22:55:00Z</dcterms:modified>
</cp:coreProperties>
</file>