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97D25" w14:textId="77777777" w:rsidR="000A1B95" w:rsidRDefault="000A1B95" w:rsidP="00A90A08">
      <w:pPr>
        <w:spacing w:line="360" w:lineRule="auto"/>
        <w:jc w:val="both"/>
        <w:rPr>
          <w:rFonts w:ascii="Times New Roman" w:hAnsi="Times New Roman" w:cs="Times New Roman"/>
          <w:b/>
          <w:bCs/>
        </w:rPr>
      </w:pPr>
    </w:p>
    <w:p w14:paraId="236B7F56" w14:textId="77777777" w:rsidR="000A1B95" w:rsidRDefault="000A1B95" w:rsidP="00A90A08">
      <w:pPr>
        <w:spacing w:line="360" w:lineRule="auto"/>
        <w:jc w:val="both"/>
        <w:rPr>
          <w:rFonts w:ascii="Times New Roman" w:hAnsi="Times New Roman" w:cs="Times New Roman"/>
          <w:b/>
          <w:bCs/>
        </w:rPr>
      </w:pPr>
    </w:p>
    <w:p w14:paraId="75EBD475" w14:textId="77777777" w:rsidR="003F64B8" w:rsidRDefault="003F64B8" w:rsidP="00A90A08">
      <w:pPr>
        <w:spacing w:line="360" w:lineRule="auto"/>
        <w:jc w:val="both"/>
        <w:rPr>
          <w:rFonts w:ascii="Times New Roman" w:hAnsi="Times New Roman" w:cs="Times New Roman"/>
          <w:b/>
          <w:bCs/>
        </w:rPr>
      </w:pPr>
    </w:p>
    <w:p w14:paraId="60CF5C99" w14:textId="77777777" w:rsidR="0041617D" w:rsidRDefault="0041617D" w:rsidP="0041617D">
      <w:pPr>
        <w:spacing w:line="360" w:lineRule="auto"/>
        <w:jc w:val="center"/>
        <w:rPr>
          <w:rFonts w:ascii="Times New Roman" w:hAnsi="Times New Roman" w:cs="Times New Roman"/>
          <w:b/>
          <w:bCs/>
          <w:sz w:val="36"/>
          <w:szCs w:val="36"/>
        </w:rPr>
      </w:pPr>
      <w:r w:rsidRPr="0041617D">
        <w:rPr>
          <w:rFonts w:ascii="Times New Roman" w:hAnsi="Times New Roman" w:cs="Times New Roman"/>
          <w:b/>
          <w:bCs/>
          <w:sz w:val="36"/>
          <w:szCs w:val="36"/>
        </w:rPr>
        <w:t>BMMB7005</w:t>
      </w:r>
    </w:p>
    <w:p w14:paraId="74059422" w14:textId="0E1899C2" w:rsidR="0041617D" w:rsidRPr="00AB6B98" w:rsidRDefault="0041617D" w:rsidP="0041617D">
      <w:pPr>
        <w:spacing w:line="360" w:lineRule="auto"/>
        <w:jc w:val="center"/>
        <w:rPr>
          <w:rFonts w:ascii="Times New Roman" w:hAnsi="Times New Roman" w:cs="Times New Roman"/>
          <w:b/>
          <w:bCs/>
          <w:sz w:val="36"/>
          <w:szCs w:val="36"/>
        </w:rPr>
      </w:pPr>
      <w:r w:rsidRPr="00AB6B98">
        <w:rPr>
          <w:rFonts w:ascii="Times New Roman" w:hAnsi="Times New Roman" w:cs="Times New Roman"/>
          <w:b/>
          <w:bCs/>
          <w:sz w:val="36"/>
          <w:szCs w:val="36"/>
        </w:rPr>
        <w:t xml:space="preserve">Finance for Business Managers </w:t>
      </w:r>
    </w:p>
    <w:p w14:paraId="1510C388" w14:textId="77777777" w:rsidR="0041617D" w:rsidRDefault="0041617D" w:rsidP="0041617D">
      <w:pPr>
        <w:spacing w:line="360" w:lineRule="auto"/>
        <w:jc w:val="both"/>
        <w:rPr>
          <w:rFonts w:ascii="Times New Roman" w:hAnsi="Times New Roman" w:cs="Times New Roman"/>
          <w:b/>
          <w:bCs/>
        </w:rPr>
      </w:pPr>
    </w:p>
    <w:p w14:paraId="3F29F087" w14:textId="77777777" w:rsidR="0041617D" w:rsidRDefault="0041617D" w:rsidP="0041617D">
      <w:pPr>
        <w:spacing w:line="360" w:lineRule="auto"/>
        <w:jc w:val="both"/>
        <w:rPr>
          <w:rFonts w:ascii="Times New Roman" w:hAnsi="Times New Roman" w:cs="Times New Roman"/>
          <w:b/>
          <w:bCs/>
        </w:rPr>
      </w:pPr>
    </w:p>
    <w:p w14:paraId="46FD46C1" w14:textId="77777777" w:rsidR="0041617D" w:rsidRDefault="0041617D" w:rsidP="0041617D">
      <w:pPr>
        <w:spacing w:line="360" w:lineRule="auto"/>
        <w:jc w:val="both"/>
        <w:rPr>
          <w:rFonts w:ascii="Times New Roman" w:hAnsi="Times New Roman" w:cs="Times New Roman"/>
          <w:b/>
          <w:bCs/>
        </w:rPr>
      </w:pPr>
    </w:p>
    <w:p w14:paraId="7D904089" w14:textId="77777777" w:rsidR="0041617D" w:rsidRDefault="0041617D" w:rsidP="0041617D">
      <w:pPr>
        <w:spacing w:line="360" w:lineRule="auto"/>
        <w:jc w:val="both"/>
        <w:rPr>
          <w:rFonts w:ascii="Times New Roman" w:hAnsi="Times New Roman" w:cs="Times New Roman"/>
          <w:b/>
          <w:bCs/>
        </w:rPr>
      </w:pPr>
    </w:p>
    <w:p w14:paraId="2208D396" w14:textId="77777777" w:rsidR="0041617D" w:rsidRDefault="0041617D" w:rsidP="0041617D">
      <w:pPr>
        <w:spacing w:line="360" w:lineRule="auto"/>
        <w:jc w:val="both"/>
        <w:rPr>
          <w:rFonts w:ascii="Times New Roman" w:hAnsi="Times New Roman" w:cs="Times New Roman"/>
          <w:b/>
          <w:bCs/>
        </w:rPr>
      </w:pPr>
    </w:p>
    <w:p w14:paraId="47A9F93C" w14:textId="77777777" w:rsidR="0041617D" w:rsidRDefault="0041617D" w:rsidP="0041617D">
      <w:pPr>
        <w:spacing w:line="360" w:lineRule="auto"/>
        <w:jc w:val="both"/>
        <w:rPr>
          <w:rFonts w:ascii="Times New Roman" w:hAnsi="Times New Roman" w:cs="Times New Roman"/>
          <w:b/>
          <w:bCs/>
        </w:rPr>
      </w:pPr>
    </w:p>
    <w:p w14:paraId="5ECB412C" w14:textId="77777777" w:rsidR="0041617D" w:rsidRDefault="0041617D" w:rsidP="0041617D">
      <w:pPr>
        <w:spacing w:line="360" w:lineRule="auto"/>
        <w:jc w:val="both"/>
        <w:rPr>
          <w:rFonts w:ascii="Times New Roman" w:hAnsi="Times New Roman" w:cs="Times New Roman"/>
          <w:b/>
          <w:bCs/>
        </w:rPr>
      </w:pPr>
    </w:p>
    <w:p w14:paraId="36900EAD" w14:textId="2C7C952F" w:rsidR="0041617D" w:rsidRDefault="0041617D" w:rsidP="0041617D">
      <w:pPr>
        <w:spacing w:line="360" w:lineRule="auto"/>
        <w:jc w:val="both"/>
        <w:rPr>
          <w:rFonts w:ascii="Times New Roman" w:hAnsi="Times New Roman" w:cs="Times New Roman"/>
          <w:b/>
          <w:bCs/>
        </w:rPr>
      </w:pPr>
      <w:r>
        <w:rPr>
          <w:rFonts w:ascii="Times New Roman" w:hAnsi="Times New Roman" w:cs="Times New Roman"/>
          <w:b/>
          <w:bCs/>
        </w:rPr>
        <w:t>Student Name: M</w:t>
      </w:r>
      <w:r w:rsidR="00DD2EF8">
        <w:rPr>
          <w:rFonts w:ascii="Times New Roman" w:hAnsi="Times New Roman" w:cs="Times New Roman"/>
          <w:b/>
          <w:bCs/>
        </w:rPr>
        <w:t xml:space="preserve">ahbuba </w:t>
      </w:r>
      <w:r w:rsidR="00555AB9">
        <w:rPr>
          <w:rFonts w:ascii="Times New Roman" w:hAnsi="Times New Roman" w:cs="Times New Roman"/>
          <w:b/>
          <w:bCs/>
        </w:rPr>
        <w:t>Akter Baly</w:t>
      </w:r>
    </w:p>
    <w:p w14:paraId="4F8FC695" w14:textId="2121E4DD" w:rsidR="0041617D" w:rsidRDefault="0041617D" w:rsidP="0041617D">
      <w:pPr>
        <w:spacing w:line="360" w:lineRule="auto"/>
        <w:jc w:val="both"/>
        <w:rPr>
          <w:rFonts w:ascii="Times New Roman" w:hAnsi="Times New Roman" w:cs="Times New Roman"/>
          <w:b/>
          <w:bCs/>
        </w:rPr>
      </w:pPr>
      <w:r>
        <w:rPr>
          <w:rFonts w:ascii="Times New Roman" w:hAnsi="Times New Roman" w:cs="Times New Roman"/>
          <w:b/>
          <w:bCs/>
        </w:rPr>
        <w:t xml:space="preserve">ID: </w:t>
      </w:r>
      <w:r w:rsidR="00555AB9">
        <w:rPr>
          <w:rFonts w:ascii="Times New Roman" w:hAnsi="Times New Roman" w:cs="Times New Roman"/>
          <w:b/>
          <w:bCs/>
        </w:rPr>
        <w:t>2514693</w:t>
      </w:r>
    </w:p>
    <w:p w14:paraId="59C223C2" w14:textId="77777777" w:rsidR="0041617D" w:rsidRDefault="0041617D" w:rsidP="0041617D">
      <w:pPr>
        <w:spacing w:line="360" w:lineRule="auto"/>
        <w:jc w:val="both"/>
        <w:rPr>
          <w:rFonts w:ascii="Times New Roman" w:hAnsi="Times New Roman" w:cs="Times New Roman"/>
          <w:b/>
          <w:bCs/>
        </w:rPr>
      </w:pPr>
    </w:p>
    <w:p w14:paraId="07E2BD52" w14:textId="77777777" w:rsidR="0041617D" w:rsidRDefault="0041617D" w:rsidP="0041617D">
      <w:pPr>
        <w:spacing w:line="360" w:lineRule="auto"/>
        <w:jc w:val="both"/>
        <w:rPr>
          <w:rFonts w:ascii="Times New Roman" w:hAnsi="Times New Roman" w:cs="Times New Roman"/>
          <w:b/>
          <w:bCs/>
        </w:rPr>
      </w:pPr>
    </w:p>
    <w:p w14:paraId="20859F39" w14:textId="77777777" w:rsidR="0041617D" w:rsidRDefault="0041617D" w:rsidP="0041617D">
      <w:pPr>
        <w:spacing w:line="360" w:lineRule="auto"/>
        <w:jc w:val="both"/>
        <w:rPr>
          <w:rFonts w:ascii="Times New Roman" w:hAnsi="Times New Roman" w:cs="Times New Roman"/>
          <w:b/>
          <w:bCs/>
        </w:rPr>
      </w:pPr>
    </w:p>
    <w:p w14:paraId="413A1C88" w14:textId="77777777" w:rsidR="0041617D" w:rsidRDefault="0041617D" w:rsidP="0041617D">
      <w:pPr>
        <w:spacing w:line="360" w:lineRule="auto"/>
        <w:jc w:val="both"/>
        <w:rPr>
          <w:rFonts w:ascii="Times New Roman" w:hAnsi="Times New Roman" w:cs="Times New Roman"/>
          <w:b/>
          <w:bCs/>
        </w:rPr>
      </w:pPr>
    </w:p>
    <w:p w14:paraId="6D656A8A" w14:textId="77777777" w:rsidR="0041617D" w:rsidRDefault="0041617D" w:rsidP="0041617D">
      <w:pPr>
        <w:spacing w:line="360" w:lineRule="auto"/>
        <w:jc w:val="both"/>
        <w:rPr>
          <w:rFonts w:ascii="Times New Roman" w:hAnsi="Times New Roman" w:cs="Times New Roman"/>
          <w:b/>
          <w:bCs/>
        </w:rPr>
      </w:pPr>
    </w:p>
    <w:p w14:paraId="66B527DE" w14:textId="77777777" w:rsidR="0041617D" w:rsidRDefault="0041617D" w:rsidP="0041617D">
      <w:pPr>
        <w:spacing w:line="360" w:lineRule="auto"/>
        <w:jc w:val="both"/>
        <w:rPr>
          <w:rFonts w:ascii="Times New Roman" w:hAnsi="Times New Roman" w:cs="Times New Roman"/>
          <w:b/>
          <w:bCs/>
        </w:rPr>
      </w:pPr>
    </w:p>
    <w:p w14:paraId="4EC753AD" w14:textId="77777777" w:rsidR="0041617D" w:rsidRDefault="0041617D" w:rsidP="0041617D">
      <w:pPr>
        <w:spacing w:line="360" w:lineRule="auto"/>
        <w:jc w:val="both"/>
        <w:rPr>
          <w:rFonts w:ascii="Times New Roman" w:hAnsi="Times New Roman" w:cs="Times New Roman"/>
          <w:b/>
          <w:bCs/>
        </w:rPr>
      </w:pPr>
    </w:p>
    <w:p w14:paraId="5814B06B" w14:textId="77777777" w:rsidR="003F64B8" w:rsidRDefault="003F64B8" w:rsidP="00A90A08">
      <w:pPr>
        <w:spacing w:line="360" w:lineRule="auto"/>
        <w:jc w:val="both"/>
        <w:rPr>
          <w:rFonts w:ascii="Times New Roman" w:hAnsi="Times New Roman" w:cs="Times New Roman"/>
          <w:b/>
          <w:bCs/>
        </w:rPr>
      </w:pPr>
    </w:p>
    <w:p w14:paraId="7D631625" w14:textId="77777777" w:rsidR="003F64B8" w:rsidRDefault="003F64B8" w:rsidP="00A90A08">
      <w:pPr>
        <w:spacing w:line="360" w:lineRule="auto"/>
        <w:jc w:val="both"/>
        <w:rPr>
          <w:rFonts w:ascii="Times New Roman" w:hAnsi="Times New Roman" w:cs="Times New Roman"/>
          <w:b/>
          <w:bCs/>
        </w:rPr>
      </w:pPr>
    </w:p>
    <w:p w14:paraId="68F46954" w14:textId="5F6C374E" w:rsidR="00C56689" w:rsidRPr="00C56689" w:rsidRDefault="00DD4FFB" w:rsidP="00C56689">
      <w:pPr>
        <w:spacing w:line="360" w:lineRule="auto"/>
        <w:jc w:val="both"/>
        <w:rPr>
          <w:rFonts w:ascii="Times New Roman" w:hAnsi="Times New Roman" w:cs="Times New Roman"/>
          <w:b/>
          <w:bCs/>
        </w:rPr>
      </w:pPr>
      <w:r>
        <w:rPr>
          <w:rFonts w:ascii="Times New Roman" w:hAnsi="Times New Roman" w:cs="Times New Roman"/>
          <w:b/>
          <w:bCs/>
        </w:rPr>
        <w:t>Executive Summary</w:t>
      </w:r>
    </w:p>
    <w:p w14:paraId="11D517C1" w14:textId="77777777" w:rsidR="00CD3CF9" w:rsidRDefault="00CD3CF9" w:rsidP="00C56689">
      <w:pPr>
        <w:spacing w:line="360" w:lineRule="auto"/>
        <w:jc w:val="both"/>
        <w:rPr>
          <w:rFonts w:ascii="Times New Roman" w:hAnsi="Times New Roman" w:cs="Times New Roman"/>
        </w:rPr>
      </w:pPr>
      <w:r w:rsidRPr="00CD3CF9">
        <w:rPr>
          <w:rFonts w:ascii="Times New Roman" w:hAnsi="Times New Roman" w:cs="Times New Roman"/>
        </w:rPr>
        <w:t>Part 1 of this reporting analysis examines the financial performance and financial position of Tesco PLC during the most current two years using financial ratio analysis. The analysis carried out aims to determine profitability and efficiency as well as stock and investment performance. This work shows that Tesco has been able to record revenue and improved margins in profitability in a running tight and tight-liquidity position that is supported by strong cash flows and supplier facilities. The current gearing is high in Tesco; however, interest coverage has improved. The analysis provides a clear indicator that Tesco is in a financially sound and efficient position to deliver returning investments to their equity holders in a retail industry that is experiencing pressure due to a habitual downturn in grocery retail.</w:t>
      </w:r>
    </w:p>
    <w:p w14:paraId="368A9EF8" w14:textId="3B753D37" w:rsidR="003F64B8" w:rsidRPr="00DD4FFB" w:rsidRDefault="00B8131C" w:rsidP="00A90A08">
      <w:pPr>
        <w:spacing w:line="360" w:lineRule="auto"/>
        <w:jc w:val="both"/>
        <w:rPr>
          <w:rFonts w:ascii="Times New Roman" w:hAnsi="Times New Roman" w:cs="Times New Roman"/>
        </w:rPr>
      </w:pPr>
      <w:r w:rsidRPr="00B8131C">
        <w:rPr>
          <w:rFonts w:ascii="Times New Roman" w:hAnsi="Times New Roman" w:cs="Times New Roman"/>
        </w:rPr>
        <w:t>Part 2 applies the concepts of Discounted Cash Flow to assess the three proposed investment projects for the Westward Plc corporation. With the application of the Net Present Value (NPV), Internal Rate of Return (IRR), and Profitability Ratio, the analysis takes into consideration taxation costs, Capital Allowances, and the 6% cost of capital. Results show that the three projects are financially positive, with internal returns above the cost of capital. Option B, which aims to develop internet sales, yields the greatest NPV, making it the best option for maximum wealth for the corporation. With the presence of Capital Rationing, the best possible combination of investments has been ascertained to yield the maximum NPV for the £2.5 million budget.</w:t>
      </w:r>
    </w:p>
    <w:p w14:paraId="71EB42C8" w14:textId="77777777" w:rsidR="003F64B8" w:rsidRDefault="003F64B8" w:rsidP="00A90A08">
      <w:pPr>
        <w:spacing w:line="360" w:lineRule="auto"/>
        <w:jc w:val="both"/>
        <w:rPr>
          <w:rFonts w:ascii="Times New Roman" w:hAnsi="Times New Roman" w:cs="Times New Roman"/>
          <w:b/>
          <w:bCs/>
        </w:rPr>
      </w:pPr>
    </w:p>
    <w:p w14:paraId="3810CA6E" w14:textId="77777777" w:rsidR="003F64B8" w:rsidRDefault="003F64B8" w:rsidP="00A90A08">
      <w:pPr>
        <w:spacing w:line="360" w:lineRule="auto"/>
        <w:jc w:val="both"/>
        <w:rPr>
          <w:rFonts w:ascii="Times New Roman" w:hAnsi="Times New Roman" w:cs="Times New Roman"/>
          <w:b/>
          <w:bCs/>
        </w:rPr>
      </w:pPr>
    </w:p>
    <w:p w14:paraId="70322019" w14:textId="77777777" w:rsidR="003F64B8" w:rsidRDefault="003F64B8" w:rsidP="00A90A08">
      <w:pPr>
        <w:spacing w:line="360" w:lineRule="auto"/>
        <w:jc w:val="both"/>
        <w:rPr>
          <w:rFonts w:ascii="Times New Roman" w:hAnsi="Times New Roman" w:cs="Times New Roman"/>
          <w:b/>
          <w:bCs/>
        </w:rPr>
      </w:pPr>
    </w:p>
    <w:p w14:paraId="645D1275" w14:textId="77777777" w:rsidR="003F64B8" w:rsidRDefault="003F64B8" w:rsidP="00A90A08">
      <w:pPr>
        <w:spacing w:line="360" w:lineRule="auto"/>
        <w:jc w:val="both"/>
        <w:rPr>
          <w:rFonts w:ascii="Times New Roman" w:hAnsi="Times New Roman" w:cs="Times New Roman"/>
          <w:b/>
          <w:bCs/>
        </w:rPr>
      </w:pPr>
    </w:p>
    <w:p w14:paraId="69C7953B" w14:textId="77777777" w:rsidR="003F64B8" w:rsidRDefault="003F64B8" w:rsidP="00A90A08">
      <w:pPr>
        <w:spacing w:line="360" w:lineRule="auto"/>
        <w:jc w:val="both"/>
        <w:rPr>
          <w:rFonts w:ascii="Times New Roman" w:hAnsi="Times New Roman" w:cs="Times New Roman"/>
          <w:b/>
          <w:bCs/>
        </w:rPr>
      </w:pPr>
    </w:p>
    <w:p w14:paraId="41BBF680" w14:textId="77777777" w:rsidR="003F64B8" w:rsidRDefault="003F64B8" w:rsidP="00A90A08">
      <w:pPr>
        <w:spacing w:line="360" w:lineRule="auto"/>
        <w:jc w:val="both"/>
        <w:rPr>
          <w:rFonts w:ascii="Times New Roman" w:hAnsi="Times New Roman" w:cs="Times New Roman"/>
          <w:b/>
          <w:bCs/>
        </w:rPr>
      </w:pPr>
    </w:p>
    <w:p w14:paraId="20335F65" w14:textId="77777777" w:rsidR="003F64B8" w:rsidRDefault="003F64B8" w:rsidP="00A90A08">
      <w:pPr>
        <w:spacing w:line="360" w:lineRule="auto"/>
        <w:jc w:val="both"/>
        <w:rPr>
          <w:rFonts w:ascii="Times New Roman" w:hAnsi="Times New Roman" w:cs="Times New Roman"/>
          <w:b/>
          <w:bCs/>
        </w:rPr>
      </w:pPr>
    </w:p>
    <w:p w14:paraId="2E7AA0A1" w14:textId="77777777" w:rsidR="003F64B8" w:rsidRDefault="003F64B8" w:rsidP="00A90A08">
      <w:pPr>
        <w:spacing w:line="360" w:lineRule="auto"/>
        <w:jc w:val="both"/>
        <w:rPr>
          <w:rFonts w:ascii="Times New Roman" w:hAnsi="Times New Roman" w:cs="Times New Roman"/>
          <w:b/>
          <w:bCs/>
        </w:rPr>
      </w:pPr>
    </w:p>
    <w:p w14:paraId="5734C66A" w14:textId="77777777" w:rsidR="003F64B8" w:rsidRDefault="003F64B8" w:rsidP="00A90A08">
      <w:pPr>
        <w:spacing w:line="360" w:lineRule="auto"/>
        <w:jc w:val="both"/>
        <w:rPr>
          <w:rFonts w:ascii="Times New Roman" w:hAnsi="Times New Roman" w:cs="Times New Roman"/>
          <w:b/>
          <w:bCs/>
        </w:rPr>
      </w:pPr>
    </w:p>
    <w:sdt>
      <w:sdtPr>
        <w:rPr>
          <w:rFonts w:asciiTheme="minorHAnsi" w:eastAsiaTheme="minorHAnsi" w:hAnsiTheme="minorHAnsi" w:cstheme="minorBidi"/>
          <w:color w:val="auto"/>
          <w:kern w:val="2"/>
          <w:sz w:val="24"/>
          <w:szCs w:val="24"/>
          <w14:ligatures w14:val="standardContextual"/>
        </w:rPr>
        <w:id w:val="2083260535"/>
        <w:docPartObj>
          <w:docPartGallery w:val="Table of Contents"/>
          <w:docPartUnique/>
        </w:docPartObj>
      </w:sdtPr>
      <w:sdtEndPr>
        <w:rPr>
          <w:rFonts w:ascii="Times New Roman" w:hAnsi="Times New Roman" w:cs="Times New Roman"/>
          <w:b/>
          <w:bCs/>
          <w:noProof/>
        </w:rPr>
      </w:sdtEndPr>
      <w:sdtContent>
        <w:p w14:paraId="294A4E11" w14:textId="7B607287" w:rsidR="00B8131C" w:rsidRPr="00B8131C" w:rsidRDefault="00B8131C">
          <w:pPr>
            <w:pStyle w:val="TOCHeading"/>
            <w:rPr>
              <w:rFonts w:ascii="Times New Roman" w:hAnsi="Times New Roman" w:cs="Times New Roman"/>
            </w:rPr>
          </w:pPr>
          <w:r w:rsidRPr="00B8131C">
            <w:rPr>
              <w:rFonts w:ascii="Times New Roman" w:hAnsi="Times New Roman" w:cs="Times New Roman"/>
            </w:rPr>
            <w:t>Contents</w:t>
          </w:r>
        </w:p>
        <w:p w14:paraId="79D6C158" w14:textId="6FF46666" w:rsidR="007A07B0" w:rsidRPr="007A07B0" w:rsidRDefault="00B8131C">
          <w:pPr>
            <w:pStyle w:val="TOC1"/>
            <w:tabs>
              <w:tab w:val="right" w:leader="dot" w:pos="9350"/>
            </w:tabs>
            <w:rPr>
              <w:rFonts w:ascii="Times New Roman" w:eastAsiaTheme="minorEastAsia" w:hAnsi="Times New Roman" w:cs="Times New Roman"/>
              <w:noProof/>
            </w:rPr>
          </w:pPr>
          <w:r w:rsidRPr="007A07B0">
            <w:rPr>
              <w:rFonts w:ascii="Times New Roman" w:hAnsi="Times New Roman" w:cs="Times New Roman"/>
            </w:rPr>
            <w:fldChar w:fldCharType="begin"/>
          </w:r>
          <w:r w:rsidRPr="007A07B0">
            <w:rPr>
              <w:rFonts w:ascii="Times New Roman" w:hAnsi="Times New Roman" w:cs="Times New Roman"/>
            </w:rPr>
            <w:instrText xml:space="preserve"> TOC \o "1-3" \h \z \u </w:instrText>
          </w:r>
          <w:r w:rsidRPr="007A07B0">
            <w:rPr>
              <w:rFonts w:ascii="Times New Roman" w:hAnsi="Times New Roman" w:cs="Times New Roman"/>
            </w:rPr>
            <w:fldChar w:fldCharType="separate"/>
          </w:r>
          <w:hyperlink w:anchor="_Toc219038104" w:history="1">
            <w:r w:rsidR="007A07B0" w:rsidRPr="007A07B0">
              <w:rPr>
                <w:rStyle w:val="Hyperlink"/>
                <w:rFonts w:ascii="Times New Roman" w:hAnsi="Times New Roman" w:cs="Times New Roman"/>
                <w:noProof/>
              </w:rPr>
              <w:t>Introduction</w:t>
            </w:r>
            <w:r w:rsidR="007A07B0" w:rsidRPr="007A07B0">
              <w:rPr>
                <w:rFonts w:ascii="Times New Roman" w:hAnsi="Times New Roman" w:cs="Times New Roman"/>
                <w:noProof/>
                <w:webHidden/>
              </w:rPr>
              <w:tab/>
            </w:r>
            <w:r w:rsidR="007A07B0" w:rsidRPr="007A07B0">
              <w:rPr>
                <w:rFonts w:ascii="Times New Roman" w:hAnsi="Times New Roman" w:cs="Times New Roman"/>
                <w:noProof/>
                <w:webHidden/>
              </w:rPr>
              <w:fldChar w:fldCharType="begin"/>
            </w:r>
            <w:r w:rsidR="007A07B0" w:rsidRPr="007A07B0">
              <w:rPr>
                <w:rFonts w:ascii="Times New Roman" w:hAnsi="Times New Roman" w:cs="Times New Roman"/>
                <w:noProof/>
                <w:webHidden/>
              </w:rPr>
              <w:instrText xml:space="preserve"> PAGEREF _Toc219038104 \h </w:instrText>
            </w:r>
            <w:r w:rsidR="007A07B0" w:rsidRPr="007A07B0">
              <w:rPr>
                <w:rFonts w:ascii="Times New Roman" w:hAnsi="Times New Roman" w:cs="Times New Roman"/>
                <w:noProof/>
                <w:webHidden/>
              </w:rPr>
            </w:r>
            <w:r w:rsidR="007A07B0" w:rsidRPr="007A07B0">
              <w:rPr>
                <w:rFonts w:ascii="Times New Roman" w:hAnsi="Times New Roman" w:cs="Times New Roman"/>
                <w:noProof/>
                <w:webHidden/>
              </w:rPr>
              <w:fldChar w:fldCharType="separate"/>
            </w:r>
            <w:r w:rsidR="007A07B0" w:rsidRPr="007A07B0">
              <w:rPr>
                <w:rFonts w:ascii="Times New Roman" w:hAnsi="Times New Roman" w:cs="Times New Roman"/>
                <w:noProof/>
                <w:webHidden/>
              </w:rPr>
              <w:t>5</w:t>
            </w:r>
            <w:r w:rsidR="007A07B0" w:rsidRPr="007A07B0">
              <w:rPr>
                <w:rFonts w:ascii="Times New Roman" w:hAnsi="Times New Roman" w:cs="Times New Roman"/>
                <w:noProof/>
                <w:webHidden/>
              </w:rPr>
              <w:fldChar w:fldCharType="end"/>
            </w:r>
          </w:hyperlink>
        </w:p>
        <w:p w14:paraId="3EC43904" w14:textId="17FDA9CC" w:rsidR="007A07B0" w:rsidRPr="007A07B0" w:rsidRDefault="007A07B0">
          <w:pPr>
            <w:pStyle w:val="TOC1"/>
            <w:tabs>
              <w:tab w:val="right" w:leader="dot" w:pos="9350"/>
            </w:tabs>
            <w:rPr>
              <w:rFonts w:ascii="Times New Roman" w:eastAsiaTheme="minorEastAsia" w:hAnsi="Times New Roman" w:cs="Times New Roman"/>
              <w:noProof/>
            </w:rPr>
          </w:pPr>
          <w:hyperlink w:anchor="_Toc219038105" w:history="1">
            <w:r w:rsidRPr="007A07B0">
              <w:rPr>
                <w:rStyle w:val="Hyperlink"/>
                <w:rFonts w:ascii="Times New Roman" w:hAnsi="Times New Roman" w:cs="Times New Roman"/>
                <w:noProof/>
              </w:rPr>
              <w:t>Part 1</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_Toc219038105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5</w:t>
            </w:r>
            <w:r w:rsidRPr="007A07B0">
              <w:rPr>
                <w:rFonts w:ascii="Times New Roman" w:hAnsi="Times New Roman" w:cs="Times New Roman"/>
                <w:noProof/>
                <w:webHidden/>
              </w:rPr>
              <w:fldChar w:fldCharType="end"/>
            </w:r>
          </w:hyperlink>
        </w:p>
        <w:p w14:paraId="08CC2599" w14:textId="1ABA1AA3" w:rsidR="007A07B0" w:rsidRPr="007A07B0" w:rsidRDefault="007A07B0">
          <w:pPr>
            <w:pStyle w:val="TOC2"/>
            <w:tabs>
              <w:tab w:val="right" w:leader="dot" w:pos="9350"/>
            </w:tabs>
            <w:rPr>
              <w:rFonts w:ascii="Times New Roman" w:eastAsiaTheme="minorEastAsia" w:hAnsi="Times New Roman" w:cs="Times New Roman"/>
              <w:noProof/>
            </w:rPr>
          </w:pPr>
          <w:hyperlink w:anchor="_Toc219038106" w:history="1">
            <w:r w:rsidRPr="007A07B0">
              <w:rPr>
                <w:rStyle w:val="Hyperlink"/>
                <w:rFonts w:ascii="Times New Roman" w:hAnsi="Times New Roman" w:cs="Times New Roman"/>
                <w:noProof/>
              </w:rPr>
              <w:t>Profitability Analysis</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_Toc219038106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5</w:t>
            </w:r>
            <w:r w:rsidRPr="007A07B0">
              <w:rPr>
                <w:rFonts w:ascii="Times New Roman" w:hAnsi="Times New Roman" w:cs="Times New Roman"/>
                <w:noProof/>
                <w:webHidden/>
              </w:rPr>
              <w:fldChar w:fldCharType="end"/>
            </w:r>
          </w:hyperlink>
        </w:p>
        <w:p w14:paraId="1ACB1B94" w14:textId="4620EF05" w:rsidR="007A07B0" w:rsidRPr="007A07B0" w:rsidRDefault="007A07B0">
          <w:pPr>
            <w:pStyle w:val="TOC3"/>
            <w:tabs>
              <w:tab w:val="right" w:leader="dot" w:pos="9350"/>
            </w:tabs>
            <w:rPr>
              <w:rFonts w:ascii="Times New Roman" w:eastAsiaTheme="minorEastAsia" w:hAnsi="Times New Roman" w:cs="Times New Roman"/>
              <w:noProof/>
            </w:rPr>
          </w:pPr>
          <w:hyperlink w:anchor="_Toc219038107" w:history="1">
            <w:r w:rsidRPr="007A07B0">
              <w:rPr>
                <w:rStyle w:val="Hyperlink"/>
                <w:rFonts w:ascii="Times New Roman" w:hAnsi="Times New Roman" w:cs="Times New Roman"/>
                <w:noProof/>
              </w:rPr>
              <w:t>Revenue Performance</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_Toc219038107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5</w:t>
            </w:r>
            <w:r w:rsidRPr="007A07B0">
              <w:rPr>
                <w:rFonts w:ascii="Times New Roman" w:hAnsi="Times New Roman" w:cs="Times New Roman"/>
                <w:noProof/>
                <w:webHidden/>
              </w:rPr>
              <w:fldChar w:fldCharType="end"/>
            </w:r>
          </w:hyperlink>
        </w:p>
        <w:p w14:paraId="7CEDAAB1" w14:textId="232CD0F3" w:rsidR="007A07B0" w:rsidRPr="007A07B0" w:rsidRDefault="007A07B0">
          <w:pPr>
            <w:pStyle w:val="TOC3"/>
            <w:tabs>
              <w:tab w:val="right" w:leader="dot" w:pos="9350"/>
            </w:tabs>
            <w:rPr>
              <w:rFonts w:ascii="Times New Roman" w:eastAsiaTheme="minorEastAsia" w:hAnsi="Times New Roman" w:cs="Times New Roman"/>
              <w:noProof/>
            </w:rPr>
          </w:pPr>
          <w:hyperlink w:anchor="_Toc219038108" w:history="1">
            <w:r w:rsidRPr="007A07B0">
              <w:rPr>
                <w:rStyle w:val="Hyperlink"/>
                <w:rFonts w:ascii="Times New Roman" w:hAnsi="Times New Roman" w:cs="Times New Roman"/>
                <w:noProof/>
              </w:rPr>
              <w:t>Gross Profit and Gross Profit Margin</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_Toc219038108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6</w:t>
            </w:r>
            <w:r w:rsidRPr="007A07B0">
              <w:rPr>
                <w:rFonts w:ascii="Times New Roman" w:hAnsi="Times New Roman" w:cs="Times New Roman"/>
                <w:noProof/>
                <w:webHidden/>
              </w:rPr>
              <w:fldChar w:fldCharType="end"/>
            </w:r>
          </w:hyperlink>
        </w:p>
        <w:p w14:paraId="44BA55C4" w14:textId="2CC077C0" w:rsidR="007A07B0" w:rsidRPr="007A07B0" w:rsidRDefault="007A07B0">
          <w:pPr>
            <w:pStyle w:val="TOC3"/>
            <w:tabs>
              <w:tab w:val="right" w:leader="dot" w:pos="9350"/>
            </w:tabs>
            <w:rPr>
              <w:rFonts w:ascii="Times New Roman" w:eastAsiaTheme="minorEastAsia" w:hAnsi="Times New Roman" w:cs="Times New Roman"/>
              <w:noProof/>
            </w:rPr>
          </w:pPr>
          <w:hyperlink w:anchor="_Toc219038109" w:history="1">
            <w:r w:rsidRPr="007A07B0">
              <w:rPr>
                <w:rStyle w:val="Hyperlink"/>
                <w:rFonts w:ascii="Times New Roman" w:hAnsi="Times New Roman" w:cs="Times New Roman"/>
                <w:noProof/>
              </w:rPr>
              <w:t>Interpretation of Gross Profit Performance</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_Toc219038109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7</w:t>
            </w:r>
            <w:r w:rsidRPr="007A07B0">
              <w:rPr>
                <w:rFonts w:ascii="Times New Roman" w:hAnsi="Times New Roman" w:cs="Times New Roman"/>
                <w:noProof/>
                <w:webHidden/>
              </w:rPr>
              <w:fldChar w:fldCharType="end"/>
            </w:r>
          </w:hyperlink>
        </w:p>
        <w:p w14:paraId="3B7917A5" w14:textId="26459909" w:rsidR="007A07B0" w:rsidRPr="007A07B0" w:rsidRDefault="007A07B0">
          <w:pPr>
            <w:pStyle w:val="TOC2"/>
            <w:tabs>
              <w:tab w:val="right" w:leader="dot" w:pos="9350"/>
            </w:tabs>
            <w:rPr>
              <w:rFonts w:ascii="Times New Roman" w:eastAsiaTheme="minorEastAsia" w:hAnsi="Times New Roman" w:cs="Times New Roman"/>
              <w:noProof/>
            </w:rPr>
          </w:pPr>
          <w:hyperlink w:anchor="_Toc219038110" w:history="1">
            <w:r w:rsidRPr="007A07B0">
              <w:rPr>
                <w:rStyle w:val="Hyperlink"/>
                <w:rFonts w:ascii="Times New Roman" w:hAnsi="Times New Roman" w:cs="Times New Roman"/>
                <w:noProof/>
              </w:rPr>
              <w:t>Operating and Net Profitability</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_Toc219038110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7</w:t>
            </w:r>
            <w:r w:rsidRPr="007A07B0">
              <w:rPr>
                <w:rFonts w:ascii="Times New Roman" w:hAnsi="Times New Roman" w:cs="Times New Roman"/>
                <w:noProof/>
                <w:webHidden/>
              </w:rPr>
              <w:fldChar w:fldCharType="end"/>
            </w:r>
          </w:hyperlink>
        </w:p>
        <w:p w14:paraId="2F8CEDCF" w14:textId="1E1B463B" w:rsidR="007A07B0" w:rsidRPr="007A07B0" w:rsidRDefault="007A07B0">
          <w:pPr>
            <w:pStyle w:val="TOC3"/>
            <w:tabs>
              <w:tab w:val="right" w:leader="dot" w:pos="9350"/>
            </w:tabs>
            <w:rPr>
              <w:rFonts w:ascii="Times New Roman" w:eastAsiaTheme="minorEastAsia" w:hAnsi="Times New Roman" w:cs="Times New Roman"/>
              <w:noProof/>
            </w:rPr>
          </w:pPr>
          <w:hyperlink w:anchor="_Toc219038111" w:history="1">
            <w:r w:rsidRPr="007A07B0">
              <w:rPr>
                <w:rStyle w:val="Hyperlink"/>
                <w:rFonts w:ascii="Times New Roman" w:hAnsi="Times New Roman" w:cs="Times New Roman"/>
                <w:noProof/>
              </w:rPr>
              <w:t>Operating Profitability</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_Toc219038111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7</w:t>
            </w:r>
            <w:r w:rsidRPr="007A07B0">
              <w:rPr>
                <w:rFonts w:ascii="Times New Roman" w:hAnsi="Times New Roman" w:cs="Times New Roman"/>
                <w:noProof/>
                <w:webHidden/>
              </w:rPr>
              <w:fldChar w:fldCharType="end"/>
            </w:r>
          </w:hyperlink>
        </w:p>
        <w:p w14:paraId="4C8BE202" w14:textId="24071AC9" w:rsidR="007A07B0" w:rsidRPr="007A07B0" w:rsidRDefault="007A07B0">
          <w:pPr>
            <w:pStyle w:val="TOC3"/>
            <w:tabs>
              <w:tab w:val="right" w:leader="dot" w:pos="9350"/>
            </w:tabs>
            <w:rPr>
              <w:rFonts w:ascii="Times New Roman" w:eastAsiaTheme="minorEastAsia" w:hAnsi="Times New Roman" w:cs="Times New Roman"/>
              <w:noProof/>
            </w:rPr>
          </w:pPr>
          <w:hyperlink w:anchor="_Toc219038112" w:history="1">
            <w:r w:rsidRPr="007A07B0">
              <w:rPr>
                <w:rStyle w:val="Hyperlink"/>
                <w:rFonts w:ascii="Times New Roman" w:hAnsi="Times New Roman" w:cs="Times New Roman"/>
                <w:noProof/>
              </w:rPr>
              <w:t>Net Profitability</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_Toc219038112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8</w:t>
            </w:r>
            <w:r w:rsidRPr="007A07B0">
              <w:rPr>
                <w:rFonts w:ascii="Times New Roman" w:hAnsi="Times New Roman" w:cs="Times New Roman"/>
                <w:noProof/>
                <w:webHidden/>
              </w:rPr>
              <w:fldChar w:fldCharType="end"/>
            </w:r>
          </w:hyperlink>
        </w:p>
        <w:p w14:paraId="2D6A4F54" w14:textId="44B07603" w:rsidR="007A07B0" w:rsidRPr="007A07B0" w:rsidRDefault="007A07B0">
          <w:pPr>
            <w:pStyle w:val="TOC3"/>
            <w:tabs>
              <w:tab w:val="right" w:leader="dot" w:pos="9350"/>
            </w:tabs>
            <w:rPr>
              <w:rFonts w:ascii="Times New Roman" w:eastAsiaTheme="minorEastAsia" w:hAnsi="Times New Roman" w:cs="Times New Roman"/>
              <w:noProof/>
            </w:rPr>
          </w:pPr>
          <w:hyperlink w:anchor="_Toc219038113" w:history="1">
            <w:r w:rsidRPr="007A07B0">
              <w:rPr>
                <w:rStyle w:val="Hyperlink"/>
                <w:rFonts w:ascii="Times New Roman" w:hAnsi="Times New Roman" w:cs="Times New Roman"/>
                <w:noProof/>
              </w:rPr>
              <w:t>Interpretation of Operating and Net Profit Performance</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_Toc219038113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9</w:t>
            </w:r>
            <w:r w:rsidRPr="007A07B0">
              <w:rPr>
                <w:rFonts w:ascii="Times New Roman" w:hAnsi="Times New Roman" w:cs="Times New Roman"/>
                <w:noProof/>
                <w:webHidden/>
              </w:rPr>
              <w:fldChar w:fldCharType="end"/>
            </w:r>
          </w:hyperlink>
        </w:p>
        <w:p w14:paraId="627212DE" w14:textId="293F6F64" w:rsidR="007A07B0" w:rsidRPr="007A07B0" w:rsidRDefault="007A07B0">
          <w:pPr>
            <w:pStyle w:val="TOC2"/>
            <w:tabs>
              <w:tab w:val="right" w:leader="dot" w:pos="9350"/>
            </w:tabs>
            <w:rPr>
              <w:rFonts w:ascii="Times New Roman" w:eastAsiaTheme="minorEastAsia" w:hAnsi="Times New Roman" w:cs="Times New Roman"/>
              <w:noProof/>
            </w:rPr>
          </w:pPr>
          <w:hyperlink w:anchor="_Toc219038114" w:history="1">
            <w:r w:rsidRPr="007A07B0">
              <w:rPr>
                <w:rStyle w:val="Hyperlink"/>
                <w:rFonts w:ascii="Times New Roman" w:hAnsi="Times New Roman" w:cs="Times New Roman"/>
                <w:noProof/>
              </w:rPr>
              <w:t>Return on Capital Employed (ROCE) and Return on Equity (ROE)</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_Toc219038114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9</w:t>
            </w:r>
            <w:r w:rsidRPr="007A07B0">
              <w:rPr>
                <w:rFonts w:ascii="Times New Roman" w:hAnsi="Times New Roman" w:cs="Times New Roman"/>
                <w:noProof/>
                <w:webHidden/>
              </w:rPr>
              <w:fldChar w:fldCharType="end"/>
            </w:r>
          </w:hyperlink>
        </w:p>
        <w:p w14:paraId="4D4AC82E" w14:textId="1D39B95E" w:rsidR="007A07B0" w:rsidRPr="007A07B0" w:rsidRDefault="007A07B0">
          <w:pPr>
            <w:pStyle w:val="TOC3"/>
            <w:tabs>
              <w:tab w:val="right" w:leader="dot" w:pos="9350"/>
            </w:tabs>
            <w:rPr>
              <w:rFonts w:ascii="Times New Roman" w:eastAsiaTheme="minorEastAsia" w:hAnsi="Times New Roman" w:cs="Times New Roman"/>
              <w:noProof/>
            </w:rPr>
          </w:pPr>
          <w:hyperlink w:anchor="_Toc219038115" w:history="1">
            <w:r w:rsidRPr="007A07B0">
              <w:rPr>
                <w:rStyle w:val="Hyperlink"/>
                <w:rFonts w:ascii="Times New Roman" w:hAnsi="Times New Roman" w:cs="Times New Roman"/>
                <w:noProof/>
              </w:rPr>
              <w:t>Return Measures</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_Toc219038115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9</w:t>
            </w:r>
            <w:r w:rsidRPr="007A07B0">
              <w:rPr>
                <w:rFonts w:ascii="Times New Roman" w:hAnsi="Times New Roman" w:cs="Times New Roman"/>
                <w:noProof/>
                <w:webHidden/>
              </w:rPr>
              <w:fldChar w:fldCharType="end"/>
            </w:r>
          </w:hyperlink>
        </w:p>
        <w:p w14:paraId="48EE7E60" w14:textId="0594522E" w:rsidR="007A07B0" w:rsidRPr="007A07B0" w:rsidRDefault="007A07B0">
          <w:pPr>
            <w:pStyle w:val="TOC3"/>
            <w:tabs>
              <w:tab w:val="right" w:leader="dot" w:pos="9350"/>
            </w:tabs>
            <w:rPr>
              <w:rFonts w:ascii="Times New Roman" w:eastAsiaTheme="minorEastAsia" w:hAnsi="Times New Roman" w:cs="Times New Roman"/>
              <w:noProof/>
            </w:rPr>
          </w:pPr>
          <w:hyperlink w:anchor="_Toc219038116" w:history="1">
            <w:r w:rsidRPr="007A07B0">
              <w:rPr>
                <w:rStyle w:val="Hyperlink"/>
                <w:rFonts w:ascii="Times New Roman" w:hAnsi="Times New Roman" w:cs="Times New Roman"/>
                <w:noProof/>
              </w:rPr>
              <w:t>Return on Capital Employed (ROCE)</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_Toc219038116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9</w:t>
            </w:r>
            <w:r w:rsidRPr="007A07B0">
              <w:rPr>
                <w:rFonts w:ascii="Times New Roman" w:hAnsi="Times New Roman" w:cs="Times New Roman"/>
                <w:noProof/>
                <w:webHidden/>
              </w:rPr>
              <w:fldChar w:fldCharType="end"/>
            </w:r>
          </w:hyperlink>
        </w:p>
        <w:p w14:paraId="007317C6" w14:textId="6A813471" w:rsidR="007A07B0" w:rsidRPr="007A07B0" w:rsidRDefault="007A07B0">
          <w:pPr>
            <w:pStyle w:val="TOC3"/>
            <w:tabs>
              <w:tab w:val="right" w:leader="dot" w:pos="9350"/>
            </w:tabs>
            <w:rPr>
              <w:rFonts w:ascii="Times New Roman" w:eastAsiaTheme="minorEastAsia" w:hAnsi="Times New Roman" w:cs="Times New Roman"/>
              <w:noProof/>
            </w:rPr>
          </w:pPr>
          <w:hyperlink w:anchor="_Toc219038117" w:history="1">
            <w:r w:rsidRPr="007A07B0">
              <w:rPr>
                <w:rStyle w:val="Hyperlink"/>
                <w:rFonts w:ascii="Times New Roman" w:hAnsi="Times New Roman" w:cs="Times New Roman"/>
                <w:noProof/>
              </w:rPr>
              <w:t>Return on Equity (ROE)</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_Toc219038117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10</w:t>
            </w:r>
            <w:r w:rsidRPr="007A07B0">
              <w:rPr>
                <w:rFonts w:ascii="Times New Roman" w:hAnsi="Times New Roman" w:cs="Times New Roman"/>
                <w:noProof/>
                <w:webHidden/>
              </w:rPr>
              <w:fldChar w:fldCharType="end"/>
            </w:r>
          </w:hyperlink>
        </w:p>
        <w:p w14:paraId="5A63B3CF" w14:textId="3412A420" w:rsidR="007A07B0" w:rsidRPr="007A07B0" w:rsidRDefault="007A07B0">
          <w:pPr>
            <w:pStyle w:val="TOC3"/>
            <w:tabs>
              <w:tab w:val="right" w:leader="dot" w:pos="9350"/>
            </w:tabs>
            <w:rPr>
              <w:rFonts w:ascii="Times New Roman" w:eastAsiaTheme="minorEastAsia" w:hAnsi="Times New Roman" w:cs="Times New Roman"/>
              <w:noProof/>
            </w:rPr>
          </w:pPr>
          <w:hyperlink w:anchor="_Toc219038118" w:history="1">
            <w:r w:rsidRPr="007A07B0">
              <w:rPr>
                <w:rStyle w:val="Hyperlink"/>
                <w:rFonts w:ascii="Times New Roman" w:hAnsi="Times New Roman" w:cs="Times New Roman"/>
                <w:noProof/>
              </w:rPr>
              <w:t>Interpretation of Return Performance</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_Toc219038118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11</w:t>
            </w:r>
            <w:r w:rsidRPr="007A07B0">
              <w:rPr>
                <w:rFonts w:ascii="Times New Roman" w:hAnsi="Times New Roman" w:cs="Times New Roman"/>
                <w:noProof/>
                <w:webHidden/>
              </w:rPr>
              <w:fldChar w:fldCharType="end"/>
            </w:r>
          </w:hyperlink>
        </w:p>
        <w:p w14:paraId="3DF604D6" w14:textId="0DC57E0C" w:rsidR="007A07B0" w:rsidRPr="007A07B0" w:rsidRDefault="007A07B0">
          <w:pPr>
            <w:pStyle w:val="TOC2"/>
            <w:tabs>
              <w:tab w:val="right" w:leader="dot" w:pos="9350"/>
            </w:tabs>
            <w:rPr>
              <w:rFonts w:ascii="Times New Roman" w:eastAsiaTheme="minorEastAsia" w:hAnsi="Times New Roman" w:cs="Times New Roman"/>
              <w:noProof/>
            </w:rPr>
          </w:pPr>
          <w:hyperlink w:anchor="_Toc219038119" w:history="1">
            <w:r w:rsidRPr="007A07B0">
              <w:rPr>
                <w:rStyle w:val="Hyperlink"/>
                <w:rFonts w:ascii="Times New Roman" w:hAnsi="Times New Roman" w:cs="Times New Roman"/>
                <w:noProof/>
              </w:rPr>
              <w:t>Liquidity Analysis</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_Toc219038119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11</w:t>
            </w:r>
            <w:r w:rsidRPr="007A07B0">
              <w:rPr>
                <w:rFonts w:ascii="Times New Roman" w:hAnsi="Times New Roman" w:cs="Times New Roman"/>
                <w:noProof/>
                <w:webHidden/>
              </w:rPr>
              <w:fldChar w:fldCharType="end"/>
            </w:r>
          </w:hyperlink>
        </w:p>
        <w:p w14:paraId="2224559E" w14:textId="38609D65" w:rsidR="007A07B0" w:rsidRPr="007A07B0" w:rsidRDefault="007A07B0">
          <w:pPr>
            <w:pStyle w:val="TOC3"/>
            <w:tabs>
              <w:tab w:val="right" w:leader="dot" w:pos="9350"/>
            </w:tabs>
            <w:rPr>
              <w:rFonts w:ascii="Times New Roman" w:eastAsiaTheme="minorEastAsia" w:hAnsi="Times New Roman" w:cs="Times New Roman"/>
              <w:noProof/>
            </w:rPr>
          </w:pPr>
          <w:hyperlink w:anchor="_Toc219038120" w:history="1">
            <w:r w:rsidRPr="007A07B0">
              <w:rPr>
                <w:rStyle w:val="Hyperlink"/>
                <w:rFonts w:ascii="Times New Roman" w:hAnsi="Times New Roman" w:cs="Times New Roman"/>
                <w:noProof/>
              </w:rPr>
              <w:t>Liquidity Position</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_Toc219038120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11</w:t>
            </w:r>
            <w:r w:rsidRPr="007A07B0">
              <w:rPr>
                <w:rFonts w:ascii="Times New Roman" w:hAnsi="Times New Roman" w:cs="Times New Roman"/>
                <w:noProof/>
                <w:webHidden/>
              </w:rPr>
              <w:fldChar w:fldCharType="end"/>
            </w:r>
          </w:hyperlink>
        </w:p>
        <w:p w14:paraId="66F55A00" w14:textId="55B48CDF" w:rsidR="007A07B0" w:rsidRPr="007A07B0" w:rsidRDefault="007A07B0">
          <w:pPr>
            <w:pStyle w:val="TOC3"/>
            <w:tabs>
              <w:tab w:val="right" w:leader="dot" w:pos="9350"/>
            </w:tabs>
            <w:rPr>
              <w:rFonts w:ascii="Times New Roman" w:eastAsiaTheme="minorEastAsia" w:hAnsi="Times New Roman" w:cs="Times New Roman"/>
              <w:noProof/>
            </w:rPr>
          </w:pPr>
          <w:hyperlink w:anchor="_Toc219038121" w:history="1">
            <w:r w:rsidRPr="007A07B0">
              <w:rPr>
                <w:rStyle w:val="Hyperlink"/>
                <w:rFonts w:ascii="Times New Roman" w:hAnsi="Times New Roman" w:cs="Times New Roman"/>
                <w:noProof/>
              </w:rPr>
              <w:t>Current Ratio</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_Toc219038121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11</w:t>
            </w:r>
            <w:r w:rsidRPr="007A07B0">
              <w:rPr>
                <w:rFonts w:ascii="Times New Roman" w:hAnsi="Times New Roman" w:cs="Times New Roman"/>
                <w:noProof/>
                <w:webHidden/>
              </w:rPr>
              <w:fldChar w:fldCharType="end"/>
            </w:r>
          </w:hyperlink>
        </w:p>
        <w:p w14:paraId="6D8A9667" w14:textId="64E70935" w:rsidR="007A07B0" w:rsidRPr="007A07B0" w:rsidRDefault="007A07B0">
          <w:pPr>
            <w:pStyle w:val="TOC3"/>
            <w:tabs>
              <w:tab w:val="right" w:leader="dot" w:pos="9350"/>
            </w:tabs>
            <w:rPr>
              <w:rFonts w:ascii="Times New Roman" w:eastAsiaTheme="minorEastAsia" w:hAnsi="Times New Roman" w:cs="Times New Roman"/>
              <w:noProof/>
            </w:rPr>
          </w:pPr>
          <w:hyperlink w:anchor="_Toc219038122" w:history="1">
            <w:r w:rsidRPr="007A07B0">
              <w:rPr>
                <w:rStyle w:val="Hyperlink"/>
                <w:rFonts w:ascii="Times New Roman" w:hAnsi="Times New Roman" w:cs="Times New Roman"/>
                <w:noProof/>
              </w:rPr>
              <w:t>Quick Ratio</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_Toc219038122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12</w:t>
            </w:r>
            <w:r w:rsidRPr="007A07B0">
              <w:rPr>
                <w:rFonts w:ascii="Times New Roman" w:hAnsi="Times New Roman" w:cs="Times New Roman"/>
                <w:noProof/>
                <w:webHidden/>
              </w:rPr>
              <w:fldChar w:fldCharType="end"/>
            </w:r>
          </w:hyperlink>
        </w:p>
        <w:p w14:paraId="78B8D68A" w14:textId="0D96CEAF" w:rsidR="007A07B0" w:rsidRPr="007A07B0" w:rsidRDefault="007A07B0">
          <w:pPr>
            <w:pStyle w:val="TOC3"/>
            <w:tabs>
              <w:tab w:val="right" w:leader="dot" w:pos="9350"/>
            </w:tabs>
            <w:rPr>
              <w:rFonts w:ascii="Times New Roman" w:eastAsiaTheme="minorEastAsia" w:hAnsi="Times New Roman" w:cs="Times New Roman"/>
              <w:noProof/>
            </w:rPr>
          </w:pPr>
          <w:hyperlink w:anchor="_Toc219038123" w:history="1">
            <w:r w:rsidRPr="007A07B0">
              <w:rPr>
                <w:rStyle w:val="Hyperlink"/>
                <w:rFonts w:ascii="Times New Roman" w:hAnsi="Times New Roman" w:cs="Times New Roman"/>
                <w:noProof/>
              </w:rPr>
              <w:t>Interpretation of Liquidity Performance</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_Toc219038123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13</w:t>
            </w:r>
            <w:r w:rsidRPr="007A07B0">
              <w:rPr>
                <w:rFonts w:ascii="Times New Roman" w:hAnsi="Times New Roman" w:cs="Times New Roman"/>
                <w:noProof/>
                <w:webHidden/>
              </w:rPr>
              <w:fldChar w:fldCharType="end"/>
            </w:r>
          </w:hyperlink>
        </w:p>
        <w:p w14:paraId="660B6657" w14:textId="7107309A" w:rsidR="007A07B0" w:rsidRPr="007A07B0" w:rsidRDefault="007A07B0">
          <w:pPr>
            <w:pStyle w:val="TOC2"/>
            <w:tabs>
              <w:tab w:val="right" w:leader="dot" w:pos="9350"/>
            </w:tabs>
            <w:rPr>
              <w:rFonts w:ascii="Times New Roman" w:eastAsiaTheme="minorEastAsia" w:hAnsi="Times New Roman" w:cs="Times New Roman"/>
              <w:noProof/>
            </w:rPr>
          </w:pPr>
          <w:hyperlink w:anchor="_Toc219038124" w:history="1">
            <w:r w:rsidRPr="007A07B0">
              <w:rPr>
                <w:rStyle w:val="Hyperlink"/>
                <w:rFonts w:ascii="Times New Roman" w:hAnsi="Times New Roman" w:cs="Times New Roman"/>
                <w:noProof/>
              </w:rPr>
              <w:t>Efficiency Analysis</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_Toc219038124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13</w:t>
            </w:r>
            <w:r w:rsidRPr="007A07B0">
              <w:rPr>
                <w:rFonts w:ascii="Times New Roman" w:hAnsi="Times New Roman" w:cs="Times New Roman"/>
                <w:noProof/>
                <w:webHidden/>
              </w:rPr>
              <w:fldChar w:fldCharType="end"/>
            </w:r>
          </w:hyperlink>
        </w:p>
        <w:p w14:paraId="5E61FB55" w14:textId="2CFB916B" w:rsidR="007A07B0" w:rsidRPr="007A07B0" w:rsidRDefault="007A07B0">
          <w:pPr>
            <w:pStyle w:val="TOC3"/>
            <w:tabs>
              <w:tab w:val="right" w:leader="dot" w:pos="9350"/>
            </w:tabs>
            <w:rPr>
              <w:rFonts w:ascii="Times New Roman" w:eastAsiaTheme="minorEastAsia" w:hAnsi="Times New Roman" w:cs="Times New Roman"/>
              <w:noProof/>
            </w:rPr>
          </w:pPr>
          <w:hyperlink w:anchor="_Toc219038125" w:history="1">
            <w:r w:rsidRPr="007A07B0">
              <w:rPr>
                <w:rStyle w:val="Hyperlink"/>
                <w:rFonts w:ascii="Times New Roman" w:hAnsi="Times New Roman" w:cs="Times New Roman"/>
                <w:noProof/>
              </w:rPr>
              <w:t>Working Capital Efficiency</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_Toc219038125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13</w:t>
            </w:r>
            <w:r w:rsidRPr="007A07B0">
              <w:rPr>
                <w:rFonts w:ascii="Times New Roman" w:hAnsi="Times New Roman" w:cs="Times New Roman"/>
                <w:noProof/>
                <w:webHidden/>
              </w:rPr>
              <w:fldChar w:fldCharType="end"/>
            </w:r>
          </w:hyperlink>
        </w:p>
        <w:p w14:paraId="6FF3E303" w14:textId="76C741AD" w:rsidR="007A07B0" w:rsidRPr="007A07B0" w:rsidRDefault="007A07B0">
          <w:pPr>
            <w:pStyle w:val="TOC3"/>
            <w:tabs>
              <w:tab w:val="right" w:leader="dot" w:pos="9350"/>
            </w:tabs>
            <w:rPr>
              <w:rFonts w:ascii="Times New Roman" w:eastAsiaTheme="minorEastAsia" w:hAnsi="Times New Roman" w:cs="Times New Roman"/>
              <w:noProof/>
            </w:rPr>
          </w:pPr>
          <w:hyperlink w:anchor="_Toc219038126" w:history="1">
            <w:r w:rsidRPr="007A07B0">
              <w:rPr>
                <w:rStyle w:val="Hyperlink"/>
                <w:rFonts w:ascii="Times New Roman" w:hAnsi="Times New Roman" w:cs="Times New Roman"/>
                <w:noProof/>
              </w:rPr>
              <w:t>Inventory Days</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_Toc219038126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13</w:t>
            </w:r>
            <w:r w:rsidRPr="007A07B0">
              <w:rPr>
                <w:rFonts w:ascii="Times New Roman" w:hAnsi="Times New Roman" w:cs="Times New Roman"/>
                <w:noProof/>
                <w:webHidden/>
              </w:rPr>
              <w:fldChar w:fldCharType="end"/>
            </w:r>
          </w:hyperlink>
        </w:p>
        <w:p w14:paraId="7A58E2F2" w14:textId="1BD2C645" w:rsidR="007A07B0" w:rsidRPr="007A07B0" w:rsidRDefault="007A07B0">
          <w:pPr>
            <w:pStyle w:val="TOC3"/>
            <w:tabs>
              <w:tab w:val="right" w:leader="dot" w:pos="9350"/>
            </w:tabs>
            <w:rPr>
              <w:rFonts w:ascii="Times New Roman" w:eastAsiaTheme="minorEastAsia" w:hAnsi="Times New Roman" w:cs="Times New Roman"/>
              <w:noProof/>
            </w:rPr>
          </w:pPr>
          <w:hyperlink w:anchor="_Toc219038127" w:history="1">
            <w:r w:rsidRPr="007A07B0">
              <w:rPr>
                <w:rStyle w:val="Hyperlink"/>
                <w:rFonts w:ascii="Times New Roman" w:hAnsi="Times New Roman" w:cs="Times New Roman"/>
                <w:noProof/>
              </w:rPr>
              <w:t>Receivables Days</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_Toc219038127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14</w:t>
            </w:r>
            <w:r w:rsidRPr="007A07B0">
              <w:rPr>
                <w:rFonts w:ascii="Times New Roman" w:hAnsi="Times New Roman" w:cs="Times New Roman"/>
                <w:noProof/>
                <w:webHidden/>
              </w:rPr>
              <w:fldChar w:fldCharType="end"/>
            </w:r>
          </w:hyperlink>
        </w:p>
        <w:p w14:paraId="3F075DAB" w14:textId="0BF8660F" w:rsidR="007A07B0" w:rsidRPr="007A07B0" w:rsidRDefault="007A07B0">
          <w:pPr>
            <w:pStyle w:val="TOC3"/>
            <w:tabs>
              <w:tab w:val="right" w:leader="dot" w:pos="9350"/>
            </w:tabs>
            <w:rPr>
              <w:rFonts w:ascii="Times New Roman" w:eastAsiaTheme="minorEastAsia" w:hAnsi="Times New Roman" w:cs="Times New Roman"/>
              <w:noProof/>
            </w:rPr>
          </w:pPr>
          <w:hyperlink w:anchor="_Toc219038128" w:history="1">
            <w:r w:rsidRPr="007A07B0">
              <w:rPr>
                <w:rStyle w:val="Hyperlink"/>
                <w:rFonts w:ascii="Times New Roman" w:hAnsi="Times New Roman" w:cs="Times New Roman"/>
                <w:noProof/>
              </w:rPr>
              <w:t>Payables Days</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_Toc219038128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14</w:t>
            </w:r>
            <w:r w:rsidRPr="007A07B0">
              <w:rPr>
                <w:rFonts w:ascii="Times New Roman" w:hAnsi="Times New Roman" w:cs="Times New Roman"/>
                <w:noProof/>
                <w:webHidden/>
              </w:rPr>
              <w:fldChar w:fldCharType="end"/>
            </w:r>
          </w:hyperlink>
        </w:p>
        <w:p w14:paraId="18A1376D" w14:textId="0DFC9F9B" w:rsidR="007A07B0" w:rsidRPr="007A07B0" w:rsidRDefault="007A07B0">
          <w:pPr>
            <w:pStyle w:val="TOC3"/>
            <w:tabs>
              <w:tab w:val="right" w:leader="dot" w:pos="9350"/>
            </w:tabs>
            <w:rPr>
              <w:rFonts w:ascii="Times New Roman" w:eastAsiaTheme="minorEastAsia" w:hAnsi="Times New Roman" w:cs="Times New Roman"/>
              <w:noProof/>
            </w:rPr>
          </w:pPr>
          <w:hyperlink w:anchor="_Toc219038129" w:history="1">
            <w:r w:rsidRPr="007A07B0">
              <w:rPr>
                <w:rStyle w:val="Hyperlink"/>
                <w:rFonts w:ascii="Times New Roman" w:hAnsi="Times New Roman" w:cs="Times New Roman"/>
                <w:noProof/>
              </w:rPr>
              <w:t>Interpretation of Efficiency Performance</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_Toc219038129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15</w:t>
            </w:r>
            <w:r w:rsidRPr="007A07B0">
              <w:rPr>
                <w:rFonts w:ascii="Times New Roman" w:hAnsi="Times New Roman" w:cs="Times New Roman"/>
                <w:noProof/>
                <w:webHidden/>
              </w:rPr>
              <w:fldChar w:fldCharType="end"/>
            </w:r>
          </w:hyperlink>
        </w:p>
        <w:p w14:paraId="7BD7FCF4" w14:textId="6AA05B00" w:rsidR="007A07B0" w:rsidRPr="007A07B0" w:rsidRDefault="007A07B0">
          <w:pPr>
            <w:pStyle w:val="TOC2"/>
            <w:tabs>
              <w:tab w:val="right" w:leader="dot" w:pos="9350"/>
            </w:tabs>
            <w:rPr>
              <w:rFonts w:ascii="Times New Roman" w:eastAsiaTheme="minorEastAsia" w:hAnsi="Times New Roman" w:cs="Times New Roman"/>
              <w:noProof/>
            </w:rPr>
          </w:pPr>
          <w:hyperlink w:anchor="_Toc219038130" w:history="1">
            <w:r w:rsidRPr="007A07B0">
              <w:rPr>
                <w:rStyle w:val="Hyperlink"/>
                <w:rFonts w:ascii="Times New Roman" w:hAnsi="Times New Roman" w:cs="Times New Roman"/>
                <w:noProof/>
              </w:rPr>
              <w:t>Gearing and Solvency</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_Toc219038130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15</w:t>
            </w:r>
            <w:r w:rsidRPr="007A07B0">
              <w:rPr>
                <w:rFonts w:ascii="Times New Roman" w:hAnsi="Times New Roman" w:cs="Times New Roman"/>
                <w:noProof/>
                <w:webHidden/>
              </w:rPr>
              <w:fldChar w:fldCharType="end"/>
            </w:r>
          </w:hyperlink>
        </w:p>
        <w:p w14:paraId="28100ADD" w14:textId="58A58072" w:rsidR="007A07B0" w:rsidRPr="007A07B0" w:rsidRDefault="007A07B0">
          <w:pPr>
            <w:pStyle w:val="TOC3"/>
            <w:tabs>
              <w:tab w:val="right" w:leader="dot" w:pos="9350"/>
            </w:tabs>
            <w:rPr>
              <w:rFonts w:ascii="Times New Roman" w:eastAsiaTheme="minorEastAsia" w:hAnsi="Times New Roman" w:cs="Times New Roman"/>
              <w:noProof/>
            </w:rPr>
          </w:pPr>
          <w:hyperlink w:anchor="_Toc219038131" w:history="1">
            <w:r w:rsidRPr="007A07B0">
              <w:rPr>
                <w:rStyle w:val="Hyperlink"/>
                <w:rFonts w:ascii="Times New Roman" w:hAnsi="Times New Roman" w:cs="Times New Roman"/>
                <w:noProof/>
              </w:rPr>
              <w:t>Solvency and Capital Structure</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_Toc219038131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15</w:t>
            </w:r>
            <w:r w:rsidRPr="007A07B0">
              <w:rPr>
                <w:rFonts w:ascii="Times New Roman" w:hAnsi="Times New Roman" w:cs="Times New Roman"/>
                <w:noProof/>
                <w:webHidden/>
              </w:rPr>
              <w:fldChar w:fldCharType="end"/>
            </w:r>
          </w:hyperlink>
        </w:p>
        <w:p w14:paraId="0A7D7B42" w14:textId="334BBAF9" w:rsidR="007A07B0" w:rsidRPr="007A07B0" w:rsidRDefault="007A07B0">
          <w:pPr>
            <w:pStyle w:val="TOC3"/>
            <w:tabs>
              <w:tab w:val="right" w:leader="dot" w:pos="9350"/>
            </w:tabs>
            <w:rPr>
              <w:rFonts w:ascii="Times New Roman" w:eastAsiaTheme="minorEastAsia" w:hAnsi="Times New Roman" w:cs="Times New Roman"/>
              <w:noProof/>
            </w:rPr>
          </w:pPr>
          <w:hyperlink w:anchor="_Toc219038132" w:history="1">
            <w:r w:rsidRPr="007A07B0">
              <w:rPr>
                <w:rStyle w:val="Hyperlink"/>
                <w:rFonts w:ascii="Times New Roman" w:hAnsi="Times New Roman" w:cs="Times New Roman"/>
                <w:noProof/>
              </w:rPr>
              <w:t>Gearing Ratio</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_Toc219038132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15</w:t>
            </w:r>
            <w:r w:rsidRPr="007A07B0">
              <w:rPr>
                <w:rFonts w:ascii="Times New Roman" w:hAnsi="Times New Roman" w:cs="Times New Roman"/>
                <w:noProof/>
                <w:webHidden/>
              </w:rPr>
              <w:fldChar w:fldCharType="end"/>
            </w:r>
          </w:hyperlink>
        </w:p>
        <w:p w14:paraId="0AEE4495" w14:textId="5F7D6D82" w:rsidR="007A07B0" w:rsidRPr="007A07B0" w:rsidRDefault="007A07B0">
          <w:pPr>
            <w:pStyle w:val="TOC3"/>
            <w:tabs>
              <w:tab w:val="right" w:leader="dot" w:pos="9350"/>
            </w:tabs>
            <w:rPr>
              <w:rFonts w:ascii="Times New Roman" w:eastAsiaTheme="minorEastAsia" w:hAnsi="Times New Roman" w:cs="Times New Roman"/>
              <w:noProof/>
            </w:rPr>
          </w:pPr>
          <w:hyperlink w:anchor="_Toc219038133" w:history="1">
            <w:r w:rsidRPr="007A07B0">
              <w:rPr>
                <w:rStyle w:val="Hyperlink"/>
                <w:rFonts w:ascii="Times New Roman" w:hAnsi="Times New Roman" w:cs="Times New Roman"/>
                <w:noProof/>
              </w:rPr>
              <w:t>Interest Cover</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_Toc219038133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16</w:t>
            </w:r>
            <w:r w:rsidRPr="007A07B0">
              <w:rPr>
                <w:rFonts w:ascii="Times New Roman" w:hAnsi="Times New Roman" w:cs="Times New Roman"/>
                <w:noProof/>
                <w:webHidden/>
              </w:rPr>
              <w:fldChar w:fldCharType="end"/>
            </w:r>
          </w:hyperlink>
        </w:p>
        <w:p w14:paraId="71C9C50B" w14:textId="2C8D23BD" w:rsidR="007A07B0" w:rsidRPr="007A07B0" w:rsidRDefault="007A07B0">
          <w:pPr>
            <w:pStyle w:val="TOC3"/>
            <w:tabs>
              <w:tab w:val="right" w:leader="dot" w:pos="9350"/>
            </w:tabs>
            <w:rPr>
              <w:rFonts w:ascii="Times New Roman" w:eastAsiaTheme="minorEastAsia" w:hAnsi="Times New Roman" w:cs="Times New Roman"/>
              <w:noProof/>
            </w:rPr>
          </w:pPr>
          <w:hyperlink w:anchor="_Toc219038134" w:history="1">
            <w:r w:rsidRPr="007A07B0">
              <w:rPr>
                <w:rStyle w:val="Hyperlink"/>
                <w:rFonts w:ascii="Times New Roman" w:hAnsi="Times New Roman" w:cs="Times New Roman"/>
                <w:noProof/>
              </w:rPr>
              <w:t>Interpretation of Gearing and Solvency Position</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_Toc219038134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16</w:t>
            </w:r>
            <w:r w:rsidRPr="007A07B0">
              <w:rPr>
                <w:rFonts w:ascii="Times New Roman" w:hAnsi="Times New Roman" w:cs="Times New Roman"/>
                <w:noProof/>
                <w:webHidden/>
              </w:rPr>
              <w:fldChar w:fldCharType="end"/>
            </w:r>
          </w:hyperlink>
        </w:p>
        <w:p w14:paraId="64992AAF" w14:textId="606CB55C" w:rsidR="007A07B0" w:rsidRPr="007A07B0" w:rsidRDefault="007A07B0">
          <w:pPr>
            <w:pStyle w:val="TOC2"/>
            <w:tabs>
              <w:tab w:val="right" w:leader="dot" w:pos="9350"/>
            </w:tabs>
            <w:rPr>
              <w:rFonts w:ascii="Times New Roman" w:eastAsiaTheme="minorEastAsia" w:hAnsi="Times New Roman" w:cs="Times New Roman"/>
              <w:noProof/>
            </w:rPr>
          </w:pPr>
          <w:hyperlink w:anchor="_Toc219038135" w:history="1">
            <w:r w:rsidRPr="007A07B0">
              <w:rPr>
                <w:rStyle w:val="Hyperlink"/>
                <w:rFonts w:ascii="Times New Roman" w:hAnsi="Times New Roman" w:cs="Times New Roman"/>
                <w:noProof/>
              </w:rPr>
              <w:t>Investor Performance</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_Toc219038135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17</w:t>
            </w:r>
            <w:r w:rsidRPr="007A07B0">
              <w:rPr>
                <w:rFonts w:ascii="Times New Roman" w:hAnsi="Times New Roman" w:cs="Times New Roman"/>
                <w:noProof/>
                <w:webHidden/>
              </w:rPr>
              <w:fldChar w:fldCharType="end"/>
            </w:r>
          </w:hyperlink>
        </w:p>
        <w:p w14:paraId="630766CB" w14:textId="6CBA0FF0" w:rsidR="007A07B0" w:rsidRPr="007A07B0" w:rsidRDefault="007A07B0">
          <w:pPr>
            <w:pStyle w:val="TOC3"/>
            <w:tabs>
              <w:tab w:val="right" w:leader="dot" w:pos="9350"/>
            </w:tabs>
            <w:rPr>
              <w:rFonts w:ascii="Times New Roman" w:eastAsiaTheme="minorEastAsia" w:hAnsi="Times New Roman" w:cs="Times New Roman"/>
              <w:noProof/>
            </w:rPr>
          </w:pPr>
          <w:hyperlink w:anchor="_Toc219038136" w:history="1">
            <w:r w:rsidRPr="007A07B0">
              <w:rPr>
                <w:rStyle w:val="Hyperlink"/>
                <w:rFonts w:ascii="Times New Roman" w:hAnsi="Times New Roman" w:cs="Times New Roman"/>
                <w:noProof/>
              </w:rPr>
              <w:t>Earnings per Share (EPS)</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_Toc219038136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17</w:t>
            </w:r>
            <w:r w:rsidRPr="007A07B0">
              <w:rPr>
                <w:rFonts w:ascii="Times New Roman" w:hAnsi="Times New Roman" w:cs="Times New Roman"/>
                <w:noProof/>
                <w:webHidden/>
              </w:rPr>
              <w:fldChar w:fldCharType="end"/>
            </w:r>
          </w:hyperlink>
        </w:p>
        <w:p w14:paraId="2DFF772D" w14:textId="28F83B45" w:rsidR="007A07B0" w:rsidRPr="007A07B0" w:rsidRDefault="007A07B0">
          <w:pPr>
            <w:pStyle w:val="TOC3"/>
            <w:tabs>
              <w:tab w:val="right" w:leader="dot" w:pos="9350"/>
            </w:tabs>
            <w:rPr>
              <w:rFonts w:ascii="Times New Roman" w:eastAsiaTheme="minorEastAsia" w:hAnsi="Times New Roman" w:cs="Times New Roman"/>
              <w:noProof/>
            </w:rPr>
          </w:pPr>
          <w:hyperlink w:anchor="_Toc219038137" w:history="1">
            <w:r w:rsidRPr="007A07B0">
              <w:rPr>
                <w:rStyle w:val="Hyperlink"/>
                <w:rFonts w:ascii="Times New Roman" w:hAnsi="Times New Roman" w:cs="Times New Roman"/>
                <w:noProof/>
              </w:rPr>
              <w:t>Dividend Performance and Dividend Cover</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_Toc219038137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17</w:t>
            </w:r>
            <w:r w:rsidRPr="007A07B0">
              <w:rPr>
                <w:rFonts w:ascii="Times New Roman" w:hAnsi="Times New Roman" w:cs="Times New Roman"/>
                <w:noProof/>
                <w:webHidden/>
              </w:rPr>
              <w:fldChar w:fldCharType="end"/>
            </w:r>
          </w:hyperlink>
        </w:p>
        <w:p w14:paraId="3C8BD5BC" w14:textId="577935B8" w:rsidR="007A07B0" w:rsidRPr="007A07B0" w:rsidRDefault="007A07B0">
          <w:pPr>
            <w:pStyle w:val="TOC3"/>
            <w:tabs>
              <w:tab w:val="right" w:leader="dot" w:pos="9350"/>
            </w:tabs>
            <w:rPr>
              <w:rFonts w:ascii="Times New Roman" w:eastAsiaTheme="minorEastAsia" w:hAnsi="Times New Roman" w:cs="Times New Roman"/>
              <w:noProof/>
            </w:rPr>
          </w:pPr>
          <w:hyperlink w:anchor="_Toc219038138" w:history="1">
            <w:r w:rsidRPr="007A07B0">
              <w:rPr>
                <w:rStyle w:val="Hyperlink"/>
                <w:rFonts w:ascii="Times New Roman" w:hAnsi="Times New Roman" w:cs="Times New Roman"/>
                <w:noProof/>
              </w:rPr>
              <w:t>Dividend Yield</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_Toc219038138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18</w:t>
            </w:r>
            <w:r w:rsidRPr="007A07B0">
              <w:rPr>
                <w:rFonts w:ascii="Times New Roman" w:hAnsi="Times New Roman" w:cs="Times New Roman"/>
                <w:noProof/>
                <w:webHidden/>
              </w:rPr>
              <w:fldChar w:fldCharType="end"/>
            </w:r>
          </w:hyperlink>
        </w:p>
        <w:p w14:paraId="5B9365B6" w14:textId="2FE77034" w:rsidR="007A07B0" w:rsidRPr="007A07B0" w:rsidRDefault="007A07B0">
          <w:pPr>
            <w:pStyle w:val="TOC3"/>
            <w:tabs>
              <w:tab w:val="right" w:leader="dot" w:pos="9350"/>
            </w:tabs>
            <w:rPr>
              <w:rFonts w:ascii="Times New Roman" w:eastAsiaTheme="minorEastAsia" w:hAnsi="Times New Roman" w:cs="Times New Roman"/>
              <w:noProof/>
            </w:rPr>
          </w:pPr>
          <w:hyperlink w:anchor="_Toc219038139" w:history="1">
            <w:r w:rsidRPr="007A07B0">
              <w:rPr>
                <w:rStyle w:val="Hyperlink"/>
                <w:rFonts w:ascii="Times New Roman" w:hAnsi="Times New Roman" w:cs="Times New Roman"/>
                <w:noProof/>
              </w:rPr>
              <w:t>Price/Earnings (P/E) Ratio</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_Toc219038139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18</w:t>
            </w:r>
            <w:r w:rsidRPr="007A07B0">
              <w:rPr>
                <w:rFonts w:ascii="Times New Roman" w:hAnsi="Times New Roman" w:cs="Times New Roman"/>
                <w:noProof/>
                <w:webHidden/>
              </w:rPr>
              <w:fldChar w:fldCharType="end"/>
            </w:r>
          </w:hyperlink>
        </w:p>
        <w:p w14:paraId="40B1DDD8" w14:textId="0898E773" w:rsidR="007A07B0" w:rsidRPr="007A07B0" w:rsidRDefault="007A07B0">
          <w:pPr>
            <w:pStyle w:val="TOC3"/>
            <w:tabs>
              <w:tab w:val="right" w:leader="dot" w:pos="9350"/>
            </w:tabs>
            <w:rPr>
              <w:rFonts w:ascii="Times New Roman" w:eastAsiaTheme="minorEastAsia" w:hAnsi="Times New Roman" w:cs="Times New Roman"/>
              <w:noProof/>
            </w:rPr>
          </w:pPr>
          <w:hyperlink w:anchor="_Toc219038140" w:history="1">
            <w:r w:rsidRPr="007A07B0">
              <w:rPr>
                <w:rStyle w:val="Hyperlink"/>
                <w:rFonts w:ascii="Times New Roman" w:hAnsi="Times New Roman" w:cs="Times New Roman"/>
                <w:noProof/>
              </w:rPr>
              <w:t>Interpretation of Investor Performance</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_Toc219038140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18</w:t>
            </w:r>
            <w:r w:rsidRPr="007A07B0">
              <w:rPr>
                <w:rFonts w:ascii="Times New Roman" w:hAnsi="Times New Roman" w:cs="Times New Roman"/>
                <w:noProof/>
                <w:webHidden/>
              </w:rPr>
              <w:fldChar w:fldCharType="end"/>
            </w:r>
          </w:hyperlink>
        </w:p>
        <w:p w14:paraId="02988270" w14:textId="645BC683" w:rsidR="007A07B0" w:rsidRPr="007A07B0" w:rsidRDefault="007A07B0">
          <w:pPr>
            <w:pStyle w:val="TOC1"/>
            <w:tabs>
              <w:tab w:val="right" w:leader="dot" w:pos="9350"/>
            </w:tabs>
            <w:rPr>
              <w:rFonts w:ascii="Times New Roman" w:eastAsiaTheme="minorEastAsia" w:hAnsi="Times New Roman" w:cs="Times New Roman"/>
              <w:noProof/>
            </w:rPr>
          </w:pPr>
          <w:hyperlink w:anchor="_Toc219038141" w:history="1">
            <w:r w:rsidRPr="007A07B0">
              <w:rPr>
                <w:rStyle w:val="Hyperlink"/>
                <w:rFonts w:ascii="Times New Roman" w:hAnsi="Times New Roman" w:cs="Times New Roman"/>
                <w:noProof/>
              </w:rPr>
              <w:t>Part 2</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_Toc219038141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19</w:t>
            </w:r>
            <w:r w:rsidRPr="007A07B0">
              <w:rPr>
                <w:rFonts w:ascii="Times New Roman" w:hAnsi="Times New Roman" w:cs="Times New Roman"/>
                <w:noProof/>
                <w:webHidden/>
              </w:rPr>
              <w:fldChar w:fldCharType="end"/>
            </w:r>
          </w:hyperlink>
        </w:p>
        <w:p w14:paraId="2FD0A36F" w14:textId="13BE00B7" w:rsidR="007A07B0" w:rsidRPr="007A07B0" w:rsidRDefault="007A07B0">
          <w:pPr>
            <w:pStyle w:val="TOC2"/>
            <w:tabs>
              <w:tab w:val="right" w:leader="dot" w:pos="9350"/>
            </w:tabs>
            <w:rPr>
              <w:rFonts w:ascii="Times New Roman" w:eastAsiaTheme="minorEastAsia" w:hAnsi="Times New Roman" w:cs="Times New Roman"/>
              <w:noProof/>
            </w:rPr>
          </w:pPr>
          <w:hyperlink w:anchor="_Toc219038142" w:history="1">
            <w:r w:rsidRPr="007A07B0">
              <w:rPr>
                <w:rStyle w:val="Hyperlink"/>
                <w:rFonts w:ascii="Times New Roman" w:hAnsi="Times New Roman" w:cs="Times New Roman"/>
                <w:noProof/>
              </w:rPr>
              <w:t>Investment Appraisal</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_Toc219038142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19</w:t>
            </w:r>
            <w:r w:rsidRPr="007A07B0">
              <w:rPr>
                <w:rFonts w:ascii="Times New Roman" w:hAnsi="Times New Roman" w:cs="Times New Roman"/>
                <w:noProof/>
                <w:webHidden/>
              </w:rPr>
              <w:fldChar w:fldCharType="end"/>
            </w:r>
          </w:hyperlink>
        </w:p>
        <w:p w14:paraId="721A9B43" w14:textId="368F2904" w:rsidR="007A07B0" w:rsidRPr="007A07B0" w:rsidRDefault="007A07B0">
          <w:pPr>
            <w:pStyle w:val="TOC2"/>
            <w:tabs>
              <w:tab w:val="right" w:leader="dot" w:pos="9350"/>
            </w:tabs>
            <w:rPr>
              <w:rFonts w:ascii="Times New Roman" w:eastAsiaTheme="minorEastAsia" w:hAnsi="Times New Roman" w:cs="Times New Roman"/>
              <w:noProof/>
            </w:rPr>
          </w:pPr>
          <w:hyperlink w:anchor="_Toc219038143" w:history="1">
            <w:r w:rsidRPr="007A07B0">
              <w:rPr>
                <w:rStyle w:val="Hyperlink"/>
                <w:rFonts w:ascii="Times New Roman" w:hAnsi="Times New Roman" w:cs="Times New Roman"/>
                <w:noProof/>
              </w:rPr>
              <w:t>Net Present Value (NPV) Appraisal of the Investment Options</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_Toc219038143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19</w:t>
            </w:r>
            <w:r w:rsidRPr="007A07B0">
              <w:rPr>
                <w:rFonts w:ascii="Times New Roman" w:hAnsi="Times New Roman" w:cs="Times New Roman"/>
                <w:noProof/>
                <w:webHidden/>
              </w:rPr>
              <w:fldChar w:fldCharType="end"/>
            </w:r>
          </w:hyperlink>
        </w:p>
        <w:p w14:paraId="01C34431" w14:textId="0DE3F979" w:rsidR="007A07B0" w:rsidRPr="007A07B0" w:rsidRDefault="007A07B0">
          <w:pPr>
            <w:pStyle w:val="TOC2"/>
            <w:tabs>
              <w:tab w:val="right" w:leader="dot" w:pos="9350"/>
            </w:tabs>
            <w:rPr>
              <w:rFonts w:ascii="Times New Roman" w:eastAsiaTheme="minorEastAsia" w:hAnsi="Times New Roman" w:cs="Times New Roman"/>
              <w:noProof/>
            </w:rPr>
          </w:pPr>
          <w:hyperlink w:anchor="_Toc219038144" w:history="1">
            <w:r w:rsidRPr="007A07B0">
              <w:rPr>
                <w:rStyle w:val="Hyperlink"/>
                <w:rFonts w:ascii="Times New Roman" w:hAnsi="Times New Roman" w:cs="Times New Roman"/>
                <w:noProof/>
              </w:rPr>
              <w:t>Internal Rate of Return (IRR) Results</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_Toc219038144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20</w:t>
            </w:r>
            <w:r w:rsidRPr="007A07B0">
              <w:rPr>
                <w:rFonts w:ascii="Times New Roman" w:hAnsi="Times New Roman" w:cs="Times New Roman"/>
                <w:noProof/>
                <w:webHidden/>
              </w:rPr>
              <w:fldChar w:fldCharType="end"/>
            </w:r>
          </w:hyperlink>
        </w:p>
        <w:p w14:paraId="3B1BC02D" w14:textId="05B42228" w:rsidR="007A07B0" w:rsidRPr="007A07B0" w:rsidRDefault="007A07B0">
          <w:pPr>
            <w:pStyle w:val="TOC2"/>
            <w:tabs>
              <w:tab w:val="right" w:leader="dot" w:pos="9350"/>
            </w:tabs>
            <w:rPr>
              <w:rFonts w:ascii="Times New Roman" w:eastAsiaTheme="minorEastAsia" w:hAnsi="Times New Roman" w:cs="Times New Roman"/>
              <w:noProof/>
            </w:rPr>
          </w:pPr>
          <w:hyperlink w:anchor="_Toc219038145" w:history="1">
            <w:r w:rsidRPr="007A07B0">
              <w:rPr>
                <w:rStyle w:val="Hyperlink"/>
                <w:rFonts w:ascii="Times New Roman" w:hAnsi="Times New Roman" w:cs="Times New Roman"/>
                <w:noProof/>
              </w:rPr>
              <w:t>Interpretation of Results for Management</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_Toc219038145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21</w:t>
            </w:r>
            <w:r w:rsidRPr="007A07B0">
              <w:rPr>
                <w:rFonts w:ascii="Times New Roman" w:hAnsi="Times New Roman" w:cs="Times New Roman"/>
                <w:noProof/>
                <w:webHidden/>
              </w:rPr>
              <w:fldChar w:fldCharType="end"/>
            </w:r>
          </w:hyperlink>
        </w:p>
        <w:p w14:paraId="32A856EB" w14:textId="0D4AF4B6" w:rsidR="007A07B0" w:rsidRPr="007A07B0" w:rsidRDefault="007A07B0">
          <w:pPr>
            <w:pStyle w:val="TOC2"/>
            <w:tabs>
              <w:tab w:val="right" w:leader="dot" w:pos="9350"/>
            </w:tabs>
            <w:rPr>
              <w:rFonts w:ascii="Times New Roman" w:eastAsiaTheme="minorEastAsia" w:hAnsi="Times New Roman" w:cs="Times New Roman"/>
              <w:noProof/>
            </w:rPr>
          </w:pPr>
          <w:hyperlink w:anchor="_Toc219038146" w:history="1">
            <w:r w:rsidRPr="007A07B0">
              <w:rPr>
                <w:rStyle w:val="Hyperlink"/>
                <w:rFonts w:ascii="Times New Roman" w:hAnsi="Times New Roman" w:cs="Times New Roman"/>
                <w:noProof/>
              </w:rPr>
              <w:t>Capital Rationing and Optimal Investment Policy</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_Toc219038146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23</w:t>
            </w:r>
            <w:r w:rsidRPr="007A07B0">
              <w:rPr>
                <w:rFonts w:ascii="Times New Roman" w:hAnsi="Times New Roman" w:cs="Times New Roman"/>
                <w:noProof/>
                <w:webHidden/>
              </w:rPr>
              <w:fldChar w:fldCharType="end"/>
            </w:r>
          </w:hyperlink>
        </w:p>
        <w:p w14:paraId="7F1B344F" w14:textId="3B1DD090" w:rsidR="007A07B0" w:rsidRPr="007A07B0" w:rsidRDefault="007A07B0">
          <w:pPr>
            <w:pStyle w:val="TOC2"/>
            <w:tabs>
              <w:tab w:val="right" w:leader="dot" w:pos="9350"/>
            </w:tabs>
            <w:rPr>
              <w:rFonts w:ascii="Times New Roman" w:eastAsiaTheme="minorEastAsia" w:hAnsi="Times New Roman" w:cs="Times New Roman"/>
              <w:noProof/>
            </w:rPr>
          </w:pPr>
          <w:hyperlink w:anchor="_Toc219038147" w:history="1">
            <w:r w:rsidRPr="007A07B0">
              <w:rPr>
                <w:rStyle w:val="Hyperlink"/>
                <w:rFonts w:ascii="Times New Roman" w:hAnsi="Times New Roman" w:cs="Times New Roman"/>
                <w:noProof/>
              </w:rPr>
              <w:t>Financing the Investment Programme</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_Toc219038147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24</w:t>
            </w:r>
            <w:r w:rsidRPr="007A07B0">
              <w:rPr>
                <w:rFonts w:ascii="Times New Roman" w:hAnsi="Times New Roman" w:cs="Times New Roman"/>
                <w:noProof/>
                <w:webHidden/>
              </w:rPr>
              <w:fldChar w:fldCharType="end"/>
            </w:r>
          </w:hyperlink>
        </w:p>
        <w:p w14:paraId="51B2AAB7" w14:textId="2D8B0ABE" w:rsidR="007A07B0" w:rsidRPr="007A07B0" w:rsidRDefault="007A07B0">
          <w:pPr>
            <w:pStyle w:val="TOC1"/>
            <w:tabs>
              <w:tab w:val="right" w:leader="dot" w:pos="9350"/>
            </w:tabs>
            <w:rPr>
              <w:rFonts w:ascii="Times New Roman" w:eastAsiaTheme="minorEastAsia" w:hAnsi="Times New Roman" w:cs="Times New Roman"/>
              <w:noProof/>
            </w:rPr>
          </w:pPr>
          <w:hyperlink w:anchor="_Toc219038148" w:history="1">
            <w:r w:rsidRPr="007A07B0">
              <w:rPr>
                <w:rStyle w:val="Hyperlink"/>
                <w:rFonts w:ascii="Times New Roman" w:hAnsi="Times New Roman" w:cs="Times New Roman"/>
                <w:noProof/>
              </w:rPr>
              <w:t>Conclusion</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_Toc219038148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25</w:t>
            </w:r>
            <w:r w:rsidRPr="007A07B0">
              <w:rPr>
                <w:rFonts w:ascii="Times New Roman" w:hAnsi="Times New Roman" w:cs="Times New Roman"/>
                <w:noProof/>
                <w:webHidden/>
              </w:rPr>
              <w:fldChar w:fldCharType="end"/>
            </w:r>
          </w:hyperlink>
        </w:p>
        <w:p w14:paraId="4E4C1D99" w14:textId="76129730" w:rsidR="007A07B0" w:rsidRPr="007A07B0" w:rsidRDefault="007A07B0">
          <w:pPr>
            <w:pStyle w:val="TOC1"/>
            <w:tabs>
              <w:tab w:val="right" w:leader="dot" w:pos="9350"/>
            </w:tabs>
            <w:rPr>
              <w:rFonts w:ascii="Times New Roman" w:eastAsiaTheme="minorEastAsia" w:hAnsi="Times New Roman" w:cs="Times New Roman"/>
              <w:noProof/>
            </w:rPr>
          </w:pPr>
          <w:hyperlink w:anchor="_Toc219038149" w:history="1">
            <w:r w:rsidRPr="007A07B0">
              <w:rPr>
                <w:rStyle w:val="Hyperlink"/>
                <w:rFonts w:ascii="Times New Roman" w:eastAsia="Times New Roman" w:hAnsi="Times New Roman" w:cs="Times New Roman"/>
                <w:noProof/>
              </w:rPr>
              <w:t>Reference list</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_Toc219038149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26</w:t>
            </w:r>
            <w:r w:rsidRPr="007A07B0">
              <w:rPr>
                <w:rFonts w:ascii="Times New Roman" w:hAnsi="Times New Roman" w:cs="Times New Roman"/>
                <w:noProof/>
                <w:webHidden/>
              </w:rPr>
              <w:fldChar w:fldCharType="end"/>
            </w:r>
          </w:hyperlink>
        </w:p>
        <w:p w14:paraId="59185EBB" w14:textId="04E68328" w:rsidR="007A07B0" w:rsidRPr="007A07B0" w:rsidRDefault="007A07B0">
          <w:pPr>
            <w:pStyle w:val="TOC1"/>
            <w:tabs>
              <w:tab w:val="right" w:leader="dot" w:pos="9350"/>
            </w:tabs>
            <w:rPr>
              <w:rFonts w:ascii="Times New Roman" w:eastAsiaTheme="minorEastAsia" w:hAnsi="Times New Roman" w:cs="Times New Roman"/>
              <w:noProof/>
            </w:rPr>
          </w:pPr>
          <w:hyperlink w:anchor="_Toc219038150" w:history="1">
            <w:r w:rsidRPr="007A07B0">
              <w:rPr>
                <w:rStyle w:val="Hyperlink"/>
                <w:rFonts w:ascii="Times New Roman" w:hAnsi="Times New Roman" w:cs="Times New Roman"/>
                <w:noProof/>
              </w:rPr>
              <w:t>APPENDIX – PART 1</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_Toc219038150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31</w:t>
            </w:r>
            <w:r w:rsidRPr="007A07B0">
              <w:rPr>
                <w:rFonts w:ascii="Times New Roman" w:hAnsi="Times New Roman" w:cs="Times New Roman"/>
                <w:noProof/>
                <w:webHidden/>
              </w:rPr>
              <w:fldChar w:fldCharType="end"/>
            </w:r>
          </w:hyperlink>
        </w:p>
        <w:p w14:paraId="16F71835" w14:textId="7E33A9A9" w:rsidR="007A07B0" w:rsidRPr="007A07B0" w:rsidRDefault="007A07B0">
          <w:pPr>
            <w:pStyle w:val="TOC1"/>
            <w:tabs>
              <w:tab w:val="right" w:leader="dot" w:pos="9350"/>
            </w:tabs>
            <w:rPr>
              <w:rFonts w:ascii="Times New Roman" w:eastAsiaTheme="minorEastAsia" w:hAnsi="Times New Roman" w:cs="Times New Roman"/>
              <w:noProof/>
            </w:rPr>
          </w:pPr>
          <w:hyperlink w:anchor="_Toc219038151" w:history="1">
            <w:r w:rsidRPr="007A07B0">
              <w:rPr>
                <w:rStyle w:val="Hyperlink"/>
                <w:rFonts w:ascii="Times New Roman" w:hAnsi="Times New Roman" w:cs="Times New Roman"/>
                <w:noProof/>
              </w:rPr>
              <w:t>Appendix Part 2</w:t>
            </w:r>
            <w:r w:rsidRPr="007A07B0">
              <w:rPr>
                <w:rFonts w:ascii="Times New Roman" w:hAnsi="Times New Roman" w:cs="Times New Roman"/>
                <w:noProof/>
                <w:webHidden/>
              </w:rPr>
              <w:tab/>
            </w:r>
            <w:r w:rsidRPr="007A07B0">
              <w:rPr>
                <w:rFonts w:ascii="Times New Roman" w:hAnsi="Times New Roman" w:cs="Times New Roman"/>
                <w:noProof/>
                <w:webHidden/>
              </w:rPr>
              <w:fldChar w:fldCharType="begin"/>
            </w:r>
            <w:r w:rsidRPr="007A07B0">
              <w:rPr>
                <w:rFonts w:ascii="Times New Roman" w:hAnsi="Times New Roman" w:cs="Times New Roman"/>
                <w:noProof/>
                <w:webHidden/>
              </w:rPr>
              <w:instrText xml:space="preserve"> PAGEREF _Toc219038151 \h </w:instrText>
            </w:r>
            <w:r w:rsidRPr="007A07B0">
              <w:rPr>
                <w:rFonts w:ascii="Times New Roman" w:hAnsi="Times New Roman" w:cs="Times New Roman"/>
                <w:noProof/>
                <w:webHidden/>
              </w:rPr>
            </w:r>
            <w:r w:rsidRPr="007A07B0">
              <w:rPr>
                <w:rFonts w:ascii="Times New Roman" w:hAnsi="Times New Roman" w:cs="Times New Roman"/>
                <w:noProof/>
                <w:webHidden/>
              </w:rPr>
              <w:fldChar w:fldCharType="separate"/>
            </w:r>
            <w:r w:rsidRPr="007A07B0">
              <w:rPr>
                <w:rFonts w:ascii="Times New Roman" w:hAnsi="Times New Roman" w:cs="Times New Roman"/>
                <w:noProof/>
                <w:webHidden/>
              </w:rPr>
              <w:t>37</w:t>
            </w:r>
            <w:r w:rsidRPr="007A07B0">
              <w:rPr>
                <w:rFonts w:ascii="Times New Roman" w:hAnsi="Times New Roman" w:cs="Times New Roman"/>
                <w:noProof/>
                <w:webHidden/>
              </w:rPr>
              <w:fldChar w:fldCharType="end"/>
            </w:r>
          </w:hyperlink>
        </w:p>
        <w:p w14:paraId="22A1B2BA" w14:textId="20686ECA" w:rsidR="00B8131C" w:rsidRPr="007A07B0" w:rsidRDefault="00B8131C">
          <w:pPr>
            <w:rPr>
              <w:rFonts w:ascii="Times New Roman" w:hAnsi="Times New Roman" w:cs="Times New Roman"/>
            </w:rPr>
          </w:pPr>
          <w:r w:rsidRPr="007A07B0">
            <w:rPr>
              <w:rFonts w:ascii="Times New Roman" w:hAnsi="Times New Roman" w:cs="Times New Roman"/>
              <w:b/>
              <w:bCs/>
              <w:noProof/>
            </w:rPr>
            <w:fldChar w:fldCharType="end"/>
          </w:r>
        </w:p>
      </w:sdtContent>
    </w:sdt>
    <w:p w14:paraId="653D39E5" w14:textId="77777777" w:rsidR="003F64B8" w:rsidRPr="007A07B0" w:rsidRDefault="003F64B8" w:rsidP="00A90A08">
      <w:pPr>
        <w:spacing w:line="360" w:lineRule="auto"/>
        <w:jc w:val="both"/>
        <w:rPr>
          <w:rFonts w:ascii="Times New Roman" w:hAnsi="Times New Roman" w:cs="Times New Roman"/>
          <w:b/>
          <w:bCs/>
        </w:rPr>
      </w:pPr>
    </w:p>
    <w:p w14:paraId="32E1A2C5" w14:textId="77777777" w:rsidR="003F64B8" w:rsidRDefault="003F64B8" w:rsidP="00A90A08">
      <w:pPr>
        <w:spacing w:line="360" w:lineRule="auto"/>
        <w:jc w:val="both"/>
        <w:rPr>
          <w:rFonts w:ascii="Times New Roman" w:hAnsi="Times New Roman" w:cs="Times New Roman"/>
          <w:b/>
          <w:bCs/>
        </w:rPr>
      </w:pPr>
    </w:p>
    <w:p w14:paraId="26663E99" w14:textId="77777777" w:rsidR="003F64B8" w:rsidRDefault="003F64B8" w:rsidP="00A90A08">
      <w:pPr>
        <w:spacing w:line="360" w:lineRule="auto"/>
        <w:jc w:val="both"/>
        <w:rPr>
          <w:rFonts w:ascii="Times New Roman" w:hAnsi="Times New Roman" w:cs="Times New Roman"/>
          <w:b/>
          <w:bCs/>
        </w:rPr>
      </w:pPr>
    </w:p>
    <w:p w14:paraId="26F2E51A" w14:textId="77777777" w:rsidR="003F64B8" w:rsidRDefault="003F64B8" w:rsidP="00A90A08">
      <w:pPr>
        <w:spacing w:line="360" w:lineRule="auto"/>
        <w:jc w:val="both"/>
        <w:rPr>
          <w:rFonts w:ascii="Times New Roman" w:hAnsi="Times New Roman" w:cs="Times New Roman"/>
          <w:b/>
          <w:bCs/>
        </w:rPr>
      </w:pPr>
    </w:p>
    <w:p w14:paraId="2E8A7AFD" w14:textId="77777777" w:rsidR="003F64B8" w:rsidRDefault="003F64B8" w:rsidP="00A90A08">
      <w:pPr>
        <w:spacing w:line="360" w:lineRule="auto"/>
        <w:jc w:val="both"/>
        <w:rPr>
          <w:rFonts w:ascii="Times New Roman" w:hAnsi="Times New Roman" w:cs="Times New Roman"/>
          <w:b/>
          <w:bCs/>
        </w:rPr>
      </w:pPr>
    </w:p>
    <w:p w14:paraId="415EAFFE" w14:textId="77777777" w:rsidR="003F64B8" w:rsidRDefault="003F64B8" w:rsidP="00A90A08">
      <w:pPr>
        <w:spacing w:line="360" w:lineRule="auto"/>
        <w:jc w:val="both"/>
        <w:rPr>
          <w:rFonts w:ascii="Times New Roman" w:hAnsi="Times New Roman" w:cs="Times New Roman"/>
          <w:b/>
          <w:bCs/>
        </w:rPr>
      </w:pPr>
    </w:p>
    <w:p w14:paraId="262BE11F" w14:textId="229AF011" w:rsidR="00A90A08" w:rsidRPr="00A90A08" w:rsidRDefault="00A90A08" w:rsidP="003F64B8">
      <w:pPr>
        <w:pStyle w:val="Heading1"/>
      </w:pPr>
      <w:bookmarkStart w:id="0" w:name="_Toc219038104"/>
      <w:r w:rsidRPr="00A90A08">
        <w:lastRenderedPageBreak/>
        <w:t>Introduction</w:t>
      </w:r>
      <w:bookmarkEnd w:id="0"/>
    </w:p>
    <w:p w14:paraId="283BF187"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There are two parts in this report. Part 1 of this report discusses the financial performance and financial position of Tesco PLC through ratio analysis of the most recent annual reports of the company (Alexander and Britton, 2017; Palepu and Healy, 2020). Ratio analysis provides an evaluation of the trends in the profitability, efficiency, liquidity, solvency, and returns of the investors of the business, reflecting its operational efficacy and financial robustness (Palmer, 2018; Bragg, 2018). In spite of the low margins and high competition in the grocery retail industry, emphasis here is placed upon the management of the operating expenses of the company, working capital management, and capital structure (Campbell, 2021; Surridge, 2022).</w:t>
      </w:r>
    </w:p>
    <w:p w14:paraId="0467C0F4" w14:textId="5669A93D"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Part 2 of the report describes the process of capital investment decision-making for Westward Plc. The company is analyzing three different expansion schemes over a period of four years. The discounted cash flow analysis method employing the criteria of NPV, along with the calculations of IRR and Profitability Index, has been used for the evaluation (CFI, 2022; Spring, 2018). The influence of tax, capital allowance charges, and the cost of capital of 6% has been taken into consideration in order to create a practical basis for the evaluation process (Atrill and Mclaney, 2018; Oakshott, 2020). The purpose of the process is to identify whether the plans should be implemented or, in case of limited capital resources, identify the proper approach for investment (Almeida and Campello, 2005; Madura, 2018).</w:t>
      </w:r>
    </w:p>
    <w:p w14:paraId="1B61FA61" w14:textId="77777777" w:rsidR="003F64B8" w:rsidRPr="003F64B8" w:rsidRDefault="003F64B8" w:rsidP="003F64B8">
      <w:pPr>
        <w:pStyle w:val="Heading1"/>
      </w:pPr>
      <w:bookmarkStart w:id="1" w:name="_Toc219038105"/>
      <w:r w:rsidRPr="003F64B8">
        <w:t>Part 1</w:t>
      </w:r>
      <w:bookmarkEnd w:id="1"/>
    </w:p>
    <w:p w14:paraId="18CF1563" w14:textId="77777777" w:rsidR="003F64B8" w:rsidRPr="003F64B8" w:rsidRDefault="003F64B8" w:rsidP="003F64B8">
      <w:pPr>
        <w:pStyle w:val="Heading2"/>
      </w:pPr>
      <w:bookmarkStart w:id="2" w:name="_Toc219038106"/>
      <w:r w:rsidRPr="003F64B8">
        <w:t>Profitability Analysis</w:t>
      </w:r>
      <w:bookmarkEnd w:id="2"/>
    </w:p>
    <w:p w14:paraId="124805D4" w14:textId="46A2C5AC"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Profitability ratios give an idea of the ability of Tesco to convert its revenue into profits and its ability to manage its cost base (Atrill and Mclaney, 2019; Bragg, 2018). Profitability is highly relevant to the food retailers sector; even a marginal difference in the level of profitability can make a substantial difference in the financial performance metrics due to the nature and volume of the business (Best, 2013; Palepu and Healy, 2020).</w:t>
      </w:r>
    </w:p>
    <w:p w14:paraId="70145F38" w14:textId="77777777" w:rsidR="003F64B8" w:rsidRPr="003F64B8" w:rsidRDefault="003F64B8" w:rsidP="00A1523C">
      <w:pPr>
        <w:pStyle w:val="Heading3"/>
      </w:pPr>
      <w:bookmarkStart w:id="3" w:name="_Toc219038107"/>
      <w:r w:rsidRPr="003F64B8">
        <w:t>Revenue Performance</w:t>
      </w:r>
      <w:bookmarkEnd w:id="3"/>
    </w:p>
    <w:p w14:paraId="5895D2F1"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 xml:space="preserve">In the financial year ending February 2024, Tesco’s total revenue amounted to £57.7 billion. However, in the next financial year, which ended February 2025, this amount rose to around £61.5 </w:t>
      </w:r>
      <w:r w:rsidRPr="003F64B8">
        <w:rPr>
          <w:rFonts w:ascii="Times New Roman" w:hAnsi="Times New Roman" w:cs="Times New Roman"/>
        </w:rPr>
        <w:lastRenderedPageBreak/>
        <w:t>billion, reflecting a sharp increase from the previous year’s figures (Thomas, 2022; Palepu and Healy, 2020). This shows that Tesco has been able to sustain and even enhance its market base in spite of a tough economic setting (Johannesson, 2021; Neneh, 2020).</w:t>
      </w:r>
    </w:p>
    <w:p w14:paraId="06CA3B1A"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rise in revenue can be attributed to a number of factors, such as adjustments for prices, high demand for grocery items, as well as its strong footprint (Surridge, 2022; Jones, 2014). In the context of inflation, a part of this revenue growth can be attributed to prices, as opposed to growth in volumes (Campbell, 2021; Oakshott, 2020). But for a period with high cost-of-living pressuring customers, maintaining revenue growth indicates that Tesco performs well (Best, 2013; Johannesson, 2021).</w:t>
      </w:r>
    </w:p>
    <w:p w14:paraId="0B69F994" w14:textId="071B49C4"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Revenue growth signifies scale and market coverage, which does not convey the same level of performance improvement (Palepu and Healy, 2020). A more significant indicator of profit generation can be found in the use of Gross Profit and Gross Profit Margin (Bloomenthal, 2025; Bragg, 2018).</w:t>
      </w:r>
    </w:p>
    <w:p w14:paraId="7B985184" w14:textId="77777777" w:rsidR="003F64B8" w:rsidRPr="00A1523C" w:rsidRDefault="003F64B8" w:rsidP="00A1523C">
      <w:pPr>
        <w:pStyle w:val="Heading3"/>
      </w:pPr>
      <w:bookmarkStart w:id="4" w:name="_Toc219038108"/>
      <w:r w:rsidRPr="00A1523C">
        <w:t>Gross Profit and Gross Profit Margin</w:t>
      </w:r>
      <w:bookmarkEnd w:id="4"/>
    </w:p>
    <w:p w14:paraId="1D7C4258"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Tesco's gross profit rose from £4.6 billion in 2024 to £5.1 billion in the year 2025, showing that after the direct cost of the merchandise, the company retains more absolute profit (Atrill and Mclaney, 2018; Palmer, 2018). This shows an improvement in the ability of Tesco to manage the cost pressures during the period (Adler, 2010; Chorafas, 2015).</w:t>
      </w:r>
    </w:p>
    <w:p w14:paraId="4309FA84"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In percentage terms, this is the improvement of Tesco's gross profit margin from approximately 8.0% in 2024 to 8.3% in 2025 (Bloomenthal, 2025). Though looking quite modest, this growth is material in the context of grocery retail-a sector where the margin is structurally low due to intense price competition (Best, 2013; Campbell, 2021).</w:t>
      </w:r>
    </w:p>
    <w:p w14:paraId="70DC7DE8"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expanded gross margin suggests improved efficiency in sourcing, price setting, and product mix (Chopra, 2021; Flynn, 2021). It is likely that Tesco's strong focus on own-label products, which for the most part yield higher margins than branded merchandise, combined with solid negotiating power with suppliers, were conducive to this result (Gligor, 2020; Chorafas, 2015). Another possible factor contributing to this effect is that improvement in supply chain efficiency and improvements in inventory management may have compensated somewhat for the pressures from increasing input prices, such as energy and transportation (Chopra, 2021; Orobia et al., 2020).</w:t>
      </w:r>
    </w:p>
    <w:p w14:paraId="36FF2D93" w14:textId="255D83FF"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lastRenderedPageBreak/>
        <w:t>However, Tesco’s gross margins are also under the threat of competition from discounters like Aldi and Lidl. Therefore, even as Tesco’s improvement in the gross margin is welcomed, this information points out that the industry faces a problem in terms of profitability (Neneh, 2020; Campbell, 2021).</w:t>
      </w:r>
    </w:p>
    <w:p w14:paraId="768441CE" w14:textId="77777777" w:rsidR="003F64B8" w:rsidRPr="003F64B8" w:rsidRDefault="003F64B8" w:rsidP="00A1523C">
      <w:pPr>
        <w:pStyle w:val="Heading3"/>
      </w:pPr>
      <w:bookmarkStart w:id="5" w:name="_Toc219038109"/>
      <w:r w:rsidRPr="003F64B8">
        <w:t>Interpretation of Gross Profit Performance</w:t>
      </w:r>
      <w:bookmarkEnd w:id="5"/>
    </w:p>
    <w:p w14:paraId="2EAFD496" w14:textId="60F5B81E"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rise in both gross profit and gross profit margin implies that Tesco was able to effectively safeguard and improve its gross profit margin in a tough economic environment (Adler, 2010; Best, 2013). However, gross profit does not include operating costs; in fact, operating costs are quite high for an organization that is of Tesco’s magnitude. It is thus imperative to note that for an accurate understanding of the profit-making abilities of Tesco, an evaluation of the operating profit needs to be done (Hayes, 2025; Palmer, 2018).</w:t>
      </w:r>
    </w:p>
    <w:p w14:paraId="2A7B532A" w14:textId="77777777" w:rsidR="003F64B8" w:rsidRPr="003F64B8" w:rsidRDefault="003F64B8" w:rsidP="00A1523C">
      <w:pPr>
        <w:pStyle w:val="Heading2"/>
      </w:pPr>
      <w:bookmarkStart w:id="6" w:name="_Toc219038110"/>
      <w:r w:rsidRPr="003F64B8">
        <w:t>Operating and Net Profitability</w:t>
      </w:r>
      <w:bookmarkEnd w:id="6"/>
    </w:p>
    <w:p w14:paraId="58322F79" w14:textId="77777777" w:rsidR="003F64B8" w:rsidRPr="003F64B8" w:rsidRDefault="003F64B8" w:rsidP="00A1523C">
      <w:pPr>
        <w:pStyle w:val="Heading3"/>
      </w:pPr>
      <w:bookmarkStart w:id="7" w:name="_Toc219038111"/>
      <w:r w:rsidRPr="003F64B8">
        <w:t>Operating Profitability</w:t>
      </w:r>
      <w:bookmarkEnd w:id="7"/>
    </w:p>
    <w:p w14:paraId="18541E29"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operating profit margin is a better barometer for Tesco's profitability than gross margin because it takes into consideration all the operating expenses, including cost of staff, distribution, energy, marketing, and administrative overheads (Hayes, 2025; Hartley, Firer and Ford, 2006). A grocery retailer must have greater control over operating expenditure due to the high fixed-cost nature of store operations and logistics (Chopra, 2021; Campbell, 2021).</w:t>
      </w:r>
    </w:p>
    <w:p w14:paraId="6E15BF44"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Tesco announced an operating profit of around £2.8 billion for the financial year to February 2024, which increased to around £3.0 billion in February 2025. The improvement suggests that Tesco enhanced operational performance through the period, despite the remaining inflationary pressures on wages, utilities, and supply chain costs (Campbell, 2021; Aydiner et al., 2019).</w:t>
      </w:r>
    </w:p>
    <w:p w14:paraId="535792A1"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In margin terms, this corresponds to Tesco's operating profit margin increasing from about 4.8% in 2024 to 4.9% in 2025 (Hayes, 2025; Bragg, 2018). Although this rate of increase is small, it is meaningful given the grocery retail sector generally exhibits thin operating margins (Best, 2013; Surridge, 2022). Accordingly, the improvement would tend to indicate that Tesco grew its revenue at a better-than-operating cost increase, reflecting good cost management and operational efficiency (Adler, 2010; Aydiner et al., 2019).</w:t>
      </w:r>
    </w:p>
    <w:p w14:paraId="61A11F4D"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lastRenderedPageBreak/>
        <w:t>A number of reasons may be attributed to this positive trend. Tesco has continued to refine its store space, resulting in more automated infrastructures and streamlined administrative costs (Aydiner et al., 2019). Tesco has also been benefiting from its large size, which helps the firm to cover fixed costs with its large base generated from revenues (Best, 2013; Palepu and Healy, 2020).</w:t>
      </w:r>
    </w:p>
    <w:p w14:paraId="4F23DF77" w14:textId="14335C7E"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Nevertheless, the absolute sensitivity of operating margin to changes in revenue is a concern, which is reflected in Tesco's vulnerability to outside influences. A marginal rise in operating expenses or pricing competition could easily reduce the company's operating margin, further emphasizing the need for continuous operating efficiency enhancements (Johannesson, 2021; Chorafas, 2015).</w:t>
      </w:r>
    </w:p>
    <w:p w14:paraId="2E40BA50" w14:textId="77777777" w:rsidR="003F64B8" w:rsidRPr="003F64B8" w:rsidRDefault="003F64B8" w:rsidP="00A1523C">
      <w:pPr>
        <w:pStyle w:val="Heading3"/>
      </w:pPr>
      <w:bookmarkStart w:id="8" w:name="_Toc219038112"/>
      <w:r w:rsidRPr="003F64B8">
        <w:t>Net Profitability</w:t>
      </w:r>
      <w:bookmarkEnd w:id="8"/>
    </w:p>
    <w:p w14:paraId="04385FFD"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This is the net profit margin that indicates the portion of the revenue generated by a business that is left after being treated for the expenses incurred during its operations (Palasciano, 2025; Atrill and Mclaney, 2019). This financial indicator is essentially for the benefit of the stockowners in an organization (Lichtenstein and Dade, 2007; H. Kent Baker and Ricciardi, 2014).</w:t>
      </w:r>
    </w:p>
    <w:p w14:paraId="01C726FC"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There has been an improvement in Tesco’s profit after taxation, which grew from around £2.0 billion in the year ending 2024 to about £2.3 billion in the year ending 2025 (Thomas, 2022; Palepu and Healy, 2020). As such, it is safe to note that the improvements in the operating profit were not undermined by the expenses related to financing and taxation (Allen, 2021; Connolly, 2007).</w:t>
      </w:r>
    </w:p>
    <w:p w14:paraId="502F3C41"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In percentage terms, the net profit margin of Tesco improved from approximately 3.5% in 2024 to 3.7% in 2025 (Palasciano, 2025). An increase in net margin can be perceived as due to enhanced operational efficiency and stable financing costs despite the rising interest rate environment (Allen, 2021; Connolly, 2007).</w:t>
      </w:r>
    </w:p>
    <w:p w14:paraId="6832DE61" w14:textId="1C3BBD14"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This increase in net profitability also reflects a more stable earnings stream compared to past years, when the P&amp;L was impacted by restructuring expenses and other items (Elliott and Elliott, 2017). The strong cash flows have allowed the company to effectively handle its financing-related tasks, which has been a key factor in the realization of operating profits into the bottom line (Clayman, Fridson and Troughton, 2012; Allen, 2021).</w:t>
      </w:r>
    </w:p>
    <w:p w14:paraId="028A154B" w14:textId="77777777" w:rsidR="003F64B8" w:rsidRPr="003F64B8" w:rsidRDefault="003F64B8" w:rsidP="00A1523C">
      <w:pPr>
        <w:pStyle w:val="Heading3"/>
      </w:pPr>
      <w:bookmarkStart w:id="9" w:name="_Toc219038113"/>
      <w:r w:rsidRPr="003F64B8">
        <w:lastRenderedPageBreak/>
        <w:t>Interpretation of Operating and Net Profit Performance</w:t>
      </w:r>
      <w:bookmarkEnd w:id="9"/>
    </w:p>
    <w:p w14:paraId="065FA0DC"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parallel increase in operating and net profit margins indicates a smooth operating environment and effective functioning at Tesco (Adler, 2010; Campbell, 2021). The co-routing increase in operating and net profit margins indicates an effective functioning environment at Tesco, with an absence of adverse finance costs associated with the enhanced profitability (Allen, 2021; Connolly, 2007).</w:t>
      </w:r>
    </w:p>
    <w:p w14:paraId="3F0A3109" w14:textId="087E673D"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On the whole, it is clear from these results that Tesco is handling cost constraints very efficiently while, at the same time, ensuring that their revenues are growing (Best, 2013; Aydiner et al., 2019). However, given the low margins prevalent in this sector, it is imperative to continue staying alert in order to safeguard their margins amidst challenges posed by competition and the economy (Surridge, 2022; Johannesson, 2021).</w:t>
      </w:r>
    </w:p>
    <w:p w14:paraId="05080180" w14:textId="77777777" w:rsidR="003F64B8" w:rsidRPr="003F64B8" w:rsidRDefault="003F64B8" w:rsidP="00A1523C">
      <w:pPr>
        <w:pStyle w:val="Heading2"/>
      </w:pPr>
      <w:bookmarkStart w:id="10" w:name="_Toc219038114"/>
      <w:r w:rsidRPr="003F64B8">
        <w:t>Return on Capital Employed (ROCE) and Return on Equity (ROE)</w:t>
      </w:r>
      <w:bookmarkEnd w:id="10"/>
    </w:p>
    <w:p w14:paraId="1F2E316B" w14:textId="77777777" w:rsidR="003F64B8" w:rsidRPr="003F64B8" w:rsidRDefault="003F64B8" w:rsidP="00A1523C">
      <w:pPr>
        <w:pStyle w:val="Heading3"/>
      </w:pPr>
      <w:bookmarkStart w:id="11" w:name="_Toc219038115"/>
      <w:r w:rsidRPr="003F64B8">
        <w:t>Return Measures</w:t>
      </w:r>
      <w:bookmarkEnd w:id="11"/>
    </w:p>
    <w:p w14:paraId="4A2A85E6"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Profitability margins, on the other hand, evaluate business performance compared with its revenues, whereas return ratios focus on how efficiently Tesco levers the capital that is employed within its operations (Palmer, 2018; Clayman, Fridson and Troughton, 2012). It is essential for the long-term investor or lender, as it helps assess if the business earns adequate returns on the resources it utilizes (Palepu and Healy, 2020; H. Kent Baker and Ricciardi, 2014).</w:t>
      </w:r>
    </w:p>
    <w:p w14:paraId="5E6111C8" w14:textId="138FA341"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two important return ratio analyses done in the above section are Return on Capital Employed and Return on Equity. A combination of these ratio analyses offers valuable information (Bragg, 2018; Maverick, 2022).</w:t>
      </w:r>
    </w:p>
    <w:p w14:paraId="4CF40903" w14:textId="77777777" w:rsidR="003F64B8" w:rsidRPr="003F64B8" w:rsidRDefault="003F64B8" w:rsidP="00A1523C">
      <w:pPr>
        <w:pStyle w:val="Heading3"/>
      </w:pPr>
      <w:bookmarkStart w:id="12" w:name="_Toc219038116"/>
      <w:r w:rsidRPr="003F64B8">
        <w:t>Return on Capital Employed (ROCE)</w:t>
      </w:r>
      <w:bookmarkEnd w:id="12"/>
    </w:p>
    <w:p w14:paraId="490A8C62"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ROCE helps identify the efficiency level of Tesco in creating operating profits from its long-term capital base (Palmer, 2018; Bragg, 2018). In the case of a highly capitalized retailer like Tesco, which has heavily invested in its store property, distribution centers, technology, and logistics infrastructure, the use of ROCE can be extremely important (Kimmel, Weygandt and Kieso, 2016; Campbell, 2021).</w:t>
      </w:r>
    </w:p>
    <w:p w14:paraId="34B872B4"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 xml:space="preserve">In 2024, Tesco had a ROCE of roughly 12.8%. However, the figure soared to around 13.2% in 2025, reflecting an improvement in the returned value for the capital that is being used (Palepu </w:t>
      </w:r>
      <w:r w:rsidRPr="003F64B8">
        <w:rPr>
          <w:rFonts w:ascii="Times New Roman" w:hAnsi="Times New Roman" w:cs="Times New Roman"/>
        </w:rPr>
        <w:lastRenderedPageBreak/>
        <w:t>and Healy, 2020). The rising figure indicates an increased ability to improve the profitability within the business without necessarily requiring an upgraded investment in the capital base (Adler, 2010; Palepu and Healy, 2020).</w:t>
      </w:r>
    </w:p>
    <w:p w14:paraId="23153AD6"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This boost in ROCE is a sign of enhanced operating capability and resource optimization (Aydiner et al., 2019). It seems investments in automation, supply chain enhancement, and digitalization have started contributing positively to the company's operating and profitability margins (Flynn, 2021; Gligor, 2020). More significantly, the boost in ROCE also suggests the enhanced asset base of Tesco has not eaten into its operational efficiency because, otherwise, with high capital expenditure and lower profit generation, the ROCE would have reduced (Palepu and Healy, 2020; Bragg, 2018).</w:t>
      </w:r>
    </w:p>
    <w:p w14:paraId="1CEDF2B3" w14:textId="51AD3AEB"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It must be noted, however, that care must be exercised in the interpretation of the ROCE. The capital structure of Tesco is affected by its lease liabilities, which are recognized under the applicable IFRS reporting treatment (Van Greuning, 2006; Alexander and Britton, 2017). The result is an increase in both liabilities and assets (Alexander and Britton, 2017). Although not affecting the robustness of the ratio itself, the importance of comparing the ratio within an entity in other periods cannot be overstated (Palmer, 2018; Bragg, 2018).</w:t>
      </w:r>
    </w:p>
    <w:p w14:paraId="6F847F43" w14:textId="77777777" w:rsidR="003F64B8" w:rsidRPr="003F64B8" w:rsidRDefault="003F64B8" w:rsidP="00A1523C">
      <w:pPr>
        <w:pStyle w:val="Heading3"/>
      </w:pPr>
      <w:bookmarkStart w:id="13" w:name="_Toc219038117"/>
      <w:r w:rsidRPr="003F64B8">
        <w:t>Return on Equity (ROE)</w:t>
      </w:r>
      <w:bookmarkEnd w:id="13"/>
    </w:p>
    <w:p w14:paraId="4913288F"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Return on Equity measures the profitability created for common stockholders and the ability of Tesco to generate profits using stockholders' equity (Fernando, 2025; Palepu and Healy, 2020). ROE is an important metric in measuring the equity value created and stockholders' interest in Tesco (H. Kent Baker and Ricciardi, 2014; Lichtenstein and Dade, 2007).</w:t>
      </w:r>
    </w:p>
    <w:p w14:paraId="7F07D7E1"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ROE in 2024: Tesco had a ROE of about 19.1% in 2024. This rose to a level of about 19.6% in 2025, showing improvement in this ratio and hence better returns to its stockowners (Fernando, 2025). A ROE of 20%+ is quite desirable for a retail store like Tesco (Best, 2013; Fernando, 2025).</w:t>
      </w:r>
    </w:p>
    <w:p w14:paraId="6AF1BC16"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This rise in the ROE can be attributed to the rise in the profitability of the business to its shareholders as well as the relatively stable equity position (Palepu and Healy, 2020). Tesco has managed its capital well, along with the growth in earnings, to achieve the rise in the ROE (Adler, 2010; de Jongh, 2011). Furthermore, the use of funds from debt has had a positive impact on the shareholders without proving to be risky for the firm (Kotey, 2019; M Djoko Hanantijo, 2023).</w:t>
      </w:r>
    </w:p>
    <w:p w14:paraId="0B5FB044" w14:textId="633A94F8"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lastRenderedPageBreak/>
        <w:t>However, ROE may also be affected by capital structure changes, like share buybacks or even fluctuations in retained earnings (de Jongh, 2011). Therefore, ROE needs to be evaluated in conjunction with gearing and solvency ratios in order to ensure that the increase in return to shareholders is not a consequence of unwarranted leveraging (Kenton, 2024; Clayman, Fridson and Troughton, 2012).</w:t>
      </w:r>
    </w:p>
    <w:p w14:paraId="70F9C81D" w14:textId="77777777" w:rsidR="003F64B8" w:rsidRPr="003F64B8" w:rsidRDefault="003F64B8" w:rsidP="00A1523C">
      <w:pPr>
        <w:pStyle w:val="Heading3"/>
      </w:pPr>
      <w:bookmarkStart w:id="14" w:name="_Toc219038118"/>
      <w:r w:rsidRPr="003F64B8">
        <w:t>Interpretation of Return Performance</w:t>
      </w:r>
      <w:bookmarkEnd w:id="14"/>
    </w:p>
    <w:p w14:paraId="397EEF34"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concomitant increase in both ROCE and ROE illustrates that Tesco has succeeded in making its efficiency in both total capital and shareholders’ funds more effective during this period (Palmer, 2018; Maverick, 2022). It clearly states that Tesco was creating values on both operational as well as financial fronts (Lichtenstein and Dade, 2007; H. Kent Baker and Ricciardi, 2014).</w:t>
      </w:r>
    </w:p>
    <w:p w14:paraId="2FC0BFBA" w14:textId="4B9E7DDB"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All in all, return ratios show that Tesco has succeeded in allocating capital resources, which has a positive effect on sustainable returns despite competition in a low-margin industry (Best, 2013; Campbell, 2021). The main challenge will be ensuring that these returns continue to be strengthened through cost control and capital resource allocation (Campbell, 2021; Palepu and Healy, 2020).</w:t>
      </w:r>
    </w:p>
    <w:p w14:paraId="108801BD" w14:textId="77777777" w:rsidR="003F64B8" w:rsidRPr="003F64B8" w:rsidRDefault="003F64B8" w:rsidP="00A1523C">
      <w:pPr>
        <w:pStyle w:val="Heading2"/>
      </w:pPr>
      <w:bookmarkStart w:id="15" w:name="_Toc219038119"/>
      <w:r w:rsidRPr="003F64B8">
        <w:t>Liquidity Analysis</w:t>
      </w:r>
      <w:bookmarkEnd w:id="15"/>
    </w:p>
    <w:p w14:paraId="4CB767DB" w14:textId="77777777" w:rsidR="003F64B8" w:rsidRPr="003F64B8" w:rsidRDefault="003F64B8" w:rsidP="00A1523C">
      <w:pPr>
        <w:pStyle w:val="Heading3"/>
      </w:pPr>
      <w:bookmarkStart w:id="16" w:name="_Toc219038120"/>
      <w:r w:rsidRPr="003F64B8">
        <w:t>Liquidity Position</w:t>
      </w:r>
      <w:bookmarkEnd w:id="16"/>
    </w:p>
    <w:p w14:paraId="3F734977" w14:textId="14938C6A"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Liquidity ratios evaluate a firm's capacity to cover its short-term expenses as they fall due (CFI, 2020; Atrill and Mclaney, 2018). When considering a retail-based organization like Tesco, liquidity ratios have to be viewed from a wider angle because, in this business, cash flows continue to enter the organization on a regular basis, apart from credit taken from suppliers (Chopra, 2021; Wright and Slaybaugh, 2020). Therefore, some retailers have liquidity ratios that differ from conventional ones, although they may not be liquidity-problematic (Sanzo, 2005; Bragg, 2018). The two most important ratios that have been examined in the analysis are the current ratio and the quick ratio (CFI, 2020; Palmer, 2018).</w:t>
      </w:r>
    </w:p>
    <w:p w14:paraId="44D6400F" w14:textId="77777777" w:rsidR="003F64B8" w:rsidRPr="003F64B8" w:rsidRDefault="003F64B8" w:rsidP="003A57B5">
      <w:pPr>
        <w:pStyle w:val="Heading3"/>
      </w:pPr>
      <w:bookmarkStart w:id="17" w:name="_Toc219038121"/>
      <w:r w:rsidRPr="003F64B8">
        <w:t>Current Ratio</w:t>
      </w:r>
      <w:bookmarkEnd w:id="17"/>
    </w:p>
    <w:p w14:paraId="6A645384"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Current ratio for Tesco stood at around 0.60 in 2024, moving slightly upwards to about 0.62 in 2025. This tells that the short-term liquidity position of Tesco showed marginal improvement during the period under discussion (CFI, 2020).</w:t>
      </w:r>
    </w:p>
    <w:p w14:paraId="25E4E784"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lastRenderedPageBreak/>
        <w:t>A current ratio of less than 1 implies that current liabilities are greater than current assets (Atrill and Mclaney, 2018). However, in the case of Tesco, this indicates a deliberate working capital policy rather than any liquidity issue (Sanzo, 2005; Bragg, 2018). The group has very substantial cash inflows each day from largely cash-based sales and can, therefore, operate with very low levels of current assets (Wright and Slaybaugh, 2020; Chopra, 2021). Holding unnecessary cash or other liquid assets would diminish capital efficiency and depress return ratios (Palepu and Healy, 2020; Allen, 2021).</w:t>
      </w:r>
    </w:p>
    <w:p w14:paraId="61EEAA6E" w14:textId="5D53FF16"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slight improvement in the current ratio implies a moderate strengthening of short-term financial resilience (CFI, 2020). This perhaps reflects better cash balances or more conservative working capital management in view of the economic uncertainty (Oakshott, 2020; Campbell, 2021). However, Tesco still operates with relatively constrained liquidity, underpinning predictable cash flows and good relations with suppliers (Chopra, 2021; Gligor, 2020).</w:t>
      </w:r>
    </w:p>
    <w:p w14:paraId="1C0D32B4" w14:textId="77777777" w:rsidR="003F64B8" w:rsidRPr="003F64B8" w:rsidRDefault="003F64B8" w:rsidP="003A57B5">
      <w:pPr>
        <w:pStyle w:val="Heading3"/>
      </w:pPr>
      <w:bookmarkStart w:id="18" w:name="_Toc219038122"/>
      <w:r w:rsidRPr="003F64B8">
        <w:t>Quick Ratio</w:t>
      </w:r>
      <w:bookmarkEnd w:id="18"/>
    </w:p>
    <w:p w14:paraId="415ED6B7"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quick or acid ratio, taking current assets but excluding inventory, is a more conservative measure of liquidity immediately available (CFI, 2020; Atrill and Mclaney, 2018). Tesco's quick ratio rose from approximately 0.49 in 2024 to 0.51 in 2025 and hence a slight increase in the capacity of the firm in meeting its short-term obligations without selling any of its inventories (Sanzo, 2005; Bragg, 2018).</w:t>
      </w:r>
    </w:p>
    <w:p w14:paraId="6E601494"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Despite this increase, the quick ratio is still well below 1, which might conventionally be taken as indicating low liquidity (CFI, 2020). For a food retailer, however, this interpretation has to be used very carefully. Tesco’s inventory turnover is very fast, and food items are generally sold out in a very short period of time (Relph, 2015; Wright and Slaybaugh, 2020). This means, in practice, inventory is often highly liquid, even if it is not included in the quick ratio (Chopra, 2021; Gligor, 2020).</w:t>
      </w:r>
    </w:p>
    <w:p w14:paraId="2F463D9B" w14:textId="25DAEC52"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low quick ratio accordingly reflects Tesco's dependence on efficient inventory turnover and cash generation rather than an inability to meet short-term liabilities (Atrill and Mclaney, 2018; Bragg, 2018). However, it also illustrates how Tesco is exposed to possible disruptions in the short term, such as supply chain problems or sudden changes in consumer demand (Flynn, 2021; Gligor, 2020).</w:t>
      </w:r>
    </w:p>
    <w:p w14:paraId="34B63D26" w14:textId="77777777" w:rsidR="003F64B8" w:rsidRPr="003F64B8" w:rsidRDefault="003F64B8" w:rsidP="003A57B5">
      <w:pPr>
        <w:pStyle w:val="Heading3"/>
      </w:pPr>
      <w:bookmarkStart w:id="19" w:name="_Toc219038123"/>
      <w:r w:rsidRPr="003F64B8">
        <w:lastRenderedPageBreak/>
        <w:t>Interpretation of Liquidity Performance</w:t>
      </w:r>
      <w:bookmarkEnd w:id="19"/>
    </w:p>
    <w:p w14:paraId="4E54AC7A"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In conclusion, Tesco’s liquidity situation would be described as tight and well-managed (CFI, 2020; Sanzo, 2005). The slight improvement in its current and quick ratio indicates improved short-term stability, although it continues to depend largely on its operation and suppliers for funding (Chopra, 2021; Wright and Slaybaugh, 2020).</w:t>
      </w:r>
    </w:p>
    <w:p w14:paraId="6BD41D57" w14:textId="5977B7D9"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This approach improves the efficiency of capital use and enables the support of higher return ratios (Palepu and Healy, 2020; Bragg, 2018), but it has the associated drawback of making it more vulnerable to shocks (Flynn, 2021; Oakshott, 2020). Therefore, it is still important for Tesco to have efficient management of cash flows and relations with suppliers (Chopra, 2021; Chorafas, 2015).</w:t>
      </w:r>
    </w:p>
    <w:p w14:paraId="437684B9" w14:textId="77777777" w:rsidR="003F64B8" w:rsidRPr="003F64B8" w:rsidRDefault="003F64B8" w:rsidP="003A57B5">
      <w:pPr>
        <w:pStyle w:val="Heading2"/>
      </w:pPr>
      <w:bookmarkStart w:id="20" w:name="_Toc219038124"/>
      <w:r w:rsidRPr="003F64B8">
        <w:t>Efficiency Analysis</w:t>
      </w:r>
      <w:bookmarkEnd w:id="20"/>
    </w:p>
    <w:p w14:paraId="34CE7943" w14:textId="77777777" w:rsidR="003F64B8" w:rsidRPr="003F64B8" w:rsidRDefault="003F64B8" w:rsidP="003A57B5">
      <w:pPr>
        <w:pStyle w:val="Heading3"/>
      </w:pPr>
      <w:bookmarkStart w:id="21" w:name="_Toc219038125"/>
      <w:r w:rsidRPr="003F64B8">
        <w:t>Working Capital Efficiency</w:t>
      </w:r>
      <w:bookmarkEnd w:id="21"/>
    </w:p>
    <w:p w14:paraId="0108556B" w14:textId="64BF0912"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efficiency ratios measure the working capital management capabilities of Tesco with respect to its inventory, receivables, and payables (Bragg, 2018; Palmer, 2018). As Tesco is an operation in the food retail sector, which is characterized by low margins and high volumes, it is vital for Tesco to manage its working capital effectively (Orobia et al., 2020; Chopra, 2021). Even slight inefficiencies in working capital management can affect Tesco heavily (Sanzo, 2005; Chorafas, 2015). The efficiency of Tesco's business operations is measured through inventory days, receivables days, and payables days (Palmer, 2018; Bragg, 2018).</w:t>
      </w:r>
    </w:p>
    <w:p w14:paraId="37C1999A" w14:textId="77777777" w:rsidR="003F64B8" w:rsidRPr="003F64B8" w:rsidRDefault="003F64B8" w:rsidP="003A57B5">
      <w:pPr>
        <w:pStyle w:val="Heading3"/>
      </w:pPr>
      <w:bookmarkStart w:id="22" w:name="_Toc219038126"/>
      <w:r w:rsidRPr="003F64B8">
        <w:t>Inventory Days</w:t>
      </w:r>
      <w:bookmarkEnd w:id="22"/>
    </w:p>
    <w:p w14:paraId="192E7779" w14:textId="16E2E618"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Tesco's Inventory Days stood at around 22.3 days in 2024, slightly rising to around 22.6 days in 2025. This means that Tesco took slightly longer to sell off its inventory in the latter year compared to the previous one (Relph, 2015).</w:t>
      </w:r>
    </w:p>
    <w:p w14:paraId="26AA29AF"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nominal rise in inventory days does not signal any deterioration in the management of inventory. Rather, it can be attributed to the company's inventory strategy of maintaining a buffer stock of inventory to reduce the risks of supply chain disruptions, especially in a setting marked with uncertainties of the logistical nature and inflation (Flynn, 2021; Chopra, 2021).</w:t>
      </w:r>
    </w:p>
    <w:p w14:paraId="57FFCC2E" w14:textId="2F23BD46"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 xml:space="preserve">In the context of the groceries industry, Tesco is forced to have low inventory days, considering the rapid inventory turnover that the business faces. On the other hand, prolonged inventory days </w:t>
      </w:r>
      <w:r w:rsidRPr="003F64B8">
        <w:rPr>
          <w:rFonts w:ascii="Times New Roman" w:hAnsi="Times New Roman" w:cs="Times New Roman"/>
        </w:rPr>
        <w:lastRenderedPageBreak/>
        <w:t>could be costly through increased costs of storing the goods as they become close to being expired. In this regard, Tesco must continue to control its inventory closely (Wright and Slaybaugh, 2020; Orobia et al., 2020).</w:t>
      </w:r>
    </w:p>
    <w:p w14:paraId="0B48DA1B" w14:textId="77777777" w:rsidR="003F64B8" w:rsidRPr="003F64B8" w:rsidRDefault="003F64B8" w:rsidP="003A57B5">
      <w:pPr>
        <w:pStyle w:val="Heading3"/>
      </w:pPr>
      <w:bookmarkStart w:id="23" w:name="_Toc219038127"/>
      <w:r w:rsidRPr="003F64B8">
        <w:t>Receivables Days</w:t>
      </w:r>
      <w:bookmarkEnd w:id="23"/>
    </w:p>
    <w:p w14:paraId="04E3E5AD"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Tesco’s receivables days have risen from around 15.8 days in 2024 to approximately 16.9 days in 2025, suggesting a slight increase in the time taken by Tesco to receive payment from its customers or counterparties (Palmer, 2018; Chen et al., 2010).</w:t>
      </w:r>
    </w:p>
    <w:p w14:paraId="35EEC33D"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It is not a large increase and is still relatively low compared with many other, non-retail, companies. Tesco derives the majority of its sales in cash, which means that the majority of their receivables will largely emanate from non-core businesses, such as financial services, partnerships, and wholesale businesses (Connolly, 2007; Palepu and Healy, 2020). An increase in these businesses could partly account for an increase in their receivables days (Chen et al., 2010; CFI TEAM, n.d.).</w:t>
      </w:r>
    </w:p>
    <w:p w14:paraId="4F186A99" w14:textId="3A28DC5A"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Although a rise in receivables days can become a cause for concern regarding its effects on cash flow, Tesco's receivables collection period is actually under very tight control and is not a cause for concern from a liquidity perspective. However, it is essential to keep a tight watch on it to ensure that growth in receivables is proportionate to growth in revenues (Atrill and Mclaney, 2018; Bragg, 2018).</w:t>
      </w:r>
    </w:p>
    <w:p w14:paraId="76BE4419" w14:textId="77777777" w:rsidR="003F64B8" w:rsidRPr="003F64B8" w:rsidRDefault="003F64B8" w:rsidP="003A57B5">
      <w:pPr>
        <w:pStyle w:val="Heading3"/>
      </w:pPr>
      <w:bookmarkStart w:id="24" w:name="_Toc219038128"/>
      <w:r w:rsidRPr="003F64B8">
        <w:t>Payables Days</w:t>
      </w:r>
      <w:bookmarkEnd w:id="24"/>
    </w:p>
    <w:p w14:paraId="7C476F16"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Tesco's payables days have increased to 147.2 days in 2025, up from 144.8 days in 2024, showing that Tesco has increased the time to pay its suppliers (CFI Team, 2022; Palmer, 2018).</w:t>
      </w:r>
    </w:p>
    <w:p w14:paraId="5B7D9082"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A rise in payables days indicates an increased use of supplier credit as a funding source. For Tesco, this indicates high bargaining power over suppliers, which is typical of large retailers. Suppliers are induced to extend favorable payment terms, which helps in increasing liquidity and reducing the need to raise funds from outside sources, contributing to the low current and quick ratios of Tesco (Gligor, 2020; Kersten et al., 2017).</w:t>
      </w:r>
    </w:p>
    <w:p w14:paraId="3C66426F" w14:textId="11D59EA6"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 xml:space="preserve">However, longer payment terms could put pressure on relationships with suppliers or limit flexibility in negotiations. Although Tesco’s current situation regarding its payables looks </w:t>
      </w:r>
      <w:r w:rsidRPr="003F64B8">
        <w:rPr>
          <w:rFonts w:ascii="Times New Roman" w:hAnsi="Times New Roman" w:cs="Times New Roman"/>
        </w:rPr>
        <w:lastRenderedPageBreak/>
        <w:t>strategically sound and not excessively high, it is important that constructive relationships with suppliers are retained (Chorafas, 2015; Chopra, 2021).</w:t>
      </w:r>
    </w:p>
    <w:p w14:paraId="3A0F69E0" w14:textId="77777777" w:rsidR="003F64B8" w:rsidRPr="003F64B8" w:rsidRDefault="003F64B8" w:rsidP="003A57B5">
      <w:pPr>
        <w:pStyle w:val="Heading3"/>
      </w:pPr>
      <w:bookmarkStart w:id="25" w:name="_Toc219038129"/>
      <w:r w:rsidRPr="003F64B8">
        <w:t>Interpretation of Efficiency Performance</w:t>
      </w:r>
      <w:bookmarkEnd w:id="25"/>
    </w:p>
    <w:p w14:paraId="7C5D9023"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It appears that Tesco’s efficiency ratios are quite stable and efficient in working capital management. The days for inventory, receivables, and payables are up by only a small margin. The improved inventory turns coupled with an increase in suppliers’ days are key indicators of Tesco’s efficient operations despite limited liquidity (Bragg, 2018; Orobia et al., 2020).</w:t>
      </w:r>
    </w:p>
    <w:p w14:paraId="4C85F93E" w14:textId="4F448C8B"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Nevertheless, it means being more dependent on smooth operations and supply chain relationships. This can lead to pressure being put on the company's cash flow if either supply chains or market conditions are affected in some way (Flynn, 2021; Gligor, 2020).</w:t>
      </w:r>
    </w:p>
    <w:p w14:paraId="4AB79458" w14:textId="77777777" w:rsidR="003F64B8" w:rsidRPr="003F64B8" w:rsidRDefault="003F64B8" w:rsidP="00AE0B10">
      <w:pPr>
        <w:pStyle w:val="Heading2"/>
      </w:pPr>
      <w:bookmarkStart w:id="26" w:name="_Toc219038130"/>
      <w:r w:rsidRPr="003F64B8">
        <w:t>Gearing and Solvency</w:t>
      </w:r>
      <w:bookmarkEnd w:id="26"/>
    </w:p>
    <w:p w14:paraId="7FC2BF1E" w14:textId="77777777" w:rsidR="003F64B8" w:rsidRPr="003F64B8" w:rsidRDefault="003F64B8" w:rsidP="00AE0B10">
      <w:pPr>
        <w:pStyle w:val="Heading3"/>
      </w:pPr>
      <w:bookmarkStart w:id="27" w:name="_Toc219038131"/>
      <w:r w:rsidRPr="003F64B8">
        <w:t>Solvency and Capital Structure</w:t>
      </w:r>
      <w:bookmarkEnd w:id="27"/>
    </w:p>
    <w:p w14:paraId="6D2AE937"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Solvency ratios help to assess Tesco's capacity to meet its long-term financial commitments and help to understand Tesco's capital structure and financial risk position (Clayman, Fridson and Troughton, 2012; Kenton, 2024). As a big retail company, Tesco's adoption of debt is a decision that can help Tesco maximize shareholder value by managing the adopted debt effectively but also increases Tesco's sensitivity to interest rate and earnings risks (Allen, 2021; Kotey, 2019).</w:t>
      </w:r>
    </w:p>
    <w:p w14:paraId="54FA50B7" w14:textId="056AB5D2"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This financial position of Tesco can be analyzed using the gearing ratio and interest cover, which provide an indication of the company’s leverage and its ability to service its debts (Kenton, 2024; Connolly, 2007).</w:t>
      </w:r>
    </w:p>
    <w:p w14:paraId="21F76D06" w14:textId="77777777" w:rsidR="003F64B8" w:rsidRPr="003F64B8" w:rsidRDefault="003F64B8" w:rsidP="00AE0B10">
      <w:pPr>
        <w:pStyle w:val="Heading3"/>
      </w:pPr>
      <w:bookmarkStart w:id="28" w:name="_Toc219038132"/>
      <w:r w:rsidRPr="003F64B8">
        <w:t>Gearing Ratio</w:t>
      </w:r>
      <w:bookmarkEnd w:id="28"/>
    </w:p>
    <w:p w14:paraId="2C1E5247"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gearing ratio of Tesco was approximately 59.8% in 2024, which declined slightly to about 59.3% in 2025. It is seen that long-term borrowings constituted a substantial portion of Tesco’s long-term capital; however, dependence on borrowings reduced slightly (Kenton, 2024; M Djoko Hanantijo, 2023).</w:t>
      </w:r>
    </w:p>
    <w:p w14:paraId="22473221"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 xml:space="preserve">However, this level of gearing signifies Tesco’s capital intensive nature along with recognizing its lease obligations as per the accounting standard of IFRS, thus increasing its borrowing level. For a stable cash flow generating enterprise with a dominant market position like Tesco, it is not high </w:t>
      </w:r>
      <w:r w:rsidRPr="003F64B8">
        <w:rPr>
          <w:rFonts w:ascii="Times New Roman" w:hAnsi="Times New Roman" w:cs="Times New Roman"/>
        </w:rPr>
        <w:lastRenderedPageBreak/>
        <w:t>and may be treated as manageable gearing (Van Greuning, 2006; Clayman, Fridson and Troughton, 2012).</w:t>
      </w:r>
    </w:p>
    <w:p w14:paraId="5A9BAE73" w14:textId="2124836C"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A slight decrease in gearing ratios implies an increase in the complementarity of debt and equity, which is driven by retained earnings and earnings improvement, thereby exemplifying prudence in managing the capital structure, especially in an unstable economy with increasing interest rates (Kotey, 2019; Allen, 2021).</w:t>
      </w:r>
    </w:p>
    <w:p w14:paraId="21804793" w14:textId="77777777" w:rsidR="003F64B8" w:rsidRPr="003F64B8" w:rsidRDefault="003F64B8" w:rsidP="00AE0B10">
      <w:pPr>
        <w:pStyle w:val="Heading3"/>
      </w:pPr>
      <w:bookmarkStart w:id="29" w:name="_Toc219038133"/>
      <w:r w:rsidRPr="003F64B8">
        <w:t>Interest Cover</w:t>
      </w:r>
      <w:bookmarkEnd w:id="29"/>
    </w:p>
    <w:p w14:paraId="5146850E"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Interest cover measures Tesco’s capability to fund their interest payments using their operating profits and is a significant indicator that needs to be evaluated (Allen, 2021; Clayman, Fridson and Troughton, 2012).</w:t>
      </w:r>
    </w:p>
    <w:p w14:paraId="196B3BD6"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Tesco's interest coverage ratio essentially enhanced and moved up to around 3.3 times for 2025 from 3.2 times in 2024. This is an indicator that the ability to pay the interests got better for Tesco despite the increased costs due to the rising rates (Connolly, 2007; Allen, 2021).</w:t>
      </w:r>
    </w:p>
    <w:p w14:paraId="45512EC4" w14:textId="13335F3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Although there has been improvement in the interest cover, the main force behind this has been the increase in operating profit as well as the relative stability of the cost of capital. It may be noted here that in order to be considered positive, the interest cover should be more than 3 times in nature. However, this provides little help in times of crisis (Palmer, 2018; Oakshott, 2020).</w:t>
      </w:r>
    </w:p>
    <w:p w14:paraId="567BE154" w14:textId="77777777" w:rsidR="003F64B8" w:rsidRPr="003F64B8" w:rsidRDefault="003F64B8" w:rsidP="00334E51">
      <w:pPr>
        <w:pStyle w:val="Heading3"/>
      </w:pPr>
      <w:bookmarkStart w:id="30" w:name="_Toc219038134"/>
      <w:r w:rsidRPr="003F64B8">
        <w:t>Interpretation of Gearing and Solvency Position</w:t>
      </w:r>
      <w:bookmarkEnd w:id="30"/>
    </w:p>
    <w:p w14:paraId="69804255"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On the whole, the solvency position of Tesco can be termed as highly levereged but well-managed. The slight reduction in the gearing ratio, accompanied by an improvement in the interest cover ratio, indicates a slight improvement in its long-term financial stability in the year 2025 (Kenton, 2024; Clayman, Fridson and Troughton, 2012).</w:t>
      </w:r>
    </w:p>
    <w:p w14:paraId="07DD29B6" w14:textId="04225055"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Tesco's use of debt seems to be strategic rather than excessive, given their high cash flows and steady demand for their staple products. Nevertheless, the firm is vulnerable to interest rate risks and operational variability. Adhering to their high profitability and prudent use of capital will also become critical in maintaining their solvency position in the future (Kotey, 2019; Campbell, 2021).</w:t>
      </w:r>
    </w:p>
    <w:p w14:paraId="4A95EF3A" w14:textId="77777777" w:rsidR="003F64B8" w:rsidRPr="003F64B8" w:rsidRDefault="003F64B8" w:rsidP="00334E51">
      <w:pPr>
        <w:pStyle w:val="Heading2"/>
      </w:pPr>
      <w:bookmarkStart w:id="31" w:name="_Toc219038135"/>
      <w:r w:rsidRPr="003F64B8">
        <w:lastRenderedPageBreak/>
        <w:t>Investor Performance</w:t>
      </w:r>
      <w:bookmarkEnd w:id="31"/>
    </w:p>
    <w:p w14:paraId="7507622D"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These ratios reveal the effectiveness of Tesco in creating value for its shareholders and also measure Tesco's market perception regarding its performance and potential (H. Kent Baker and Ricciardi, 2014; Palepu and Healy, 2020). As a quoted company, it is very essential for Tesco to keep its investors satisfied, especially an industry that is plagued by low profit margins and competition (Lichtenstein and Dade, 2007; Best, 2013).</w:t>
      </w:r>
    </w:p>
    <w:p w14:paraId="5476E1A8" w14:textId="0E32D72C"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investor ratios of importance in this analysis are earnings per share, dividend performance, dividend yield, and the P/E ratio (Palepu and Healy, 2020; Palmer, 2018).</w:t>
      </w:r>
    </w:p>
    <w:p w14:paraId="6FBBD494" w14:textId="77777777" w:rsidR="003F64B8" w:rsidRPr="003F64B8" w:rsidRDefault="003F64B8" w:rsidP="00334E51">
      <w:pPr>
        <w:pStyle w:val="Heading3"/>
      </w:pPr>
      <w:bookmarkStart w:id="32" w:name="_Toc219038136"/>
      <w:r w:rsidRPr="003F64B8">
        <w:t>Earnings per Share (EPS)</w:t>
      </w:r>
      <w:bookmarkEnd w:id="32"/>
    </w:p>
    <w:p w14:paraId="13D716D9"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Tesco’s earnings per share increased from approximately 29.3 pence in 2024 to around 33.0 pence in 2025. This improvement reflects higher profitability attributable to ordinary shareholders and a modest reduction in the number of shares in issue (Schmidt, 2022; Elliott and Elliott, 2017).</w:t>
      </w:r>
    </w:p>
    <w:p w14:paraId="7A28040A" w14:textId="7C09E471"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growth in EPS indicates that Tesco enhanced shareholder value during the period, supported by improved operating performance and disciplined capital management (Lichtenstein and Dade, 2007; de Jongh, 2011). EPS growth is particularly important in the retail sector, where profit growth can be challenging due to margin constraints and cost pressures (Best, 2013; H. Kent Baker and Ricciardi, 2014).</w:t>
      </w:r>
    </w:p>
    <w:p w14:paraId="6C2FF5EE" w14:textId="77777777" w:rsidR="003F64B8" w:rsidRPr="003F64B8" w:rsidRDefault="003F64B8" w:rsidP="00334E51">
      <w:pPr>
        <w:pStyle w:val="Heading3"/>
      </w:pPr>
      <w:bookmarkStart w:id="33" w:name="_Toc219038137"/>
      <w:r w:rsidRPr="003F64B8">
        <w:t>Dividend Performance and Dividend Cover</w:t>
      </w:r>
      <w:bookmarkEnd w:id="33"/>
    </w:p>
    <w:p w14:paraId="06FAA6DF"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Tesco has improved its dividend payout per share, which rose from 10.9 pence in 2024 to 12.0 pence in 2025, illustrating the company’s confidence in the sustainability of future earnings streams. The company’s decision to offer a dividend payout reflects its focus on returning value to shareholders (Lichtenstein and Dade, 2007; H. Kent Baker and Ricciardi, 2014).</w:t>
      </w:r>
    </w:p>
    <w:p w14:paraId="35A03E38" w14:textId="4C679013"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Tesco’s dividend cover ratio also improved marginally from about 2.7 times in 2024 to about 2.8 times in 2025, which made dividend coverage excellent, as dividends were adequately covered by their earnings. A ratio of more than two times is preferable, as a company can distribute dividends as well as utilize earnings to service its debt (Palepu and Healy, 2020; Clayman, Fridson and Troughton, 2012).</w:t>
      </w:r>
    </w:p>
    <w:p w14:paraId="5F7FC2D5" w14:textId="77777777" w:rsidR="003F64B8" w:rsidRPr="003F64B8" w:rsidRDefault="003F64B8" w:rsidP="00334E51">
      <w:pPr>
        <w:pStyle w:val="Heading3"/>
      </w:pPr>
      <w:bookmarkStart w:id="34" w:name="_Toc219038138"/>
      <w:r w:rsidRPr="003F64B8">
        <w:lastRenderedPageBreak/>
        <w:t>Dividend Yield</w:t>
      </w:r>
      <w:bookmarkEnd w:id="34"/>
    </w:p>
    <w:p w14:paraId="43625313"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Tesco’s dividend yield rose slightly from approximately 4.4% in 2024 to about 4.5% in 2025, due to higher dividend payouts despite relatively flat share prices. A dividend yield of such a kind is attractive to income seekers, especially in a defensive area such as the grocery retailing industry, where profitability is more stable compared to other businesses (Palepu and Healy, 2020; H. Kent Baker and Ricciardi, 2014).</w:t>
      </w:r>
    </w:p>
    <w:p w14:paraId="305024DF" w14:textId="402B2EF8"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That the dividend yield of Tesco is relatively consistent can indicate the market regards the firm as an investment for generating revenue because of its stable cash flows (Lichtenstein and Dade, 2007; Best, 2013).</w:t>
      </w:r>
    </w:p>
    <w:p w14:paraId="0DA33D6E" w14:textId="77777777" w:rsidR="003F64B8" w:rsidRPr="003F64B8" w:rsidRDefault="003F64B8" w:rsidP="00E52D7A">
      <w:pPr>
        <w:pStyle w:val="Heading3"/>
      </w:pPr>
      <w:bookmarkStart w:id="35" w:name="_Toc219038139"/>
      <w:r w:rsidRPr="003F64B8">
        <w:t>Price/Earnings (P/E) Ratio</w:t>
      </w:r>
      <w:bookmarkEnd w:id="35"/>
    </w:p>
    <w:p w14:paraId="4A786433"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P/E ratio of Tesco dropped marginally to around 8.2 times in 2025, down from around 8.5 times in 2024. This suggests that the earnings per share growth was better than the stock pricing during the period (Palepu and Healy, 2020; Schmidt, 2022).</w:t>
      </w:r>
    </w:p>
    <w:p w14:paraId="745B9DA4" w14:textId="156B4B8E"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A lower P/E indicates that investors' expectations about future performance are quite conservative. This is in line with the fact that Tesco operates in a mature grocery retail industry that is quite competitive. A lower P/E might also imply that Tesco shares were a bargain in terms of earnings performance (H. Kent Baker and Ricciardi, 2014; Palepu and Healy, 2020).</w:t>
      </w:r>
    </w:p>
    <w:p w14:paraId="79BBA59E" w14:textId="77777777" w:rsidR="003F64B8" w:rsidRPr="003F64B8" w:rsidRDefault="003F64B8" w:rsidP="00E52D7A">
      <w:pPr>
        <w:pStyle w:val="Heading3"/>
      </w:pPr>
      <w:bookmarkStart w:id="36" w:name="_Toc219038140"/>
      <w:r w:rsidRPr="003F64B8">
        <w:t>Interpretation of Investor Performance</w:t>
      </w:r>
      <w:bookmarkEnd w:id="36"/>
    </w:p>
    <w:p w14:paraId="2ECDA725"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On the whole, Tesco's investor performance improved between 2024 and 2025. As evidenced by the rise in EPS and increases in both dividend and dividend cover, the profitability of this business has strengthened its ability to provide shareholder returns. The unchanged dividend yield and P/E ratio, though at reasonable low levels, reflect ongoing investor confidence, tempered by realistic expectations of growth across a highly competitive sector (Palepu and Healy, 2020; H. Kent Baker and Ricciardi, 2014).</w:t>
      </w:r>
    </w:p>
    <w:p w14:paraId="55A1CD31" w14:textId="76103A4D"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ability of Tesco to keep investors' interest intact is now going to be pegged to the retailer's sustaining profitability, managing costs, and continuing high cash flows against intense competitive and economic pressures (Campbell, 2021; Chorafas, 2015).</w:t>
      </w:r>
    </w:p>
    <w:p w14:paraId="3B49C59D" w14:textId="77777777" w:rsidR="003F64B8" w:rsidRPr="003F64B8" w:rsidRDefault="003F64B8" w:rsidP="00E52D7A">
      <w:pPr>
        <w:pStyle w:val="Heading1"/>
      </w:pPr>
      <w:bookmarkStart w:id="37" w:name="_Toc219038141"/>
      <w:r w:rsidRPr="003F64B8">
        <w:lastRenderedPageBreak/>
        <w:t>Part 2</w:t>
      </w:r>
      <w:bookmarkEnd w:id="37"/>
    </w:p>
    <w:p w14:paraId="182EF8B2" w14:textId="77777777" w:rsidR="003F64B8" w:rsidRPr="003F64B8" w:rsidRDefault="003F64B8" w:rsidP="00E52D7A">
      <w:pPr>
        <w:pStyle w:val="Heading2"/>
      </w:pPr>
      <w:bookmarkStart w:id="38" w:name="_Toc219038142"/>
      <w:r w:rsidRPr="003F64B8">
        <w:t>Investment Appraisal</w:t>
      </w:r>
      <w:bookmarkEnd w:id="38"/>
    </w:p>
    <w:p w14:paraId="5D078447"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This stage of the report assesses the investment opportunities available to Westward Plc, which primarily deals with the manufacture of high-quality curtains and other associated products (Oakshott, 2020; Campbell, 2021). On the back of expansion opportunities, the Directors of this company have categorized three different investment options, which must be executed over a four-year time frame with varying initial investment and cash flows (Palepu and Healy, 2020; Allen, 2021).</w:t>
      </w:r>
    </w:p>
    <w:p w14:paraId="046A79CE"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To ensure efficient decision-making, the valuation uses discounted cash flow methods, with a special focus on the Net Present Value method, which is generally considered the most appropriate approach for the evaluation in investment projects over the long term (Spring, 2018; Imarticus, 2024). The calculation takes into account the impact of taxation and allowances for tax, with a cost of capital of 6%, illustrating the cost of capital for the firm (Madura, 2018; Oakshott, 2020). Additionally, the use of Internal Rate of Return and profit and loss ratios is employed in the evaluation, especially where there is capital restriction (CFI, 2022; Almeida and Campello, 2005).</w:t>
      </w:r>
    </w:p>
    <w:p w14:paraId="49257527" w14:textId="3B6CEEC8"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purpose of this evaluation is to ascertain whether or not Westward Plc should go ahead with the proposed investments and, if so, which option or combination thereof is likely to maximize value for shareholders (Lichtenstein and Dade, 2007; Clayman, Fridson and Troughton, 2012).</w:t>
      </w:r>
    </w:p>
    <w:p w14:paraId="3D0C29DE" w14:textId="77777777" w:rsidR="003F64B8" w:rsidRPr="003F64B8" w:rsidRDefault="003F64B8" w:rsidP="00E52D7A">
      <w:pPr>
        <w:pStyle w:val="Heading2"/>
      </w:pPr>
      <w:bookmarkStart w:id="39" w:name="_Toc219038143"/>
      <w:r w:rsidRPr="003F64B8">
        <w:t>Net Present Value (NPV) Appraisal of the Investment Options</w:t>
      </w:r>
      <w:bookmarkEnd w:id="39"/>
    </w:p>
    <w:p w14:paraId="16AEF52E"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three alternative investment projects were analyzed using the Net Present Value approach, with a cost of capital of 6%, corporate tax rate of 25%, as well as capital allowances of 20% per annum on a straight-line basis (Atrill and Mclaney, 2018; Madura, 2018). The assumptions cover the time value of money as well as the tax regime within which Westward Plc operates (Oakshott, 2020; Spring, 2018).</w:t>
      </w:r>
    </w:p>
    <w:p w14:paraId="51009CC8"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graphs reveal that the NPV for all three projects is positive, thereby highlighting that all three projects will enhance value for the firm if pursued independently (CFI, 2022; Spring, 2018).</w:t>
      </w:r>
    </w:p>
    <w:p w14:paraId="1F8B91E7"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lastRenderedPageBreak/>
        <w:t>The NPV for option A is approximately £643,000, which indicates that it yields an attractive return on investment, given that the initial investment is not very high and there is a steady increase in cash flows over the four-year duration (Palepu and Healy, 2020; Oakshott, 2020).</w:t>
      </w:r>
    </w:p>
    <w:p w14:paraId="48691E50"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option that emphasizes the growth of online sales of products on the internet, that is option B, yields the highest net present value of approximately 792,000 pounds. It is clear that option B gives the maximum positive value in absolute monetary terms (Lichtenstein and Dade, 2007; Palepu and Healy, 2020). The outcome is mainly because of the high projected cash flow values as well as the economies of scale in online sales (Best, 2013; Campbell, 2021).</w:t>
      </w:r>
    </w:p>
    <w:p w14:paraId="7B9C1098" w14:textId="1A0BE3C4"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second option, which entails the manufacture of wooden and Roman blinds, also yields a highly positive NPV, with a figure of approximately £743,000. Despite this option having the highest projected cash flows, it also entails the highest NPV cost of investment. Therefore, while it is financially feasible, it is not the most advantageous option compared to others, such as option B. Based on the NPV criterion, Option B would be the best investment choice, as it provides the highest return to the shareholders with the given cost of capital of 6% (CFI, 2022; Spring, 2018).</w:t>
      </w:r>
    </w:p>
    <w:p w14:paraId="2D3591F4" w14:textId="77777777" w:rsidR="003F64B8" w:rsidRPr="003F64B8" w:rsidRDefault="003F64B8" w:rsidP="00E52D7A">
      <w:pPr>
        <w:pStyle w:val="Heading2"/>
      </w:pPr>
      <w:bookmarkStart w:id="40" w:name="_Toc219038144"/>
      <w:r w:rsidRPr="003F64B8">
        <w:t>Internal Rate of Return (IRR) Results</w:t>
      </w:r>
      <w:bookmarkEnd w:id="40"/>
    </w:p>
    <w:p w14:paraId="7B2D057E"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For each of the options, the Internal Rate of Return was determined using the same taxation and capital allowance assumptions that were used in the NPV appraisal (CFI, 2022; Atrill and Mclaney, 2018). The IRR presents the percentage return from a project and reflects the discount rate at which the NPV of the project would fall to zero (CFI, 2022; Arjunan, 2017). From a decision-making perspective, a project is considered financially viable if it achieves an IRR greater than the company's cost of capital, taken to be 6% in this evaluation (CFI, 2022; Madura, 2018).</w:t>
      </w:r>
    </w:p>
    <w:p w14:paraId="0938BA66"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estimated IRRs indicate that all three options provide returns well in excess of the 6% hurdle rate and confirm that each project is viable from a financial perspective under the stated assumptions (CFI, 2022). Option A provides the highest IRR of around 39.0%, which means that it generates the highest percentage return on the capital that is invested (Azar and Noueihed, 2014). This implies that the expansion of the retail outlet is highly profitable relative to its initial cost, consistent with the relatively smaller investment requirement noted for the project (Oakshott, 2020; Arjunan, 2017).</w:t>
      </w:r>
    </w:p>
    <w:p w14:paraId="605385D6"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lastRenderedPageBreak/>
        <w:t>The result given by Option B would be an IRR of about 32.1%. While this would be lower than the result from Option A, it would still be significantly above and beyond the cost of capital and represent a very high rate of return. More importantly, it would be clear that this option would give the highest NPV and that even with a lower percentage rate of return than in Option A, it would generate the greatest amount of value (CFI, 2022; Spring, 2018).</w:t>
      </w:r>
    </w:p>
    <w:p w14:paraId="7F425814"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Option C gives an IRR of roughly 22.2%. This is again higher than the 6% cost of capital and thus is acceptable from the financial point of view. But when compared to Options A and B, this lower IRR value suggests that despite the higher cash flow value for Option C, its efficiency is lower due to the higher initial investment cost as compared to Options A and B (Azar and Noueihed, 2014; Madura, 2018).</w:t>
      </w:r>
    </w:p>
    <w:p w14:paraId="5AACECCF" w14:textId="4285C08C"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In general, the results of the IRR analysis tend to support the same conclusion made by the NPV analysis in the sense that all the options are financially attractive, although the analysis tends to show why it is important to consider the analysis of the NPV and the IRR together. Option A has the highest percentage return, although Option B is the preferred choice since it generates the highest absolute wealth (CFI, 2022; Spring, 2018).</w:t>
      </w:r>
    </w:p>
    <w:p w14:paraId="3705ACCC" w14:textId="77777777" w:rsidR="003F64B8" w:rsidRPr="003F64B8" w:rsidRDefault="003F64B8" w:rsidP="00E52D7A">
      <w:pPr>
        <w:pStyle w:val="Heading2"/>
      </w:pPr>
      <w:bookmarkStart w:id="41" w:name="_Toc219038145"/>
      <w:r w:rsidRPr="003F64B8">
        <w:t>Interpretation of Results for Management</w:t>
      </w:r>
      <w:bookmarkEnd w:id="41"/>
    </w:p>
    <w:p w14:paraId="6FC2E1A7"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Yet, from a managerial viewpoint, the investment appraisal results give a clear financial criterion for making decisions. Also, understanding why particular appraisal techniques are preferred and how the results should be interpreted is essential before committing resources to a long-term investment (Oakshott, 2020; Allen, 2021).</w:t>
      </w:r>
    </w:p>
    <w:p w14:paraId="2257B1D1"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On the theoretical side, NPV is considered the most adequate method for investment appraisal since it measures directly the increase in shareholder wealth expected (Lichtenstein and Dade, 2007; Spring, 2018). Time value of money is explicitly given due consideration since cash flows are only expected to be received in some future time that is discounted at the cost of capital of the company. Therefore, returns are then compared in today's monetary terms. This makes NPV very effective when the projects under review are mutually exclusive. It identifies the option that adds the greatest absolute value to the business. NPV clearly distinguishes between the projects for Westward Plc, pointing out Option B as the investment that maximizes value, although not with the highest percentage return (Madura, 2018; Palepu and Healy, 2020).</w:t>
      </w:r>
    </w:p>
    <w:p w14:paraId="194D5301"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lastRenderedPageBreak/>
        <w:t>Secondly, another theoretical advantage of NPV is that its reinvestment assumption is more realistic. The other assumption that NPV makes is that intermediate cash flows are reinvested at the firm’s capital costs. This is because capital costs approximate the actual reinvestment rate in most companies. On the other hand, when IRR values are high, the assumption made in the IRR formula that intermediate cash flows are reinvested at the project’s return may be less realistic (CFI, 2022; Arjunan, 2017).</w:t>
      </w:r>
    </w:p>
    <w:p w14:paraId="46760A0E"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Although there are theoretical benefits associated with NPV, non-discounting techniques like payback and accounting rate of return continue to be used extensively by decision-making authorities. One major reason for that is that these two methods can be very simply understood and calculated, allowing managers to use them without necessarily having any professional finance knowledge. It can be noted that payback, as a method, attracts managers because they see how soon their investment will be returned to them, which essentially means how much risk is involved in that investment (Imarticus, 2024; Kagan, 2025).</w:t>
      </w:r>
    </w:p>
    <w:p w14:paraId="396C99DF"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Then again, the use of non-discounting techniques can also be common since they are consistent with the interests of the management from the short run. In settings characterized by either uncertainty or change, managers may be drawn to investments that provide the fastest return of cash on the original investment, regardless of whether the return has maximized the value for the firm. It should be noted, however, that the use of non-discounting techniques has some limitations since it does not take into account the value of time for the cash flows (Lin, 2019; Georg Müller-Fürstenberger, 2017; Gordon, 2020).</w:t>
      </w:r>
    </w:p>
    <w:p w14:paraId="4202C0BD" w14:textId="291FBD55"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Apart from financial considerations, there are other factors that Westward Plc may need to take into consideration before it makes its final investment decision. Alignment with the overall strategy is critical, as those projects that align with the strategic focus of the company have better chances of succeeding. Feasibility, skills, technology, as well as availability, could be other factors that the company may need to evaluate. Market factors, competitive forces, or consumer preferences can also influence the realization of the expected cash flows (Campbell, 2021; Neneh, 2020; Chopra, 2021).</w:t>
      </w:r>
    </w:p>
    <w:p w14:paraId="337CC58A" w14:textId="777E4716"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Taken together, all of these factors serve to reinforce the point that discounted cash flow in the form of NPV represents the key tool of decision-making, facilitated by the use of IRR and informed by strategic intuition (Spring, 2018; CFI, 2022).</w:t>
      </w:r>
    </w:p>
    <w:p w14:paraId="54B32050" w14:textId="77777777" w:rsidR="003F64B8" w:rsidRPr="003F64B8" w:rsidRDefault="003F64B8" w:rsidP="00E52D7A">
      <w:pPr>
        <w:pStyle w:val="Heading2"/>
      </w:pPr>
      <w:bookmarkStart w:id="42" w:name="_Toc219038146"/>
      <w:r w:rsidRPr="003F64B8">
        <w:lastRenderedPageBreak/>
        <w:t>Capital Rationing and Optimal Investment Policy</w:t>
      </w:r>
      <w:bookmarkEnd w:id="42"/>
    </w:p>
    <w:p w14:paraId="76EB8D74"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Where investment funds are limited, the decision framework must shift from merely selecting the project with the highest NPV to choosing a combination of projects that maximizes total value within the available budget. Westward Plc has a £2.5 million capital constraint, and the projects are explicitly described as divisible-therefore, fractions of projects may be undertaken. In such cases, the appropriate decision rule is to rank projects using the Profitability Index (PI) (Almeida and Campello, 2005; Kersten et al., 2017; Oakshott, 2020).</w:t>
      </w:r>
    </w:p>
    <w:p w14:paraId="459E86AA"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The Profitability Index calculates the value-added per unit of investment and is defined as the present value of inflows divided by the investment. Based on the discounted cash flows and a cost of capital of 6%, the profitability indices for each option are as follows:</w:t>
      </w:r>
    </w:p>
    <w:p w14:paraId="6DA0F468" w14:textId="33E7671C" w:rsidR="003F64B8" w:rsidRPr="00E52D7A" w:rsidRDefault="003F64B8" w:rsidP="00E52D7A">
      <w:pPr>
        <w:pStyle w:val="ListParagraph"/>
        <w:numPr>
          <w:ilvl w:val="0"/>
          <w:numId w:val="4"/>
        </w:numPr>
        <w:spacing w:line="360" w:lineRule="auto"/>
        <w:jc w:val="both"/>
        <w:rPr>
          <w:rFonts w:ascii="Times New Roman" w:hAnsi="Times New Roman" w:cs="Times New Roman"/>
        </w:rPr>
      </w:pPr>
      <w:r w:rsidRPr="00E52D7A">
        <w:rPr>
          <w:rFonts w:ascii="Times New Roman" w:hAnsi="Times New Roman" w:cs="Times New Roman"/>
        </w:rPr>
        <w:t>Option A: PI ≈ 2.07</w:t>
      </w:r>
    </w:p>
    <w:p w14:paraId="52CD3304" w14:textId="5497DFF1" w:rsidR="003F64B8" w:rsidRPr="00E52D7A" w:rsidRDefault="003F64B8" w:rsidP="00E52D7A">
      <w:pPr>
        <w:pStyle w:val="ListParagraph"/>
        <w:numPr>
          <w:ilvl w:val="0"/>
          <w:numId w:val="4"/>
        </w:numPr>
        <w:spacing w:line="360" w:lineRule="auto"/>
        <w:jc w:val="both"/>
        <w:rPr>
          <w:rFonts w:ascii="Times New Roman" w:hAnsi="Times New Roman" w:cs="Times New Roman"/>
        </w:rPr>
      </w:pPr>
      <w:r w:rsidRPr="00E52D7A">
        <w:rPr>
          <w:rFonts w:ascii="Times New Roman" w:hAnsi="Times New Roman" w:cs="Times New Roman"/>
        </w:rPr>
        <w:t>Option B: PI ≈ 1.79</w:t>
      </w:r>
    </w:p>
    <w:p w14:paraId="252AF666" w14:textId="44EEDCE2" w:rsidR="003F64B8" w:rsidRPr="00E52D7A" w:rsidRDefault="003F64B8" w:rsidP="00E52D7A">
      <w:pPr>
        <w:pStyle w:val="ListParagraph"/>
        <w:numPr>
          <w:ilvl w:val="0"/>
          <w:numId w:val="4"/>
        </w:numPr>
        <w:spacing w:line="360" w:lineRule="auto"/>
        <w:jc w:val="both"/>
        <w:rPr>
          <w:rFonts w:ascii="Times New Roman" w:hAnsi="Times New Roman" w:cs="Times New Roman"/>
        </w:rPr>
      </w:pPr>
      <w:r w:rsidRPr="00E52D7A">
        <w:rPr>
          <w:rFonts w:ascii="Times New Roman" w:hAnsi="Times New Roman" w:cs="Times New Roman"/>
        </w:rPr>
        <w:t>Option C: PI ≈ 1.46</w:t>
      </w:r>
    </w:p>
    <w:p w14:paraId="7C3B67A4"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This indicates that option A has the highest value for money invested, followed by option B, while option C has the lowest value. In capital budgeting, where capital is limited, the profitability index of a project determines the order according to which the project should be selected (Spring, 2018; Palepu and Healy, 2020).</w:t>
      </w:r>
    </w:p>
    <w:p w14:paraId="0E03EE73"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Based on the above ranking system, when the capital budget of £2.5 million is considered, the initial investment should be made in Option A, followed by an investment in Option B. Subsequently, after investing in Options A and B, the remaining capital budget would still have excess capital left, which should then be allocated to Option C in proportion to its divisibility since it can be divided into shares (Almeida and Campello, 2005; Oakshott, 2020).</w:t>
      </w:r>
    </w:p>
    <w:p w14:paraId="47DF6C99" w14:textId="77A2DA7F"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Based on this optimal investment strategy, the total NPV realized from the group of investments is about 1.85 million pounds. As anticipated, this is the highest possible growth in net worth that can be realized under the constraint. Notably, it has been shown that even though the highest NPV is from investment option B, investment option A has to be picked first to maximize value for money (</w:t>
      </w:r>
      <w:r w:rsidR="000472E8" w:rsidRPr="000472E8">
        <w:rPr>
          <w:rFonts w:ascii="Times New Roman" w:hAnsi="Times New Roman" w:cs="Times New Roman"/>
        </w:rPr>
        <w:t>CFI, 2022</w:t>
      </w:r>
      <w:r w:rsidR="000472E8">
        <w:rPr>
          <w:rFonts w:ascii="Times New Roman" w:hAnsi="Times New Roman" w:cs="Times New Roman"/>
        </w:rPr>
        <w:t xml:space="preserve">; </w:t>
      </w:r>
      <w:r w:rsidRPr="003F64B8">
        <w:rPr>
          <w:rFonts w:ascii="Times New Roman" w:hAnsi="Times New Roman" w:cs="Times New Roman"/>
        </w:rPr>
        <w:t>Lichtenstein and Dade, 2007; Palepu and Healy, 2020).</w:t>
      </w:r>
    </w:p>
    <w:p w14:paraId="396F9332" w14:textId="43B0F174"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 xml:space="preserve">Finally, this study emphasizes the need for adjustments to investment criteria in constrained financial environments. Although NPV is preferred under unconstrained conditions, the </w:t>
      </w:r>
      <w:r w:rsidRPr="003F64B8">
        <w:rPr>
          <w:rFonts w:ascii="Times New Roman" w:hAnsi="Times New Roman" w:cs="Times New Roman"/>
        </w:rPr>
        <w:lastRenderedPageBreak/>
        <w:t>Profitability Index can be used as a better approach under constrained conditions for divisible investments (Kersten et al., 2017; Spring, 2018).</w:t>
      </w:r>
    </w:p>
    <w:p w14:paraId="086EB1BF" w14:textId="77777777" w:rsidR="003F64B8" w:rsidRPr="003F64B8" w:rsidRDefault="003F64B8" w:rsidP="000472E8">
      <w:pPr>
        <w:pStyle w:val="Heading2"/>
      </w:pPr>
      <w:bookmarkStart w:id="43" w:name="_Toc219038147"/>
      <w:r w:rsidRPr="003F64B8">
        <w:t>Financing the Investment Programme</w:t>
      </w:r>
      <w:bookmarkEnd w:id="43"/>
    </w:p>
    <w:p w14:paraId="19A591EE"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After determining the best investment approach, the Directors of Westward Plc need to consider the means through which the investment program should be financed. Generally, different sources of finance may impact a business differently in terms of risk exposure, cost of capital, financial flexibility, and control. The truth is that companies may not depend on a single source (Clayman, Fridson and Troughton, 2012; Connolly, 2007).</w:t>
      </w:r>
    </w:p>
    <w:p w14:paraId="7FDC0B02"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One possible source of finance could be the retained earnings of the business. Internal funding for investments is always considered the most preferable source of finance for the business; it requires neither cash payments in the form of interests nor leads to the dilution of ownership. Furthermore, retained earnings offer high flexibility and reflect the financial superiority of the business enterprise. However, there is an opportunity cost for the business that has to resort to internal funding for investments; shareholders want the business to declare dividends. Moreover, the retained business profits might not be sufficient to meet the expenses for massive investments (Atrill and Mclaney, 2019; de Jongh, 2011; Allen, 2021).</w:t>
      </w:r>
    </w:p>
    <w:p w14:paraId="379F4ABB"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A prominent source of finance is borrowed money in the form of loans or other loans that have a longer tenure. Borrowing money is especially attractive since the cost incurred in terms of interest is tax deductible. Moreover, the company retains control over the business. In the case of Westward Plc, the stable cash flow that the proposed business will churn out indicates that gearing up with borrowed money is not a difficult proposition for the company. However, the financial risks are doubled since the cost of servicing the loans is to be incurred irrespective of the performance of the business. Too much borrowed money might curb the freedom to act that the management wishes to exercise (Kotey, 2019; Madura, 2018; Allen, 2021).</w:t>
      </w:r>
    </w:p>
    <w:p w14:paraId="7502BD46"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 xml:space="preserve">Equity funding, which involves new share issuance, symbolizes a different method in this context. Equity introduces permanent capital and insolvent risk, since there are no obligations to repay such capital. Yet, new share issuance would result in a reduction in control for stockowners, as well as be interpreted as a sign of inability to finance new debt in the company’s standpoint. Also, equity </w:t>
      </w:r>
      <w:r w:rsidRPr="003F64B8">
        <w:rPr>
          <w:rFonts w:ascii="Times New Roman" w:hAnsi="Times New Roman" w:cs="Times New Roman"/>
        </w:rPr>
        <w:lastRenderedPageBreak/>
        <w:t>incurs costs greater than debt, especially if high returns are required to counteract risk (Chen et al., 2010; Clayman, Fridson and Troughton, 2012).</w:t>
      </w:r>
    </w:p>
    <w:p w14:paraId="0524225D" w14:textId="77777777" w:rsidR="003F64B8" w:rsidRPr="003F64B8" w:rsidRDefault="003F64B8" w:rsidP="003F64B8">
      <w:pPr>
        <w:spacing w:line="360" w:lineRule="auto"/>
        <w:jc w:val="both"/>
        <w:rPr>
          <w:rFonts w:ascii="Times New Roman" w:hAnsi="Times New Roman" w:cs="Times New Roman"/>
        </w:rPr>
      </w:pPr>
      <w:r w:rsidRPr="003F64B8">
        <w:rPr>
          <w:rFonts w:ascii="Times New Roman" w:hAnsi="Times New Roman" w:cs="Times New Roman"/>
        </w:rPr>
        <w:t>Also available for consideration by Westward Plc could be other financing alternatives, for example, leasing or asset finance, if there is equipment involved in the investment. Leasing may help in reducing up-front costs, and in fact, may work out more expensive in the long run (Connolly, 2007; Madura, 2018).</w:t>
      </w:r>
    </w:p>
    <w:p w14:paraId="30D2B5CB" w14:textId="56470E0B" w:rsidR="004B3054" w:rsidRDefault="003F64B8" w:rsidP="003F64B8">
      <w:pPr>
        <w:spacing w:line="360" w:lineRule="auto"/>
        <w:jc w:val="both"/>
        <w:rPr>
          <w:rFonts w:ascii="Times New Roman" w:hAnsi="Times New Roman" w:cs="Times New Roman"/>
        </w:rPr>
      </w:pPr>
      <w:r w:rsidRPr="003F64B8">
        <w:rPr>
          <w:rFonts w:ascii="Times New Roman" w:hAnsi="Times New Roman" w:cs="Times New Roman"/>
        </w:rPr>
        <w:t>In this case, the best strategy for Westward Plc to take would be one that requires it to finance its business through a combination of its own retained profits and borrowed funds within reasonable levels. This will enable the company to achieve the cheapest cost of capital (Allen, 2021; Clayman, Fridson and Troughton, 2012; Gianfrate and Loewenthal, 2015).</w:t>
      </w:r>
    </w:p>
    <w:p w14:paraId="23F1708D" w14:textId="77777777" w:rsidR="002B64A0" w:rsidRPr="002B64A0" w:rsidRDefault="002B64A0" w:rsidP="000472E8">
      <w:pPr>
        <w:pStyle w:val="Heading1"/>
      </w:pPr>
      <w:bookmarkStart w:id="44" w:name="_Toc219038148"/>
      <w:r w:rsidRPr="002B64A0">
        <w:t>Conclusion</w:t>
      </w:r>
      <w:bookmarkEnd w:id="44"/>
    </w:p>
    <w:p w14:paraId="0B737C32" w14:textId="64536573" w:rsidR="002A734B" w:rsidRDefault="002A734B" w:rsidP="002A734B">
      <w:pPr>
        <w:spacing w:line="360" w:lineRule="auto"/>
        <w:jc w:val="both"/>
        <w:rPr>
          <w:rFonts w:ascii="Times New Roman" w:hAnsi="Times New Roman" w:cs="Times New Roman"/>
        </w:rPr>
      </w:pPr>
      <w:r w:rsidRPr="002A734B">
        <w:rPr>
          <w:rFonts w:ascii="Times New Roman" w:hAnsi="Times New Roman" w:cs="Times New Roman"/>
        </w:rPr>
        <w:t>Part 1 ratio analysis above proves that Tesco PLC is financially strong and operating efficiently in the competitive retail industry. Its increased revenue levels and increased profitability margins prove its efficient operations, in addition to its good working capital management, which enables the firm to maintain relatively low liquidity ratios. Despite the firm's highly geared capital structure, its improved interest cover ratio indicates that its financial risk in the long term is under control. Its shareholder performance measures also show the firm's ability to generate long-term financial success.</w:t>
      </w:r>
      <w:r w:rsidR="00326614">
        <w:rPr>
          <w:rFonts w:ascii="Times New Roman" w:hAnsi="Times New Roman" w:cs="Times New Roman"/>
        </w:rPr>
        <w:t xml:space="preserve"> </w:t>
      </w:r>
      <w:r w:rsidRPr="002A734B">
        <w:rPr>
          <w:rFonts w:ascii="Times New Roman" w:hAnsi="Times New Roman" w:cs="Times New Roman"/>
        </w:rPr>
        <w:t>However, the analysis has also proven the need for the firm to focus on controlling its current expenses in order to maintain financial stability in the future.</w:t>
      </w:r>
    </w:p>
    <w:p w14:paraId="3E3786DE" w14:textId="77777777" w:rsidR="00A47C0F" w:rsidRDefault="00A47C0F" w:rsidP="00A47C0F">
      <w:pPr>
        <w:spacing w:line="360" w:lineRule="auto"/>
        <w:jc w:val="both"/>
        <w:rPr>
          <w:rFonts w:ascii="Times New Roman" w:hAnsi="Times New Roman" w:cs="Times New Roman"/>
        </w:rPr>
      </w:pPr>
      <w:r w:rsidRPr="00A47C0F">
        <w:rPr>
          <w:rFonts w:ascii="Times New Roman" w:hAnsi="Times New Roman" w:cs="Times New Roman"/>
        </w:rPr>
        <w:t>The investment appraisal in Part 2 indicates that each of the three projects proposed for Westward Plc is financially justifiable, with positive NPVs and IRRs significantly exceeding the costs of capital for the firm. Of these three possibilities, the development of internet sales stands out as the best course of action on the basis of NPV analysis, since it adds the most value to the firm’s shareholders. Under conditions of limited funds available for investment, it becomes possible to use the Profitability Index Analysis to select the optimal portfolio of investments to maximize overall value addition. Although the financial analysis points clearly to the need for investment, other factors may also need to be taken into account.</w:t>
      </w:r>
    </w:p>
    <w:p w14:paraId="0A0ED391" w14:textId="77777777" w:rsidR="004B1FA5" w:rsidRDefault="004B1FA5" w:rsidP="00A47C0F">
      <w:pPr>
        <w:spacing w:line="360" w:lineRule="auto"/>
        <w:jc w:val="both"/>
        <w:rPr>
          <w:rFonts w:ascii="Times New Roman" w:hAnsi="Times New Roman" w:cs="Times New Roman"/>
        </w:rPr>
      </w:pPr>
    </w:p>
    <w:p w14:paraId="168D24DB" w14:textId="77777777" w:rsidR="004B1FA5" w:rsidRPr="004B1FA5" w:rsidRDefault="004B1FA5" w:rsidP="004B1FA5">
      <w:pPr>
        <w:pStyle w:val="Heading1"/>
        <w:rPr>
          <w:rFonts w:eastAsia="Times New Roman"/>
        </w:rPr>
      </w:pPr>
      <w:bookmarkStart w:id="45" w:name="_Toc219038149"/>
      <w:r w:rsidRPr="004B1FA5">
        <w:rPr>
          <w:rFonts w:eastAsia="Times New Roman"/>
        </w:rPr>
        <w:lastRenderedPageBreak/>
        <w:t>Reference list</w:t>
      </w:r>
      <w:bookmarkEnd w:id="45"/>
    </w:p>
    <w:p w14:paraId="3FCBB030"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Adler, R. (2010). Enhancing business success: The role of performance management. </w:t>
      </w:r>
      <w:r w:rsidRPr="004B1FA5">
        <w:rPr>
          <w:rFonts w:ascii="Times New Roman" w:eastAsia="Times New Roman" w:hAnsi="Times New Roman" w:cs="Times New Roman"/>
          <w:i/>
          <w:iCs/>
          <w:kern w:val="0"/>
        </w:rPr>
        <w:t>Business Horizons</w:t>
      </w:r>
      <w:r w:rsidRPr="004B1FA5">
        <w:rPr>
          <w:rFonts w:ascii="Times New Roman" w:eastAsia="Times New Roman" w:hAnsi="Times New Roman" w:cs="Times New Roman"/>
          <w:kern w:val="0"/>
        </w:rPr>
        <w:t>, 53(4), pp.331–333.</w:t>
      </w:r>
    </w:p>
    <w:p w14:paraId="0432F7FC"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Alexander, D. and Britton, A. (2017). </w:t>
      </w:r>
      <w:r w:rsidRPr="004B1FA5">
        <w:rPr>
          <w:rFonts w:ascii="Times New Roman" w:eastAsia="Times New Roman" w:hAnsi="Times New Roman" w:cs="Times New Roman"/>
          <w:i/>
          <w:iCs/>
          <w:kern w:val="0"/>
        </w:rPr>
        <w:t>International financial reporting and analysis</w:t>
      </w:r>
      <w:r w:rsidRPr="004B1FA5">
        <w:rPr>
          <w:rFonts w:ascii="Times New Roman" w:eastAsia="Times New Roman" w:hAnsi="Times New Roman" w:cs="Times New Roman"/>
          <w:kern w:val="0"/>
        </w:rPr>
        <w:t>. 7th ed. London: Cengage Learning.</w:t>
      </w:r>
    </w:p>
    <w:p w14:paraId="32602A28"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Allen, D.E. (2021). Risk and Managerial Finance. </w:t>
      </w:r>
      <w:r w:rsidRPr="004B1FA5">
        <w:rPr>
          <w:rFonts w:ascii="Times New Roman" w:eastAsia="Times New Roman" w:hAnsi="Times New Roman" w:cs="Times New Roman"/>
          <w:i/>
          <w:iCs/>
          <w:kern w:val="0"/>
        </w:rPr>
        <w:t>Managerial Finance</w:t>
      </w:r>
      <w:r w:rsidRPr="004B1FA5">
        <w:rPr>
          <w:rFonts w:ascii="Times New Roman" w:eastAsia="Times New Roman" w:hAnsi="Times New Roman" w:cs="Times New Roman"/>
          <w:kern w:val="0"/>
        </w:rPr>
        <w:t>, 21(1), pp.3–14.</w:t>
      </w:r>
    </w:p>
    <w:p w14:paraId="2E3E0F6F"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Almeida, H. by and Campello, M. (2005). External Financing and Financing Constraints. </w:t>
      </w:r>
      <w:r w:rsidRPr="004B1FA5">
        <w:rPr>
          <w:rFonts w:ascii="Times New Roman" w:eastAsia="Times New Roman" w:hAnsi="Times New Roman" w:cs="Times New Roman"/>
          <w:i/>
          <w:iCs/>
          <w:kern w:val="0"/>
        </w:rPr>
        <w:t>SSRN Electronic Journal</w:t>
      </w:r>
      <w:r w:rsidRPr="004B1FA5">
        <w:rPr>
          <w:rFonts w:ascii="Times New Roman" w:eastAsia="Times New Roman" w:hAnsi="Times New Roman" w:cs="Times New Roman"/>
          <w:kern w:val="0"/>
        </w:rPr>
        <w:t>.</w:t>
      </w:r>
    </w:p>
    <w:p w14:paraId="1DE2D311"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Arjunan, K.C. (2017). IRR Performs Better than NPV: A Critical Analysis of Cases of Multiple IRR and Mutually Exclusive and Independent Investment Projects. </w:t>
      </w:r>
      <w:r w:rsidRPr="004B1FA5">
        <w:rPr>
          <w:rFonts w:ascii="Times New Roman" w:eastAsia="Times New Roman" w:hAnsi="Times New Roman" w:cs="Times New Roman"/>
          <w:i/>
          <w:iCs/>
          <w:kern w:val="0"/>
        </w:rPr>
        <w:t>SSRN Electronic Journal</w:t>
      </w:r>
      <w:r w:rsidRPr="004B1FA5">
        <w:rPr>
          <w:rFonts w:ascii="Times New Roman" w:eastAsia="Times New Roman" w:hAnsi="Times New Roman" w:cs="Times New Roman"/>
          <w:kern w:val="0"/>
        </w:rPr>
        <w:t>, 1(1).</w:t>
      </w:r>
    </w:p>
    <w:p w14:paraId="21C8006E"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Atrill, P. and Mclaney, E. (2018). </w:t>
      </w:r>
      <w:r w:rsidRPr="004B1FA5">
        <w:rPr>
          <w:rFonts w:ascii="Times New Roman" w:eastAsia="Times New Roman" w:hAnsi="Times New Roman" w:cs="Times New Roman"/>
          <w:i/>
          <w:iCs/>
          <w:kern w:val="0"/>
        </w:rPr>
        <w:t>Accounting and Finance for Non-Specialists</w:t>
      </w:r>
      <w:r w:rsidRPr="004B1FA5">
        <w:rPr>
          <w:rFonts w:ascii="Times New Roman" w:eastAsia="Times New Roman" w:hAnsi="Times New Roman" w:cs="Times New Roman"/>
          <w:kern w:val="0"/>
        </w:rPr>
        <w:t>. 11th ed. Harlow: Pearson.</w:t>
      </w:r>
    </w:p>
    <w:p w14:paraId="10C539DB"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Atrill, P. and Mclaney, E.J. (2019). </w:t>
      </w:r>
      <w:r w:rsidRPr="004B1FA5">
        <w:rPr>
          <w:rFonts w:ascii="Times New Roman" w:eastAsia="Times New Roman" w:hAnsi="Times New Roman" w:cs="Times New Roman"/>
          <w:i/>
          <w:iCs/>
          <w:kern w:val="0"/>
        </w:rPr>
        <w:t>Financial accounting for decision makers</w:t>
      </w:r>
      <w:r w:rsidRPr="004B1FA5">
        <w:rPr>
          <w:rFonts w:ascii="Times New Roman" w:eastAsia="Times New Roman" w:hAnsi="Times New Roman" w:cs="Times New Roman"/>
          <w:kern w:val="0"/>
        </w:rPr>
        <w:t>. New York: Prentice Hall/Financial Times.</w:t>
      </w:r>
    </w:p>
    <w:p w14:paraId="79493B61"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Aydiner, A.S., Tatoglu, E., Bayraktar, E., Zaim, S. and Delen, D. (2019). Business analytics and firm performance: The mediating role of business process performance. </w:t>
      </w:r>
      <w:r w:rsidRPr="004B1FA5">
        <w:rPr>
          <w:rFonts w:ascii="Times New Roman" w:eastAsia="Times New Roman" w:hAnsi="Times New Roman" w:cs="Times New Roman"/>
          <w:i/>
          <w:iCs/>
          <w:kern w:val="0"/>
        </w:rPr>
        <w:t>Journal of Business Research</w:t>
      </w:r>
      <w:r w:rsidRPr="004B1FA5">
        <w:rPr>
          <w:rFonts w:ascii="Times New Roman" w:eastAsia="Times New Roman" w:hAnsi="Times New Roman" w:cs="Times New Roman"/>
          <w:kern w:val="0"/>
        </w:rPr>
        <w:t>, 96(1), pp.228–237.</w:t>
      </w:r>
    </w:p>
    <w:p w14:paraId="0977FA9E"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Azar, S.A. and Noueihed, N. (2014). A Probabilistic Internal Rate of Return: Theory and Illustration. </w:t>
      </w:r>
      <w:r w:rsidRPr="004B1FA5">
        <w:rPr>
          <w:rFonts w:ascii="Times New Roman" w:eastAsia="Times New Roman" w:hAnsi="Times New Roman" w:cs="Times New Roman"/>
          <w:i/>
          <w:iCs/>
          <w:kern w:val="0"/>
        </w:rPr>
        <w:t>International Journal of Business and Management</w:t>
      </w:r>
      <w:r w:rsidRPr="004B1FA5">
        <w:rPr>
          <w:rFonts w:ascii="Times New Roman" w:eastAsia="Times New Roman" w:hAnsi="Times New Roman" w:cs="Times New Roman"/>
          <w:kern w:val="0"/>
        </w:rPr>
        <w:t>, 9(3).</w:t>
      </w:r>
    </w:p>
    <w:p w14:paraId="5AD634F9"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Best, R. (2013). </w:t>
      </w:r>
      <w:r w:rsidRPr="004B1FA5">
        <w:rPr>
          <w:rFonts w:ascii="Times New Roman" w:eastAsia="Times New Roman" w:hAnsi="Times New Roman" w:cs="Times New Roman"/>
          <w:i/>
          <w:iCs/>
          <w:kern w:val="0"/>
        </w:rPr>
        <w:t>Market-based management : strategies for growing customer value and profitability</w:t>
      </w:r>
      <w:r w:rsidRPr="004B1FA5">
        <w:rPr>
          <w:rFonts w:ascii="Times New Roman" w:eastAsia="Times New Roman" w:hAnsi="Times New Roman" w:cs="Times New Roman"/>
          <w:kern w:val="0"/>
        </w:rPr>
        <w:t>. Upper Saddle River, N.J.: Pearson Education.</w:t>
      </w:r>
    </w:p>
    <w:p w14:paraId="66BB096C"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Bloomenthal, A. (2025). </w:t>
      </w:r>
      <w:r w:rsidRPr="004B1FA5">
        <w:rPr>
          <w:rFonts w:ascii="Times New Roman" w:eastAsia="Times New Roman" w:hAnsi="Times New Roman" w:cs="Times New Roman"/>
          <w:i/>
          <w:iCs/>
          <w:kern w:val="0"/>
        </w:rPr>
        <w:t>Gross Profit Margin: Formula and What It Tells You</w:t>
      </w:r>
      <w:r w:rsidRPr="004B1FA5">
        <w:rPr>
          <w:rFonts w:ascii="Times New Roman" w:eastAsia="Times New Roman" w:hAnsi="Times New Roman" w:cs="Times New Roman"/>
          <w:kern w:val="0"/>
        </w:rPr>
        <w:t xml:space="preserve">. [online] Investopedia. Available at: </w:t>
      </w:r>
      <w:hyperlink r:id="rId9" w:history="1">
        <w:r w:rsidRPr="004B1FA5">
          <w:rPr>
            <w:rFonts w:ascii="Times New Roman" w:eastAsia="Times New Roman" w:hAnsi="Times New Roman" w:cs="Times New Roman"/>
            <w:kern w:val="0"/>
          </w:rPr>
          <w:t>https://www.investopedia.com/terms/g/gross_profit_margin.asp</w:t>
        </w:r>
      </w:hyperlink>
      <w:r w:rsidRPr="004B1FA5">
        <w:rPr>
          <w:rFonts w:ascii="Times New Roman" w:eastAsia="Times New Roman" w:hAnsi="Times New Roman" w:cs="Times New Roman"/>
          <w:kern w:val="0"/>
        </w:rPr>
        <w:t>.</w:t>
      </w:r>
    </w:p>
    <w:p w14:paraId="306573B0"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lastRenderedPageBreak/>
        <w:t xml:space="preserve">Bragg, S.M. (2018). </w:t>
      </w:r>
      <w:r w:rsidRPr="004B1FA5">
        <w:rPr>
          <w:rFonts w:ascii="Times New Roman" w:eastAsia="Times New Roman" w:hAnsi="Times New Roman" w:cs="Times New Roman"/>
          <w:i/>
          <w:iCs/>
          <w:kern w:val="0"/>
        </w:rPr>
        <w:t>Business ratios and formulas : a comprehensive guide</w:t>
      </w:r>
      <w:r w:rsidRPr="004B1FA5">
        <w:rPr>
          <w:rFonts w:ascii="Times New Roman" w:eastAsia="Times New Roman" w:hAnsi="Times New Roman" w:cs="Times New Roman"/>
          <w:kern w:val="0"/>
        </w:rPr>
        <w:t>. Hoboken, N.J.: Wiley.</w:t>
      </w:r>
    </w:p>
    <w:p w14:paraId="3F13FFA7"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Campbell, D. (2021). </w:t>
      </w:r>
      <w:r w:rsidRPr="004B1FA5">
        <w:rPr>
          <w:rFonts w:ascii="Times New Roman" w:eastAsia="Times New Roman" w:hAnsi="Times New Roman" w:cs="Times New Roman"/>
          <w:i/>
          <w:iCs/>
          <w:kern w:val="0"/>
        </w:rPr>
        <w:t>Business Strategy</w:t>
      </w:r>
      <w:r w:rsidRPr="004B1FA5">
        <w:rPr>
          <w:rFonts w:ascii="Times New Roman" w:eastAsia="Times New Roman" w:hAnsi="Times New Roman" w:cs="Times New Roman"/>
          <w:kern w:val="0"/>
        </w:rPr>
        <w:t>. 5th ed. London: Pearson.</w:t>
      </w:r>
    </w:p>
    <w:p w14:paraId="7D4385E7"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CFI (2020). </w:t>
      </w:r>
      <w:r w:rsidRPr="004B1FA5">
        <w:rPr>
          <w:rFonts w:ascii="Times New Roman" w:eastAsia="Times New Roman" w:hAnsi="Times New Roman" w:cs="Times New Roman"/>
          <w:i/>
          <w:iCs/>
          <w:kern w:val="0"/>
        </w:rPr>
        <w:t>Liquidity Ratio</w:t>
      </w:r>
      <w:r w:rsidRPr="004B1FA5">
        <w:rPr>
          <w:rFonts w:ascii="Times New Roman" w:eastAsia="Times New Roman" w:hAnsi="Times New Roman" w:cs="Times New Roman"/>
          <w:kern w:val="0"/>
        </w:rPr>
        <w:t xml:space="preserve">. [online] Corporate Finance Institute. Available at: </w:t>
      </w:r>
      <w:hyperlink r:id="rId10" w:history="1">
        <w:r w:rsidRPr="004B1FA5">
          <w:rPr>
            <w:rFonts w:ascii="Times New Roman" w:eastAsia="Times New Roman" w:hAnsi="Times New Roman" w:cs="Times New Roman"/>
            <w:kern w:val="0"/>
          </w:rPr>
          <w:t>https://corporatefinanceinstitute.com/resources/accounting/liquidity-ratio/</w:t>
        </w:r>
      </w:hyperlink>
      <w:r w:rsidRPr="004B1FA5">
        <w:rPr>
          <w:rFonts w:ascii="Times New Roman" w:eastAsia="Times New Roman" w:hAnsi="Times New Roman" w:cs="Times New Roman"/>
          <w:kern w:val="0"/>
        </w:rPr>
        <w:t>.</w:t>
      </w:r>
    </w:p>
    <w:p w14:paraId="2274DFC3"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CFI (2022). </w:t>
      </w:r>
      <w:r w:rsidRPr="004B1FA5">
        <w:rPr>
          <w:rFonts w:ascii="Times New Roman" w:eastAsia="Times New Roman" w:hAnsi="Times New Roman" w:cs="Times New Roman"/>
          <w:i/>
          <w:iCs/>
          <w:kern w:val="0"/>
        </w:rPr>
        <w:t>NPV vs IRR</w:t>
      </w:r>
      <w:r w:rsidRPr="004B1FA5">
        <w:rPr>
          <w:rFonts w:ascii="Times New Roman" w:eastAsia="Times New Roman" w:hAnsi="Times New Roman" w:cs="Times New Roman"/>
          <w:kern w:val="0"/>
        </w:rPr>
        <w:t xml:space="preserve">. [online] Corporate Finance Institute. Available at: </w:t>
      </w:r>
      <w:hyperlink r:id="rId11" w:history="1">
        <w:r w:rsidRPr="004B1FA5">
          <w:rPr>
            <w:rFonts w:ascii="Times New Roman" w:eastAsia="Times New Roman" w:hAnsi="Times New Roman" w:cs="Times New Roman"/>
            <w:kern w:val="0"/>
          </w:rPr>
          <w:t>https://corporatefinanceinstitute.com/resources/valuation/npv-vs-irr/</w:t>
        </w:r>
      </w:hyperlink>
      <w:r w:rsidRPr="004B1FA5">
        <w:rPr>
          <w:rFonts w:ascii="Times New Roman" w:eastAsia="Times New Roman" w:hAnsi="Times New Roman" w:cs="Times New Roman"/>
          <w:kern w:val="0"/>
        </w:rPr>
        <w:t>.</w:t>
      </w:r>
    </w:p>
    <w:p w14:paraId="78B90498"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CFI TEAM (n.d.). </w:t>
      </w:r>
      <w:r w:rsidRPr="004B1FA5">
        <w:rPr>
          <w:rFonts w:ascii="Times New Roman" w:eastAsia="Times New Roman" w:hAnsi="Times New Roman" w:cs="Times New Roman"/>
          <w:i/>
          <w:iCs/>
          <w:kern w:val="0"/>
        </w:rPr>
        <w:t>Annual Recurring Revenue (ARR)</w:t>
      </w:r>
      <w:r w:rsidRPr="004B1FA5">
        <w:rPr>
          <w:rFonts w:ascii="Times New Roman" w:eastAsia="Times New Roman" w:hAnsi="Times New Roman" w:cs="Times New Roman"/>
          <w:kern w:val="0"/>
        </w:rPr>
        <w:t xml:space="preserve">. [online] Corporate Finance Institute. Available at: </w:t>
      </w:r>
      <w:hyperlink r:id="rId12" w:history="1">
        <w:r w:rsidRPr="004B1FA5">
          <w:rPr>
            <w:rFonts w:ascii="Times New Roman" w:eastAsia="Times New Roman" w:hAnsi="Times New Roman" w:cs="Times New Roman"/>
            <w:kern w:val="0"/>
          </w:rPr>
          <w:t>https://corporatefinanceinstitute.com/resources/valuation/annual-recurring-revenue-arr/</w:t>
        </w:r>
      </w:hyperlink>
      <w:r w:rsidRPr="004B1FA5">
        <w:rPr>
          <w:rFonts w:ascii="Times New Roman" w:eastAsia="Times New Roman" w:hAnsi="Times New Roman" w:cs="Times New Roman"/>
          <w:kern w:val="0"/>
        </w:rPr>
        <w:t>.</w:t>
      </w:r>
    </w:p>
    <w:p w14:paraId="6CF2235E"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CFI Team (2022). </w:t>
      </w:r>
      <w:r w:rsidRPr="004B1FA5">
        <w:rPr>
          <w:rFonts w:ascii="Times New Roman" w:eastAsia="Times New Roman" w:hAnsi="Times New Roman" w:cs="Times New Roman"/>
          <w:i/>
          <w:iCs/>
          <w:kern w:val="0"/>
        </w:rPr>
        <w:t>Days Payable Outstanding</w:t>
      </w:r>
      <w:r w:rsidRPr="004B1FA5">
        <w:rPr>
          <w:rFonts w:ascii="Times New Roman" w:eastAsia="Times New Roman" w:hAnsi="Times New Roman" w:cs="Times New Roman"/>
          <w:kern w:val="0"/>
        </w:rPr>
        <w:t xml:space="preserve">. [online] Corporate Finance Institute. Available at: </w:t>
      </w:r>
      <w:hyperlink r:id="rId13" w:history="1">
        <w:r w:rsidRPr="004B1FA5">
          <w:rPr>
            <w:rFonts w:ascii="Times New Roman" w:eastAsia="Times New Roman" w:hAnsi="Times New Roman" w:cs="Times New Roman"/>
            <w:kern w:val="0"/>
          </w:rPr>
          <w:t>https://corporatefinanceinstitute.com/resources/accounting/days-payable-outstanding/</w:t>
        </w:r>
      </w:hyperlink>
      <w:r w:rsidRPr="004B1FA5">
        <w:rPr>
          <w:rFonts w:ascii="Times New Roman" w:eastAsia="Times New Roman" w:hAnsi="Times New Roman" w:cs="Times New Roman"/>
          <w:kern w:val="0"/>
        </w:rPr>
        <w:t>.</w:t>
      </w:r>
    </w:p>
    <w:p w14:paraId="2043B992"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Chen, W.-P., Chung, H., Hsu, T.-L. and Wu, S. (2010). External Financing Needs, Corporate Governance, and Firm Value. </w:t>
      </w:r>
      <w:r w:rsidRPr="004B1FA5">
        <w:rPr>
          <w:rFonts w:ascii="Times New Roman" w:eastAsia="Times New Roman" w:hAnsi="Times New Roman" w:cs="Times New Roman"/>
          <w:i/>
          <w:iCs/>
          <w:kern w:val="0"/>
        </w:rPr>
        <w:t>Corporate Governance: An International Review</w:t>
      </w:r>
      <w:r w:rsidRPr="004B1FA5">
        <w:rPr>
          <w:rFonts w:ascii="Times New Roman" w:eastAsia="Times New Roman" w:hAnsi="Times New Roman" w:cs="Times New Roman"/>
          <w:kern w:val="0"/>
        </w:rPr>
        <w:t>, 18(3), pp.234–249. doi:</w:t>
      </w:r>
      <w:hyperlink r:id="rId14" w:history="1">
        <w:r w:rsidRPr="004B1FA5">
          <w:rPr>
            <w:rFonts w:ascii="Times New Roman" w:eastAsia="Times New Roman" w:hAnsi="Times New Roman" w:cs="Times New Roman"/>
            <w:kern w:val="0"/>
          </w:rPr>
          <w:t>https://doi.org/10.1111/j.1467-8683.2010.00801.x</w:t>
        </w:r>
      </w:hyperlink>
      <w:r w:rsidRPr="004B1FA5">
        <w:rPr>
          <w:rFonts w:ascii="Times New Roman" w:eastAsia="Times New Roman" w:hAnsi="Times New Roman" w:cs="Times New Roman"/>
          <w:kern w:val="0"/>
        </w:rPr>
        <w:t>.</w:t>
      </w:r>
    </w:p>
    <w:p w14:paraId="6132E995"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Chopra, S. (2021). </w:t>
      </w:r>
      <w:r w:rsidRPr="004B1FA5">
        <w:rPr>
          <w:rFonts w:ascii="Times New Roman" w:eastAsia="Times New Roman" w:hAnsi="Times New Roman" w:cs="Times New Roman"/>
          <w:i/>
          <w:iCs/>
          <w:kern w:val="0"/>
        </w:rPr>
        <w:t>Supply Chain Management : Strategy, Planning and Operation</w:t>
      </w:r>
      <w:r w:rsidRPr="004B1FA5">
        <w:rPr>
          <w:rFonts w:ascii="Times New Roman" w:eastAsia="Times New Roman" w:hAnsi="Times New Roman" w:cs="Times New Roman"/>
          <w:kern w:val="0"/>
        </w:rPr>
        <w:t>. 7th ed. New York, NY: Pearson Education.</w:t>
      </w:r>
    </w:p>
    <w:p w14:paraId="7937E745"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Chorafas, D.N. (2015). </w:t>
      </w:r>
      <w:r w:rsidRPr="004B1FA5">
        <w:rPr>
          <w:rFonts w:ascii="Times New Roman" w:eastAsia="Times New Roman" w:hAnsi="Times New Roman" w:cs="Times New Roman"/>
          <w:i/>
          <w:iCs/>
          <w:kern w:val="0"/>
        </w:rPr>
        <w:t>Business efficiency and ethics : values and strategic decision-making</w:t>
      </w:r>
      <w:r w:rsidRPr="004B1FA5">
        <w:rPr>
          <w:rFonts w:ascii="Times New Roman" w:eastAsia="Times New Roman" w:hAnsi="Times New Roman" w:cs="Times New Roman"/>
          <w:kern w:val="0"/>
        </w:rPr>
        <w:t>. New York, Ny: Palgrave Macmillan.</w:t>
      </w:r>
    </w:p>
    <w:p w14:paraId="70B042B7"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Clayman, M.R., Fridson, M.S. and Troughton, G.H. (2012). </w:t>
      </w:r>
      <w:r w:rsidRPr="004B1FA5">
        <w:rPr>
          <w:rFonts w:ascii="Times New Roman" w:eastAsia="Times New Roman" w:hAnsi="Times New Roman" w:cs="Times New Roman"/>
          <w:i/>
          <w:iCs/>
          <w:kern w:val="0"/>
        </w:rPr>
        <w:t>Corporate Finance</w:t>
      </w:r>
      <w:r w:rsidRPr="004B1FA5">
        <w:rPr>
          <w:rFonts w:ascii="Times New Roman" w:eastAsia="Times New Roman" w:hAnsi="Times New Roman" w:cs="Times New Roman"/>
          <w:kern w:val="0"/>
        </w:rPr>
        <w:t>. John Wiley &amp; Sons.</w:t>
      </w:r>
    </w:p>
    <w:p w14:paraId="34FC620A"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Connolly, M.B. (2007). </w:t>
      </w:r>
      <w:r w:rsidRPr="004B1FA5">
        <w:rPr>
          <w:rFonts w:ascii="Times New Roman" w:eastAsia="Times New Roman" w:hAnsi="Times New Roman" w:cs="Times New Roman"/>
          <w:i/>
          <w:iCs/>
          <w:kern w:val="0"/>
        </w:rPr>
        <w:t>International business finance</w:t>
      </w:r>
      <w:r w:rsidRPr="004B1FA5">
        <w:rPr>
          <w:rFonts w:ascii="Times New Roman" w:eastAsia="Times New Roman" w:hAnsi="Times New Roman" w:cs="Times New Roman"/>
          <w:kern w:val="0"/>
        </w:rPr>
        <w:t>. New York ; London: Routledge.</w:t>
      </w:r>
    </w:p>
    <w:p w14:paraId="5149E157"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de Jongh, M. (2011). Shareholders’ Duties to the Company and Fellow Shareholders. </w:t>
      </w:r>
      <w:r w:rsidRPr="004B1FA5">
        <w:rPr>
          <w:rFonts w:ascii="Times New Roman" w:eastAsia="Times New Roman" w:hAnsi="Times New Roman" w:cs="Times New Roman"/>
          <w:i/>
          <w:iCs/>
          <w:kern w:val="0"/>
        </w:rPr>
        <w:t>SSRN Electronic Journal</w:t>
      </w:r>
      <w:r w:rsidRPr="004B1FA5">
        <w:rPr>
          <w:rFonts w:ascii="Times New Roman" w:eastAsia="Times New Roman" w:hAnsi="Times New Roman" w:cs="Times New Roman"/>
          <w:kern w:val="0"/>
        </w:rPr>
        <w:t>.</w:t>
      </w:r>
    </w:p>
    <w:p w14:paraId="1A5699EE"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lastRenderedPageBreak/>
        <w:t xml:space="preserve">Elliott, B. and Elliott, J. (2017). </w:t>
      </w:r>
      <w:r w:rsidRPr="004B1FA5">
        <w:rPr>
          <w:rFonts w:ascii="Times New Roman" w:eastAsia="Times New Roman" w:hAnsi="Times New Roman" w:cs="Times New Roman"/>
          <w:i/>
          <w:iCs/>
          <w:kern w:val="0"/>
        </w:rPr>
        <w:t>Financial Accounting And Reporting.</w:t>
      </w:r>
      <w:r w:rsidRPr="004B1FA5">
        <w:rPr>
          <w:rFonts w:ascii="Times New Roman" w:eastAsia="Times New Roman" w:hAnsi="Times New Roman" w:cs="Times New Roman"/>
          <w:kern w:val="0"/>
        </w:rPr>
        <w:t xml:space="preserve"> 18th ed. Pearson.</w:t>
      </w:r>
    </w:p>
    <w:p w14:paraId="075BF257"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Fernando, J. (2025). </w:t>
      </w:r>
      <w:r w:rsidRPr="004B1FA5">
        <w:rPr>
          <w:rFonts w:ascii="Times New Roman" w:eastAsia="Times New Roman" w:hAnsi="Times New Roman" w:cs="Times New Roman"/>
          <w:i/>
          <w:iCs/>
          <w:kern w:val="0"/>
        </w:rPr>
        <w:t>Return on Equity (ROE) Calculation and What It Means</w:t>
      </w:r>
      <w:r w:rsidRPr="004B1FA5">
        <w:rPr>
          <w:rFonts w:ascii="Times New Roman" w:eastAsia="Times New Roman" w:hAnsi="Times New Roman" w:cs="Times New Roman"/>
          <w:kern w:val="0"/>
        </w:rPr>
        <w:t xml:space="preserve">. [online] Investopedia. Available at: </w:t>
      </w:r>
      <w:hyperlink r:id="rId15" w:history="1">
        <w:r w:rsidRPr="004B1FA5">
          <w:rPr>
            <w:rFonts w:ascii="Times New Roman" w:eastAsia="Times New Roman" w:hAnsi="Times New Roman" w:cs="Times New Roman"/>
            <w:kern w:val="0"/>
          </w:rPr>
          <w:t>https://www.investopedia.com/terms/r/returnonequity.asp</w:t>
        </w:r>
      </w:hyperlink>
      <w:r w:rsidRPr="004B1FA5">
        <w:rPr>
          <w:rFonts w:ascii="Times New Roman" w:eastAsia="Times New Roman" w:hAnsi="Times New Roman" w:cs="Times New Roman"/>
          <w:kern w:val="0"/>
        </w:rPr>
        <w:t>.</w:t>
      </w:r>
    </w:p>
    <w:p w14:paraId="6D6CB3E4"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Flynn, B.B. (2021). On Theory in Supply Chain Uncertainty and its Implications for Supply Chain Integration. </w:t>
      </w:r>
      <w:r w:rsidRPr="004B1FA5">
        <w:rPr>
          <w:rFonts w:ascii="Times New Roman" w:eastAsia="Times New Roman" w:hAnsi="Times New Roman" w:cs="Times New Roman"/>
          <w:i/>
          <w:iCs/>
          <w:kern w:val="0"/>
        </w:rPr>
        <w:t>Journal of Supply Chain Management</w:t>
      </w:r>
      <w:r w:rsidRPr="004B1FA5">
        <w:rPr>
          <w:rFonts w:ascii="Times New Roman" w:eastAsia="Times New Roman" w:hAnsi="Times New Roman" w:cs="Times New Roman"/>
          <w:kern w:val="0"/>
        </w:rPr>
        <w:t>, 52(3), pp.3–27.</w:t>
      </w:r>
    </w:p>
    <w:p w14:paraId="7E3E2C2F"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Geoff Relph (2015). </w:t>
      </w:r>
      <w:r w:rsidRPr="004B1FA5">
        <w:rPr>
          <w:rFonts w:ascii="Times New Roman" w:eastAsia="Times New Roman" w:hAnsi="Times New Roman" w:cs="Times New Roman"/>
          <w:i/>
          <w:iCs/>
          <w:kern w:val="0"/>
        </w:rPr>
        <w:t>Inventory management : advanced methods for managing inventory within business systems.</w:t>
      </w:r>
      <w:r w:rsidRPr="004B1FA5">
        <w:rPr>
          <w:rFonts w:ascii="Times New Roman" w:eastAsia="Times New Roman" w:hAnsi="Times New Roman" w:cs="Times New Roman"/>
          <w:kern w:val="0"/>
        </w:rPr>
        <w:t xml:space="preserve"> Kogan Page Stylus.</w:t>
      </w:r>
    </w:p>
    <w:p w14:paraId="3231F8BE"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Georg Müller-Fürstenberger (2017). </w:t>
      </w:r>
      <w:r w:rsidRPr="004B1FA5">
        <w:rPr>
          <w:rFonts w:ascii="Times New Roman" w:eastAsia="Times New Roman" w:hAnsi="Times New Roman" w:cs="Times New Roman"/>
          <w:i/>
          <w:iCs/>
          <w:kern w:val="0"/>
        </w:rPr>
        <w:t>The payback period rule : its impact on innovation and economic growth</w:t>
      </w:r>
      <w:r w:rsidRPr="004B1FA5">
        <w:rPr>
          <w:rFonts w:ascii="Times New Roman" w:eastAsia="Times New Roman" w:hAnsi="Times New Roman" w:cs="Times New Roman"/>
          <w:kern w:val="0"/>
        </w:rPr>
        <w:t>. Bern: Universität Bern Abteilung Für Angewandte Mikroökonomie.</w:t>
      </w:r>
    </w:p>
    <w:p w14:paraId="422059A1"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Gianfrate, G. and Loewenthal, S. (2015). Private Equity throughout the Financial Crisis. </w:t>
      </w:r>
      <w:r w:rsidRPr="004B1FA5">
        <w:rPr>
          <w:rFonts w:ascii="Times New Roman" w:eastAsia="Times New Roman" w:hAnsi="Times New Roman" w:cs="Times New Roman"/>
          <w:i/>
          <w:iCs/>
          <w:kern w:val="0"/>
        </w:rPr>
        <w:t>The Journal of Private Equity</w:t>
      </w:r>
      <w:r w:rsidRPr="004B1FA5">
        <w:rPr>
          <w:rFonts w:ascii="Times New Roman" w:eastAsia="Times New Roman" w:hAnsi="Times New Roman" w:cs="Times New Roman"/>
          <w:kern w:val="0"/>
        </w:rPr>
        <w:t>.</w:t>
      </w:r>
    </w:p>
    <w:p w14:paraId="6E1B4FB3"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Gligor, D.M. (2020). The Role of Supply Chain Agility in Achieving Supply Chain Fit. </w:t>
      </w:r>
      <w:r w:rsidRPr="004B1FA5">
        <w:rPr>
          <w:rFonts w:ascii="Times New Roman" w:eastAsia="Times New Roman" w:hAnsi="Times New Roman" w:cs="Times New Roman"/>
          <w:i/>
          <w:iCs/>
          <w:kern w:val="0"/>
        </w:rPr>
        <w:t>Decision Sciences</w:t>
      </w:r>
      <w:r w:rsidRPr="004B1FA5">
        <w:rPr>
          <w:rFonts w:ascii="Times New Roman" w:eastAsia="Times New Roman" w:hAnsi="Times New Roman" w:cs="Times New Roman"/>
          <w:kern w:val="0"/>
        </w:rPr>
        <w:t>, 47(3), pp.524–553.</w:t>
      </w:r>
    </w:p>
    <w:p w14:paraId="28CD7A8B"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Gordon, L.A. (2020). Accounting Rate of Return vs. Economic Rate of Return. </w:t>
      </w:r>
      <w:r w:rsidRPr="004B1FA5">
        <w:rPr>
          <w:rFonts w:ascii="Times New Roman" w:eastAsia="Times New Roman" w:hAnsi="Times New Roman" w:cs="Times New Roman"/>
          <w:i/>
          <w:iCs/>
          <w:kern w:val="0"/>
        </w:rPr>
        <w:t>Journal of Business Finance &amp; Accounting</w:t>
      </w:r>
      <w:r w:rsidRPr="004B1FA5">
        <w:rPr>
          <w:rFonts w:ascii="Times New Roman" w:eastAsia="Times New Roman" w:hAnsi="Times New Roman" w:cs="Times New Roman"/>
          <w:kern w:val="0"/>
        </w:rPr>
        <w:t>, 1(3), pp.343–356.</w:t>
      </w:r>
    </w:p>
    <w:p w14:paraId="6DE2EB5A"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H. Kent Baker and Ricciardi, V. (2014). </w:t>
      </w:r>
      <w:r w:rsidRPr="004B1FA5">
        <w:rPr>
          <w:rFonts w:ascii="Times New Roman" w:eastAsia="Times New Roman" w:hAnsi="Times New Roman" w:cs="Times New Roman"/>
          <w:i/>
          <w:iCs/>
          <w:kern w:val="0"/>
        </w:rPr>
        <w:t>Investor Behavior</w:t>
      </w:r>
      <w:r w:rsidRPr="004B1FA5">
        <w:rPr>
          <w:rFonts w:ascii="Times New Roman" w:eastAsia="Times New Roman" w:hAnsi="Times New Roman" w:cs="Times New Roman"/>
          <w:kern w:val="0"/>
        </w:rPr>
        <w:t>. John Wiley &amp; Sons.</w:t>
      </w:r>
    </w:p>
    <w:p w14:paraId="356BD920"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Hartley, C., Firer, C. and Ford, J.C. (2006). </w:t>
      </w:r>
      <w:r w:rsidRPr="004B1FA5">
        <w:rPr>
          <w:rFonts w:ascii="Times New Roman" w:eastAsia="Times New Roman" w:hAnsi="Times New Roman" w:cs="Times New Roman"/>
          <w:i/>
          <w:iCs/>
          <w:kern w:val="0"/>
        </w:rPr>
        <w:t>Business accounting and finance for managers : an introduction</w:t>
      </w:r>
      <w:r w:rsidRPr="004B1FA5">
        <w:rPr>
          <w:rFonts w:ascii="Times New Roman" w:eastAsia="Times New Roman" w:hAnsi="Times New Roman" w:cs="Times New Roman"/>
          <w:kern w:val="0"/>
        </w:rPr>
        <w:t>. Johannesburg: Witwatersrand University Press.</w:t>
      </w:r>
    </w:p>
    <w:p w14:paraId="05757D2A"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Hayes, A. (2025). </w:t>
      </w:r>
      <w:r w:rsidRPr="004B1FA5">
        <w:rPr>
          <w:rFonts w:ascii="Times New Roman" w:eastAsia="Times New Roman" w:hAnsi="Times New Roman" w:cs="Times New Roman"/>
          <w:i/>
          <w:iCs/>
          <w:kern w:val="0"/>
        </w:rPr>
        <w:t>Operating Margin: What It Is and the Formula for Calculating It, With Examples</w:t>
      </w:r>
      <w:r w:rsidRPr="004B1FA5">
        <w:rPr>
          <w:rFonts w:ascii="Times New Roman" w:eastAsia="Times New Roman" w:hAnsi="Times New Roman" w:cs="Times New Roman"/>
          <w:kern w:val="0"/>
        </w:rPr>
        <w:t xml:space="preserve">. [online] Investopedia. Available at: </w:t>
      </w:r>
      <w:hyperlink r:id="rId16" w:history="1">
        <w:r w:rsidRPr="004B1FA5">
          <w:rPr>
            <w:rFonts w:ascii="Times New Roman" w:eastAsia="Times New Roman" w:hAnsi="Times New Roman" w:cs="Times New Roman"/>
            <w:kern w:val="0"/>
          </w:rPr>
          <w:t>https://www.investopedia.com/terms/o/operatingmargin.asp</w:t>
        </w:r>
      </w:hyperlink>
      <w:r w:rsidRPr="004B1FA5">
        <w:rPr>
          <w:rFonts w:ascii="Times New Roman" w:eastAsia="Times New Roman" w:hAnsi="Times New Roman" w:cs="Times New Roman"/>
          <w:kern w:val="0"/>
        </w:rPr>
        <w:t>.</w:t>
      </w:r>
    </w:p>
    <w:p w14:paraId="074F7440"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Hennie Van Greuning (2006). </w:t>
      </w:r>
      <w:r w:rsidRPr="004B1FA5">
        <w:rPr>
          <w:rFonts w:ascii="Times New Roman" w:eastAsia="Times New Roman" w:hAnsi="Times New Roman" w:cs="Times New Roman"/>
          <w:i/>
          <w:iCs/>
          <w:kern w:val="0"/>
        </w:rPr>
        <w:t>International Financial Reporting Standards (Fourth Edition) A Practical Guide</w:t>
      </w:r>
      <w:r w:rsidRPr="004B1FA5">
        <w:rPr>
          <w:rFonts w:ascii="Times New Roman" w:eastAsia="Times New Roman" w:hAnsi="Times New Roman" w:cs="Times New Roman"/>
          <w:kern w:val="0"/>
        </w:rPr>
        <w:t>. Washington, D.C.: The World Bank.</w:t>
      </w:r>
    </w:p>
    <w:p w14:paraId="0E2B7360"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Imarticus (2024). </w:t>
      </w:r>
      <w:r w:rsidRPr="004B1FA5">
        <w:rPr>
          <w:rFonts w:ascii="Times New Roman" w:eastAsia="Times New Roman" w:hAnsi="Times New Roman" w:cs="Times New Roman"/>
          <w:i/>
          <w:iCs/>
          <w:kern w:val="0"/>
        </w:rPr>
        <w:t xml:space="preserve">Discounting vs. Non-Discounting Methods: Which is Better for Capital </w:t>
      </w:r>
      <w:r w:rsidRPr="004B1FA5">
        <w:rPr>
          <w:rFonts w:ascii="Times New Roman" w:eastAsia="Times New Roman" w:hAnsi="Times New Roman" w:cs="Times New Roman"/>
          <w:i/>
          <w:iCs/>
          <w:kern w:val="0"/>
        </w:rPr>
        <w:lastRenderedPageBreak/>
        <w:t>Budgeting?</w:t>
      </w:r>
      <w:r w:rsidRPr="004B1FA5">
        <w:rPr>
          <w:rFonts w:ascii="Times New Roman" w:eastAsia="Times New Roman" w:hAnsi="Times New Roman" w:cs="Times New Roman"/>
          <w:kern w:val="0"/>
        </w:rPr>
        <w:t xml:space="preserve"> [online] Finance, Tech &amp; Analytics Career Resources | Imarticus Blog. Available at: </w:t>
      </w:r>
      <w:hyperlink r:id="rId17" w:history="1">
        <w:r w:rsidRPr="004B1FA5">
          <w:rPr>
            <w:rFonts w:ascii="Times New Roman" w:eastAsia="Times New Roman" w:hAnsi="Times New Roman" w:cs="Times New Roman"/>
            <w:kern w:val="0"/>
          </w:rPr>
          <w:t>https://imarticus.org/blog/capital-budgeting-methods/</w:t>
        </w:r>
      </w:hyperlink>
      <w:r w:rsidRPr="004B1FA5">
        <w:rPr>
          <w:rFonts w:ascii="Times New Roman" w:eastAsia="Times New Roman" w:hAnsi="Times New Roman" w:cs="Times New Roman"/>
          <w:kern w:val="0"/>
        </w:rPr>
        <w:t>.</w:t>
      </w:r>
    </w:p>
    <w:p w14:paraId="33F5DF3A"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Johannesson, J. (2021). Business growth in a tough economy. </w:t>
      </w:r>
      <w:r w:rsidRPr="004B1FA5">
        <w:rPr>
          <w:rFonts w:ascii="Times New Roman" w:eastAsia="Times New Roman" w:hAnsi="Times New Roman" w:cs="Times New Roman"/>
          <w:i/>
          <w:iCs/>
          <w:kern w:val="0"/>
        </w:rPr>
        <w:t>International Journal of Business Competition and Growth</w:t>
      </w:r>
      <w:r w:rsidRPr="004B1FA5">
        <w:rPr>
          <w:rFonts w:ascii="Times New Roman" w:eastAsia="Times New Roman" w:hAnsi="Times New Roman" w:cs="Times New Roman"/>
          <w:kern w:val="0"/>
        </w:rPr>
        <w:t>, 1(3), p.231.</w:t>
      </w:r>
    </w:p>
    <w:p w14:paraId="7A817421"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Jones, M. (2014). </w:t>
      </w:r>
      <w:r w:rsidRPr="004B1FA5">
        <w:rPr>
          <w:rFonts w:ascii="Times New Roman" w:eastAsia="Times New Roman" w:hAnsi="Times New Roman" w:cs="Times New Roman"/>
          <w:i/>
          <w:iCs/>
          <w:kern w:val="0"/>
        </w:rPr>
        <w:t>Accounting and finance</w:t>
      </w:r>
      <w:r w:rsidRPr="004B1FA5">
        <w:rPr>
          <w:rFonts w:ascii="Times New Roman" w:eastAsia="Times New Roman" w:hAnsi="Times New Roman" w:cs="Times New Roman"/>
          <w:kern w:val="0"/>
        </w:rPr>
        <w:t>. Chichester, West Sussex: John Wiley &amp; Sons.</w:t>
      </w:r>
    </w:p>
    <w:p w14:paraId="535121CE"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Kagan, J. (2025). </w:t>
      </w:r>
      <w:r w:rsidRPr="004B1FA5">
        <w:rPr>
          <w:rFonts w:ascii="Times New Roman" w:eastAsia="Times New Roman" w:hAnsi="Times New Roman" w:cs="Times New Roman"/>
          <w:i/>
          <w:iCs/>
          <w:kern w:val="0"/>
        </w:rPr>
        <w:t>Payback period: Definition, formula, and calculation</w:t>
      </w:r>
      <w:r w:rsidRPr="004B1FA5">
        <w:rPr>
          <w:rFonts w:ascii="Times New Roman" w:eastAsia="Times New Roman" w:hAnsi="Times New Roman" w:cs="Times New Roman"/>
          <w:kern w:val="0"/>
        </w:rPr>
        <w:t xml:space="preserve">. [online] Investopedia. Available at: </w:t>
      </w:r>
      <w:hyperlink r:id="rId18" w:history="1">
        <w:r w:rsidRPr="004B1FA5">
          <w:rPr>
            <w:rFonts w:ascii="Times New Roman" w:eastAsia="Times New Roman" w:hAnsi="Times New Roman" w:cs="Times New Roman"/>
            <w:kern w:val="0"/>
          </w:rPr>
          <w:t>https://www.investopedia.com/terms/p/paybackperiod.asp</w:t>
        </w:r>
      </w:hyperlink>
      <w:r w:rsidRPr="004B1FA5">
        <w:rPr>
          <w:rFonts w:ascii="Times New Roman" w:eastAsia="Times New Roman" w:hAnsi="Times New Roman" w:cs="Times New Roman"/>
          <w:kern w:val="0"/>
        </w:rPr>
        <w:t>.</w:t>
      </w:r>
    </w:p>
    <w:p w14:paraId="6A8AB393"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Kenton, W. (2024). </w:t>
      </w:r>
      <w:r w:rsidRPr="004B1FA5">
        <w:rPr>
          <w:rFonts w:ascii="Times New Roman" w:eastAsia="Times New Roman" w:hAnsi="Times New Roman" w:cs="Times New Roman"/>
          <w:i/>
          <w:iCs/>
          <w:kern w:val="0"/>
        </w:rPr>
        <w:t>How the Gearing Ratio Works</w:t>
      </w:r>
      <w:r w:rsidRPr="004B1FA5">
        <w:rPr>
          <w:rFonts w:ascii="Times New Roman" w:eastAsia="Times New Roman" w:hAnsi="Times New Roman" w:cs="Times New Roman"/>
          <w:kern w:val="0"/>
        </w:rPr>
        <w:t xml:space="preserve">. [online] Investopedia. Available at: </w:t>
      </w:r>
      <w:hyperlink r:id="rId19" w:history="1">
        <w:r w:rsidRPr="004B1FA5">
          <w:rPr>
            <w:rFonts w:ascii="Times New Roman" w:eastAsia="Times New Roman" w:hAnsi="Times New Roman" w:cs="Times New Roman"/>
            <w:kern w:val="0"/>
          </w:rPr>
          <w:t>https://www.investopedia.com/terms/g/gearingratio.asp</w:t>
        </w:r>
      </w:hyperlink>
      <w:r w:rsidRPr="004B1FA5">
        <w:rPr>
          <w:rFonts w:ascii="Times New Roman" w:eastAsia="Times New Roman" w:hAnsi="Times New Roman" w:cs="Times New Roman"/>
          <w:kern w:val="0"/>
        </w:rPr>
        <w:t>.</w:t>
      </w:r>
    </w:p>
    <w:p w14:paraId="66180323"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Kersten, R., Harms, J., Liket, K. and Maas, K. (2017). Small Firms, large Impact? A systematic review of the SME Finance Literature. </w:t>
      </w:r>
      <w:r w:rsidRPr="004B1FA5">
        <w:rPr>
          <w:rFonts w:ascii="Times New Roman" w:eastAsia="Times New Roman" w:hAnsi="Times New Roman" w:cs="Times New Roman"/>
          <w:i/>
          <w:iCs/>
          <w:kern w:val="0"/>
        </w:rPr>
        <w:t>World Development</w:t>
      </w:r>
      <w:r w:rsidRPr="004B1FA5">
        <w:rPr>
          <w:rFonts w:ascii="Times New Roman" w:eastAsia="Times New Roman" w:hAnsi="Times New Roman" w:cs="Times New Roman"/>
          <w:kern w:val="0"/>
        </w:rPr>
        <w:t>, [online] 97, pp.330–348. doi:</w:t>
      </w:r>
      <w:hyperlink r:id="rId20" w:history="1">
        <w:r w:rsidRPr="004B1FA5">
          <w:rPr>
            <w:rFonts w:ascii="Times New Roman" w:eastAsia="Times New Roman" w:hAnsi="Times New Roman" w:cs="Times New Roman"/>
            <w:kern w:val="0"/>
          </w:rPr>
          <w:t>https://doi.org/10.1016/j.worlddev.2017.04.012</w:t>
        </w:r>
      </w:hyperlink>
      <w:r w:rsidRPr="004B1FA5">
        <w:rPr>
          <w:rFonts w:ascii="Times New Roman" w:eastAsia="Times New Roman" w:hAnsi="Times New Roman" w:cs="Times New Roman"/>
          <w:kern w:val="0"/>
        </w:rPr>
        <w:t>.</w:t>
      </w:r>
    </w:p>
    <w:p w14:paraId="423D55C4"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Kimmel, P.D., Weygandt, J.J. and Kieso, D.E. (2016). </w:t>
      </w:r>
      <w:r w:rsidRPr="004B1FA5">
        <w:rPr>
          <w:rFonts w:ascii="Times New Roman" w:eastAsia="Times New Roman" w:hAnsi="Times New Roman" w:cs="Times New Roman"/>
          <w:i/>
          <w:iCs/>
          <w:kern w:val="0"/>
        </w:rPr>
        <w:t>Financial Accounting: Tools for Business Decision Making, 8th Edition</w:t>
      </w:r>
      <w:r w:rsidRPr="004B1FA5">
        <w:rPr>
          <w:rFonts w:ascii="Times New Roman" w:eastAsia="Times New Roman" w:hAnsi="Times New Roman" w:cs="Times New Roman"/>
          <w:kern w:val="0"/>
        </w:rPr>
        <w:t>. Wiley Global Education.</w:t>
      </w:r>
    </w:p>
    <w:p w14:paraId="46102A4D"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Kotey, B. (2019). Debt Financing and Factors Internal to the Business. </w:t>
      </w:r>
      <w:r w:rsidRPr="004B1FA5">
        <w:rPr>
          <w:rFonts w:ascii="Times New Roman" w:eastAsia="Times New Roman" w:hAnsi="Times New Roman" w:cs="Times New Roman"/>
          <w:i/>
          <w:iCs/>
          <w:kern w:val="0"/>
        </w:rPr>
        <w:t>International Small Business Journal: Researching Entrepreneurship</w:t>
      </w:r>
      <w:r w:rsidRPr="004B1FA5">
        <w:rPr>
          <w:rFonts w:ascii="Times New Roman" w:eastAsia="Times New Roman" w:hAnsi="Times New Roman" w:cs="Times New Roman"/>
          <w:kern w:val="0"/>
        </w:rPr>
        <w:t>, 17(3), pp.11–29.</w:t>
      </w:r>
    </w:p>
    <w:p w14:paraId="7533AD9A"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Lichtenstein, S. and Dade, P. (2007). The Shareholder Value Chain: Values, Vision and Shareholder Value Creation. </w:t>
      </w:r>
      <w:r w:rsidRPr="004B1FA5">
        <w:rPr>
          <w:rFonts w:ascii="Times New Roman" w:eastAsia="Times New Roman" w:hAnsi="Times New Roman" w:cs="Times New Roman"/>
          <w:i/>
          <w:iCs/>
          <w:kern w:val="0"/>
        </w:rPr>
        <w:t>Journal of General Management</w:t>
      </w:r>
      <w:r w:rsidRPr="004B1FA5">
        <w:rPr>
          <w:rFonts w:ascii="Times New Roman" w:eastAsia="Times New Roman" w:hAnsi="Times New Roman" w:cs="Times New Roman"/>
          <w:kern w:val="0"/>
        </w:rPr>
        <w:t>, 33(1), pp.15–31.</w:t>
      </w:r>
    </w:p>
    <w:p w14:paraId="5A97E0C8"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Lin, H.-J. (2019). Why Should Managers Like Payback Period? </w:t>
      </w:r>
      <w:r w:rsidRPr="004B1FA5">
        <w:rPr>
          <w:rFonts w:ascii="Times New Roman" w:eastAsia="Times New Roman" w:hAnsi="Times New Roman" w:cs="Times New Roman"/>
          <w:i/>
          <w:iCs/>
          <w:kern w:val="0"/>
        </w:rPr>
        <w:t>SSRN Electronic Journal</w:t>
      </w:r>
      <w:r w:rsidRPr="004B1FA5">
        <w:rPr>
          <w:rFonts w:ascii="Times New Roman" w:eastAsia="Times New Roman" w:hAnsi="Times New Roman" w:cs="Times New Roman"/>
          <w:kern w:val="0"/>
        </w:rPr>
        <w:t>, 1(1).</w:t>
      </w:r>
    </w:p>
    <w:p w14:paraId="0F9751F8"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M Djoko Hanantijo, G. (2023). Capital Structures Mediating Role in Profitability, Liquidity, and Firm Value. </w:t>
      </w:r>
      <w:r w:rsidRPr="004B1FA5">
        <w:rPr>
          <w:rFonts w:ascii="Times New Roman" w:eastAsia="Times New Roman" w:hAnsi="Times New Roman" w:cs="Times New Roman"/>
          <w:i/>
          <w:iCs/>
          <w:kern w:val="0"/>
        </w:rPr>
        <w:t>International Journal of Science and Research (IJSR)</w:t>
      </w:r>
      <w:r w:rsidRPr="004B1FA5">
        <w:rPr>
          <w:rFonts w:ascii="Times New Roman" w:eastAsia="Times New Roman" w:hAnsi="Times New Roman" w:cs="Times New Roman"/>
          <w:kern w:val="0"/>
        </w:rPr>
        <w:t>, 12(7), pp.1163–1166.</w:t>
      </w:r>
    </w:p>
    <w:p w14:paraId="3B304D7E"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Madura, J. (2018). </w:t>
      </w:r>
      <w:r w:rsidRPr="004B1FA5">
        <w:rPr>
          <w:rFonts w:ascii="Times New Roman" w:eastAsia="Times New Roman" w:hAnsi="Times New Roman" w:cs="Times New Roman"/>
          <w:i/>
          <w:iCs/>
          <w:kern w:val="0"/>
        </w:rPr>
        <w:t>International financial management</w:t>
      </w:r>
      <w:r w:rsidRPr="004B1FA5">
        <w:rPr>
          <w:rFonts w:ascii="Times New Roman" w:eastAsia="Times New Roman" w:hAnsi="Times New Roman" w:cs="Times New Roman"/>
          <w:kern w:val="0"/>
        </w:rPr>
        <w:t>. 13th ed. Boston, Ma: Cengage Learning.</w:t>
      </w:r>
    </w:p>
    <w:p w14:paraId="4719AFAB"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Maverick, J.B. (2022). </w:t>
      </w:r>
      <w:r w:rsidRPr="004B1FA5">
        <w:rPr>
          <w:rFonts w:ascii="Times New Roman" w:eastAsia="Times New Roman" w:hAnsi="Times New Roman" w:cs="Times New Roman"/>
          <w:i/>
          <w:iCs/>
          <w:kern w:val="0"/>
        </w:rPr>
        <w:t>ROE Vs ROCE: the Difference</w:t>
      </w:r>
      <w:r w:rsidRPr="004B1FA5">
        <w:rPr>
          <w:rFonts w:ascii="Times New Roman" w:eastAsia="Times New Roman" w:hAnsi="Times New Roman" w:cs="Times New Roman"/>
          <w:kern w:val="0"/>
        </w:rPr>
        <w:t xml:space="preserve">. [online] Investopedia. Available at: </w:t>
      </w:r>
      <w:hyperlink r:id="rId21" w:history="1">
        <w:r w:rsidRPr="004B1FA5">
          <w:rPr>
            <w:rFonts w:ascii="Times New Roman" w:eastAsia="Times New Roman" w:hAnsi="Times New Roman" w:cs="Times New Roman"/>
            <w:kern w:val="0"/>
          </w:rPr>
          <w:t>https://www.investopedia.com/ask/answers/011215/what-difference-between-roce-and-roe.asp</w:t>
        </w:r>
      </w:hyperlink>
      <w:r w:rsidRPr="004B1FA5">
        <w:rPr>
          <w:rFonts w:ascii="Times New Roman" w:eastAsia="Times New Roman" w:hAnsi="Times New Roman" w:cs="Times New Roman"/>
          <w:kern w:val="0"/>
        </w:rPr>
        <w:t>.</w:t>
      </w:r>
    </w:p>
    <w:p w14:paraId="3F75053E"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lastRenderedPageBreak/>
        <w:t xml:space="preserve">Ngek Neneh, B. (2020). Market orientation and performance: the contingency role of external environment. </w:t>
      </w:r>
      <w:r w:rsidRPr="004B1FA5">
        <w:rPr>
          <w:rFonts w:ascii="Times New Roman" w:eastAsia="Times New Roman" w:hAnsi="Times New Roman" w:cs="Times New Roman"/>
          <w:i/>
          <w:iCs/>
          <w:kern w:val="0"/>
        </w:rPr>
        <w:t>Environmental Economics</w:t>
      </w:r>
      <w:r w:rsidRPr="004B1FA5">
        <w:rPr>
          <w:rFonts w:ascii="Times New Roman" w:eastAsia="Times New Roman" w:hAnsi="Times New Roman" w:cs="Times New Roman"/>
          <w:kern w:val="0"/>
        </w:rPr>
        <w:t>, 7(2), pp.130–137.</w:t>
      </w:r>
    </w:p>
    <w:p w14:paraId="0756F85D"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Oakshott, L. (2020). </w:t>
      </w:r>
      <w:r w:rsidRPr="004B1FA5">
        <w:rPr>
          <w:rFonts w:ascii="Times New Roman" w:eastAsia="Times New Roman" w:hAnsi="Times New Roman" w:cs="Times New Roman"/>
          <w:i/>
          <w:iCs/>
          <w:kern w:val="0"/>
        </w:rPr>
        <w:t>Essential Quantitative Methods : for business, Management and Finance</w:t>
      </w:r>
      <w:r w:rsidRPr="004B1FA5">
        <w:rPr>
          <w:rFonts w:ascii="Times New Roman" w:eastAsia="Times New Roman" w:hAnsi="Times New Roman" w:cs="Times New Roman"/>
          <w:kern w:val="0"/>
        </w:rPr>
        <w:t>. London Macmillan International ; Red Globe Press.</w:t>
      </w:r>
    </w:p>
    <w:p w14:paraId="2E82BD49"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Orobia, L.A., Nakibuuka, J., Bananuka, J. and Akisimire, R. (2020). Inventory Management, Managerial Competence and Financial Performance of Small Businesses. </w:t>
      </w:r>
      <w:r w:rsidRPr="004B1FA5">
        <w:rPr>
          <w:rFonts w:ascii="Times New Roman" w:eastAsia="Times New Roman" w:hAnsi="Times New Roman" w:cs="Times New Roman"/>
          <w:i/>
          <w:iCs/>
          <w:kern w:val="0"/>
        </w:rPr>
        <w:t>Journal of Accounting in Emerging Economies</w:t>
      </w:r>
      <w:r w:rsidRPr="004B1FA5">
        <w:rPr>
          <w:rFonts w:ascii="Times New Roman" w:eastAsia="Times New Roman" w:hAnsi="Times New Roman" w:cs="Times New Roman"/>
          <w:kern w:val="0"/>
        </w:rPr>
        <w:t>, 10(3), pp.379–398.</w:t>
      </w:r>
    </w:p>
    <w:p w14:paraId="68A46785"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Palasciano, A. (2025). </w:t>
      </w:r>
      <w:r w:rsidRPr="004B1FA5">
        <w:rPr>
          <w:rFonts w:ascii="Times New Roman" w:eastAsia="Times New Roman" w:hAnsi="Times New Roman" w:cs="Times New Roman"/>
          <w:i/>
          <w:iCs/>
          <w:kern w:val="0"/>
        </w:rPr>
        <w:t>What is net profit margin? Formula for calculation and examples</w:t>
      </w:r>
      <w:r w:rsidRPr="004B1FA5">
        <w:rPr>
          <w:rFonts w:ascii="Times New Roman" w:eastAsia="Times New Roman" w:hAnsi="Times New Roman" w:cs="Times New Roman"/>
          <w:kern w:val="0"/>
        </w:rPr>
        <w:t xml:space="preserve">. [online] Investopedia. Available at: </w:t>
      </w:r>
      <w:hyperlink r:id="rId22" w:history="1">
        <w:r w:rsidRPr="004B1FA5">
          <w:rPr>
            <w:rFonts w:ascii="Times New Roman" w:eastAsia="Times New Roman" w:hAnsi="Times New Roman" w:cs="Times New Roman"/>
            <w:kern w:val="0"/>
          </w:rPr>
          <w:t>https://www.investopedia.com/terms/n/net_margin.asp</w:t>
        </w:r>
      </w:hyperlink>
      <w:r w:rsidRPr="004B1FA5">
        <w:rPr>
          <w:rFonts w:ascii="Times New Roman" w:eastAsia="Times New Roman" w:hAnsi="Times New Roman" w:cs="Times New Roman"/>
          <w:kern w:val="0"/>
        </w:rPr>
        <w:t>.</w:t>
      </w:r>
    </w:p>
    <w:p w14:paraId="06243688"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Palepu, K.G. and Healy, P.M. (2020). </w:t>
      </w:r>
      <w:r w:rsidRPr="004B1FA5">
        <w:rPr>
          <w:rFonts w:ascii="Times New Roman" w:eastAsia="Times New Roman" w:hAnsi="Times New Roman" w:cs="Times New Roman"/>
          <w:i/>
          <w:iCs/>
          <w:kern w:val="0"/>
        </w:rPr>
        <w:t>Business Analysis &amp; Valuation : Using Financial Statements</w:t>
      </w:r>
      <w:r w:rsidRPr="004B1FA5">
        <w:rPr>
          <w:rFonts w:ascii="Times New Roman" w:eastAsia="Times New Roman" w:hAnsi="Times New Roman" w:cs="Times New Roman"/>
          <w:kern w:val="0"/>
        </w:rPr>
        <w:t>. Mason, Ohio: South-Western.</w:t>
      </w:r>
    </w:p>
    <w:p w14:paraId="364CB162"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Palmer, J.E. (2018). </w:t>
      </w:r>
      <w:r w:rsidRPr="004B1FA5">
        <w:rPr>
          <w:rFonts w:ascii="Times New Roman" w:eastAsia="Times New Roman" w:hAnsi="Times New Roman" w:cs="Times New Roman"/>
          <w:i/>
          <w:iCs/>
          <w:kern w:val="0"/>
        </w:rPr>
        <w:t>Financial ratio analysis</w:t>
      </w:r>
      <w:r w:rsidRPr="004B1FA5">
        <w:rPr>
          <w:rFonts w:ascii="Times New Roman" w:eastAsia="Times New Roman" w:hAnsi="Times New Roman" w:cs="Times New Roman"/>
          <w:kern w:val="0"/>
        </w:rPr>
        <w:t>. New York, N.Y.: American Institute Of Certified Public Accountants.</w:t>
      </w:r>
    </w:p>
    <w:p w14:paraId="373DDC5C"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Sanzo, R. (2005). </w:t>
      </w:r>
      <w:r w:rsidRPr="004B1FA5">
        <w:rPr>
          <w:rFonts w:ascii="Times New Roman" w:eastAsia="Times New Roman" w:hAnsi="Times New Roman" w:cs="Times New Roman"/>
          <w:i/>
          <w:iCs/>
          <w:kern w:val="0"/>
        </w:rPr>
        <w:t>Ratio analysis for small business.</w:t>
      </w:r>
      <w:r w:rsidRPr="004B1FA5">
        <w:rPr>
          <w:rFonts w:ascii="Times New Roman" w:eastAsia="Times New Roman" w:hAnsi="Times New Roman" w:cs="Times New Roman"/>
          <w:kern w:val="0"/>
        </w:rPr>
        <w:t xml:space="preserve"> New York: Books For Business.</w:t>
      </w:r>
    </w:p>
    <w:p w14:paraId="5B3B9481"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Schmidt, J. (2022). </w:t>
      </w:r>
      <w:r w:rsidRPr="004B1FA5">
        <w:rPr>
          <w:rFonts w:ascii="Times New Roman" w:eastAsia="Times New Roman" w:hAnsi="Times New Roman" w:cs="Times New Roman"/>
          <w:i/>
          <w:iCs/>
          <w:kern w:val="0"/>
        </w:rPr>
        <w:t>Earnings Per Share Formula (EPS)</w:t>
      </w:r>
      <w:r w:rsidRPr="004B1FA5">
        <w:rPr>
          <w:rFonts w:ascii="Times New Roman" w:eastAsia="Times New Roman" w:hAnsi="Times New Roman" w:cs="Times New Roman"/>
          <w:kern w:val="0"/>
        </w:rPr>
        <w:t xml:space="preserve">. [online] Corporate Finance Institute. Available at: </w:t>
      </w:r>
      <w:hyperlink r:id="rId23" w:history="1">
        <w:r w:rsidRPr="004B1FA5">
          <w:rPr>
            <w:rFonts w:ascii="Times New Roman" w:eastAsia="Times New Roman" w:hAnsi="Times New Roman" w:cs="Times New Roman"/>
            <w:kern w:val="0"/>
          </w:rPr>
          <w:t>https://corporatefinanceinstitute.com/resources/valuation/earnings-per-share-eps-formula/</w:t>
        </w:r>
      </w:hyperlink>
      <w:r w:rsidRPr="004B1FA5">
        <w:rPr>
          <w:rFonts w:ascii="Times New Roman" w:eastAsia="Times New Roman" w:hAnsi="Times New Roman" w:cs="Times New Roman"/>
          <w:kern w:val="0"/>
        </w:rPr>
        <w:t>.</w:t>
      </w:r>
    </w:p>
    <w:p w14:paraId="17BD05F6"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Spring, D. (2018). </w:t>
      </w:r>
      <w:r w:rsidRPr="004B1FA5">
        <w:rPr>
          <w:rFonts w:ascii="Times New Roman" w:eastAsia="Times New Roman" w:hAnsi="Times New Roman" w:cs="Times New Roman"/>
          <w:i/>
          <w:iCs/>
          <w:kern w:val="0"/>
        </w:rPr>
        <w:t>An examination of NPV regulation</w:t>
      </w:r>
      <w:r w:rsidRPr="004B1FA5">
        <w:rPr>
          <w:rFonts w:ascii="Times New Roman" w:eastAsia="Times New Roman" w:hAnsi="Times New Roman" w:cs="Times New Roman"/>
          <w:kern w:val="0"/>
        </w:rPr>
        <w:t>. London: Chartered Institute Of Public Finance &amp; Accountancy.</w:t>
      </w:r>
    </w:p>
    <w:p w14:paraId="499A73D3"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Surridge, M. (2022). </w:t>
      </w:r>
      <w:r w:rsidRPr="004B1FA5">
        <w:rPr>
          <w:rFonts w:ascii="Times New Roman" w:eastAsia="Times New Roman" w:hAnsi="Times New Roman" w:cs="Times New Roman"/>
          <w:i/>
          <w:iCs/>
          <w:kern w:val="0"/>
        </w:rPr>
        <w:t>The business environment</w:t>
      </w:r>
      <w:r w:rsidRPr="004B1FA5">
        <w:rPr>
          <w:rFonts w:ascii="Times New Roman" w:eastAsia="Times New Roman" w:hAnsi="Times New Roman" w:cs="Times New Roman"/>
          <w:kern w:val="0"/>
        </w:rPr>
        <w:t>. 4th ed. London: Collinseducational.</w:t>
      </w:r>
    </w:p>
    <w:p w14:paraId="455A4E1A"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Thomas, C.W. (2022). </w:t>
      </w:r>
      <w:r w:rsidRPr="004B1FA5">
        <w:rPr>
          <w:rFonts w:ascii="Times New Roman" w:eastAsia="Times New Roman" w:hAnsi="Times New Roman" w:cs="Times New Roman"/>
          <w:i/>
          <w:iCs/>
          <w:kern w:val="0"/>
        </w:rPr>
        <w:t>Financial Accounting</w:t>
      </w:r>
      <w:r w:rsidRPr="004B1FA5">
        <w:rPr>
          <w:rFonts w:ascii="Times New Roman" w:eastAsia="Times New Roman" w:hAnsi="Times New Roman" w:cs="Times New Roman"/>
          <w:kern w:val="0"/>
        </w:rPr>
        <w:t>. New York: Pearson.</w:t>
      </w:r>
    </w:p>
    <w:p w14:paraId="34731D3A" w14:textId="77777777" w:rsidR="004B1FA5" w:rsidRPr="004B1FA5" w:rsidRDefault="004B1FA5" w:rsidP="004B1FA5">
      <w:pPr>
        <w:widowControl w:val="0"/>
        <w:autoSpaceDE w:val="0"/>
        <w:autoSpaceDN w:val="0"/>
        <w:adjustRightInd w:val="0"/>
        <w:spacing w:after="240" w:line="360" w:lineRule="auto"/>
        <w:rPr>
          <w:rFonts w:ascii="Times New Roman" w:eastAsia="Times New Roman" w:hAnsi="Times New Roman" w:cs="Times New Roman"/>
          <w:kern w:val="0"/>
        </w:rPr>
      </w:pPr>
      <w:r w:rsidRPr="004B1FA5">
        <w:rPr>
          <w:rFonts w:ascii="Times New Roman" w:eastAsia="Times New Roman" w:hAnsi="Times New Roman" w:cs="Times New Roman"/>
          <w:kern w:val="0"/>
        </w:rPr>
        <w:t xml:space="preserve">Wright, D. and Slaybaugh, C.J. (2020). </w:t>
      </w:r>
      <w:r w:rsidRPr="004B1FA5">
        <w:rPr>
          <w:rFonts w:ascii="Times New Roman" w:eastAsia="Times New Roman" w:hAnsi="Times New Roman" w:cs="Times New Roman"/>
          <w:i/>
          <w:iCs/>
          <w:kern w:val="0"/>
        </w:rPr>
        <w:t>Inventory management.</w:t>
      </w:r>
      <w:r w:rsidRPr="004B1FA5">
        <w:rPr>
          <w:rFonts w:ascii="Times New Roman" w:eastAsia="Times New Roman" w:hAnsi="Times New Roman" w:cs="Times New Roman"/>
          <w:kern w:val="0"/>
        </w:rPr>
        <w:t xml:space="preserve"> Wellington, N.Z.: Cost And Management Accounting Division, New Zealand Society Of Accountants.</w:t>
      </w:r>
    </w:p>
    <w:p w14:paraId="3D81FD05" w14:textId="77777777" w:rsidR="004B1FA5" w:rsidRPr="00A47C0F" w:rsidRDefault="004B1FA5" w:rsidP="00A47C0F">
      <w:pPr>
        <w:spacing w:line="360" w:lineRule="auto"/>
        <w:jc w:val="both"/>
        <w:rPr>
          <w:rFonts w:ascii="Times New Roman" w:hAnsi="Times New Roman" w:cs="Times New Roman"/>
        </w:rPr>
      </w:pPr>
    </w:p>
    <w:p w14:paraId="782550C9" w14:textId="7048F3B3" w:rsidR="003968C4" w:rsidRPr="003968C4" w:rsidRDefault="003968C4" w:rsidP="001F5376">
      <w:pPr>
        <w:pStyle w:val="Heading1"/>
      </w:pPr>
      <w:bookmarkStart w:id="46" w:name="_Toc219038150"/>
      <w:r w:rsidRPr="003968C4">
        <w:lastRenderedPageBreak/>
        <w:t>APPENDIX – PART 1</w:t>
      </w:r>
      <w:bookmarkEnd w:id="46"/>
    </w:p>
    <w:p w14:paraId="4A993956"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i/>
          <w:iCs/>
        </w:rPr>
        <w:t>(All figures £ million unless stated otherwise)</w:t>
      </w:r>
    </w:p>
    <w:p w14:paraId="73397E11"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1. Profitability Ratios</w:t>
      </w:r>
    </w:p>
    <w:p w14:paraId="7FA64C9B"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1.1 Gross Profit Margin</w:t>
      </w:r>
    </w:p>
    <w:p w14:paraId="29D5CF05"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Gross Profit / Revenue * 100</w:t>
      </w:r>
    </w:p>
    <w:p w14:paraId="0A73BE46"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xml:space="preserve">Gross Profit = 57,738 − 53,118 = </w:t>
      </w:r>
      <w:r w:rsidRPr="003968C4">
        <w:rPr>
          <w:rFonts w:ascii="Times New Roman" w:hAnsi="Times New Roman" w:cs="Times New Roman"/>
          <w:b/>
          <w:bCs/>
        </w:rPr>
        <w:t>4,620</w:t>
      </w:r>
      <w:r w:rsidRPr="003968C4">
        <w:rPr>
          <w:rFonts w:ascii="Times New Roman" w:hAnsi="Times New Roman" w:cs="Times New Roman"/>
        </w:rPr>
        <w:br/>
        <w:t>Gross Profit Margin = (4,620 / 57,738) * 100</w:t>
      </w:r>
      <w:r w:rsidRPr="003968C4">
        <w:rPr>
          <w:rFonts w:ascii="Times New Roman" w:hAnsi="Times New Roman" w:cs="Times New Roman"/>
        </w:rPr>
        <w:br/>
        <w:t xml:space="preserve">= </w:t>
      </w:r>
      <w:r w:rsidRPr="003968C4">
        <w:rPr>
          <w:rFonts w:ascii="Times New Roman" w:hAnsi="Times New Roman" w:cs="Times New Roman"/>
          <w:b/>
          <w:bCs/>
        </w:rPr>
        <w:t>8.00%</w:t>
      </w:r>
    </w:p>
    <w:p w14:paraId="15573389"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xml:space="preserve">Gross Profit = 61,528 − 56,404 = </w:t>
      </w:r>
      <w:r w:rsidRPr="003968C4">
        <w:rPr>
          <w:rFonts w:ascii="Times New Roman" w:hAnsi="Times New Roman" w:cs="Times New Roman"/>
          <w:b/>
          <w:bCs/>
        </w:rPr>
        <w:t>5,124</w:t>
      </w:r>
      <w:r w:rsidRPr="003968C4">
        <w:rPr>
          <w:rFonts w:ascii="Times New Roman" w:hAnsi="Times New Roman" w:cs="Times New Roman"/>
        </w:rPr>
        <w:br/>
        <w:t>Gross Profit Margin = (5,124 / 61,528) * 100</w:t>
      </w:r>
      <w:r w:rsidRPr="003968C4">
        <w:rPr>
          <w:rFonts w:ascii="Times New Roman" w:hAnsi="Times New Roman" w:cs="Times New Roman"/>
        </w:rPr>
        <w:br/>
        <w:t xml:space="preserve">= </w:t>
      </w:r>
      <w:r w:rsidRPr="003968C4">
        <w:rPr>
          <w:rFonts w:ascii="Times New Roman" w:hAnsi="Times New Roman" w:cs="Times New Roman"/>
          <w:b/>
          <w:bCs/>
        </w:rPr>
        <w:t>8.33%</w:t>
      </w:r>
    </w:p>
    <w:p w14:paraId="4D60D9C6"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1.2 Operating Profit Margin</w:t>
      </w:r>
    </w:p>
    <w:p w14:paraId="178F53F4"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Operating Profit / Revenue * 100</w:t>
      </w:r>
    </w:p>
    <w:p w14:paraId="70947501"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(2,761 / 57,738) * 100</w:t>
      </w:r>
      <w:r w:rsidRPr="003968C4">
        <w:rPr>
          <w:rFonts w:ascii="Times New Roman" w:hAnsi="Times New Roman" w:cs="Times New Roman"/>
        </w:rPr>
        <w:br/>
        <w:t xml:space="preserve">= </w:t>
      </w:r>
      <w:r w:rsidRPr="003968C4">
        <w:rPr>
          <w:rFonts w:ascii="Times New Roman" w:hAnsi="Times New Roman" w:cs="Times New Roman"/>
          <w:b/>
          <w:bCs/>
        </w:rPr>
        <w:t>4.78%</w:t>
      </w:r>
    </w:p>
    <w:p w14:paraId="0A599E81"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(3,017 / 61,528) * 100</w:t>
      </w:r>
      <w:r w:rsidRPr="003968C4">
        <w:rPr>
          <w:rFonts w:ascii="Times New Roman" w:hAnsi="Times New Roman" w:cs="Times New Roman"/>
        </w:rPr>
        <w:br/>
        <w:t xml:space="preserve">= </w:t>
      </w:r>
      <w:r w:rsidRPr="003968C4">
        <w:rPr>
          <w:rFonts w:ascii="Times New Roman" w:hAnsi="Times New Roman" w:cs="Times New Roman"/>
          <w:b/>
          <w:bCs/>
        </w:rPr>
        <w:t>4.90%</w:t>
      </w:r>
    </w:p>
    <w:p w14:paraId="2B226726"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1.3 Net Profit Margin</w:t>
      </w:r>
    </w:p>
    <w:p w14:paraId="61DBDDB1"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Profit After Tax / Revenue * 100</w:t>
      </w:r>
    </w:p>
    <w:p w14:paraId="4AD4B4AE"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lastRenderedPageBreak/>
        <w:t>2024:</w:t>
      </w:r>
      <w:r w:rsidRPr="003968C4">
        <w:rPr>
          <w:rFonts w:ascii="Times New Roman" w:hAnsi="Times New Roman" w:cs="Times New Roman"/>
        </w:rPr>
        <w:br/>
        <w:t>= (2,042 / 57,738) * 100</w:t>
      </w:r>
      <w:r w:rsidRPr="003968C4">
        <w:rPr>
          <w:rFonts w:ascii="Times New Roman" w:hAnsi="Times New Roman" w:cs="Times New Roman"/>
        </w:rPr>
        <w:br/>
        <w:t xml:space="preserve">= </w:t>
      </w:r>
      <w:r w:rsidRPr="003968C4">
        <w:rPr>
          <w:rFonts w:ascii="Times New Roman" w:hAnsi="Times New Roman" w:cs="Times New Roman"/>
          <w:b/>
          <w:bCs/>
        </w:rPr>
        <w:t>3.54%</w:t>
      </w:r>
    </w:p>
    <w:p w14:paraId="5D2447D5"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(2,270 / 61,528) * 100</w:t>
      </w:r>
      <w:r w:rsidRPr="003968C4">
        <w:rPr>
          <w:rFonts w:ascii="Times New Roman" w:hAnsi="Times New Roman" w:cs="Times New Roman"/>
        </w:rPr>
        <w:br/>
        <w:t xml:space="preserve">= </w:t>
      </w:r>
      <w:r w:rsidRPr="003968C4">
        <w:rPr>
          <w:rFonts w:ascii="Times New Roman" w:hAnsi="Times New Roman" w:cs="Times New Roman"/>
          <w:b/>
          <w:bCs/>
        </w:rPr>
        <w:t>3.69%</w:t>
      </w:r>
    </w:p>
    <w:p w14:paraId="53E4A14D"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2. Return Ratios</w:t>
      </w:r>
    </w:p>
    <w:p w14:paraId="050CE889"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2.1 Return on Capital Employed (ROCE)</w:t>
      </w:r>
    </w:p>
    <w:p w14:paraId="5B416FEA"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Profit Before Interest and Tax / (Total Assets − Current Liabilities) * 100</w:t>
      </w:r>
    </w:p>
    <w:p w14:paraId="786F3AEC"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xml:space="preserve">Capital Employed = 52,164 − 30,507 = </w:t>
      </w:r>
      <w:r w:rsidRPr="003968C4">
        <w:rPr>
          <w:rFonts w:ascii="Times New Roman" w:hAnsi="Times New Roman" w:cs="Times New Roman"/>
          <w:b/>
          <w:bCs/>
        </w:rPr>
        <w:t>21,657</w:t>
      </w:r>
      <w:r w:rsidRPr="003968C4">
        <w:rPr>
          <w:rFonts w:ascii="Times New Roman" w:hAnsi="Times New Roman" w:cs="Times New Roman"/>
        </w:rPr>
        <w:br/>
        <w:t>ROCE = (2,761 / 21,657) * 100</w:t>
      </w:r>
      <w:r w:rsidRPr="003968C4">
        <w:rPr>
          <w:rFonts w:ascii="Times New Roman" w:hAnsi="Times New Roman" w:cs="Times New Roman"/>
        </w:rPr>
        <w:br/>
        <w:t xml:space="preserve">= </w:t>
      </w:r>
      <w:r w:rsidRPr="003968C4">
        <w:rPr>
          <w:rFonts w:ascii="Times New Roman" w:hAnsi="Times New Roman" w:cs="Times New Roman"/>
          <w:b/>
          <w:bCs/>
        </w:rPr>
        <w:t>12.75%</w:t>
      </w:r>
    </w:p>
    <w:p w14:paraId="5E34648C"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xml:space="preserve">Capital Employed = 54,941 − 32,111 = </w:t>
      </w:r>
      <w:r w:rsidRPr="003968C4">
        <w:rPr>
          <w:rFonts w:ascii="Times New Roman" w:hAnsi="Times New Roman" w:cs="Times New Roman"/>
          <w:b/>
          <w:bCs/>
        </w:rPr>
        <w:t>22,830</w:t>
      </w:r>
      <w:r w:rsidRPr="003968C4">
        <w:rPr>
          <w:rFonts w:ascii="Times New Roman" w:hAnsi="Times New Roman" w:cs="Times New Roman"/>
        </w:rPr>
        <w:br/>
        <w:t>ROCE = (3,017 / 22,830) * 100</w:t>
      </w:r>
      <w:r w:rsidRPr="003968C4">
        <w:rPr>
          <w:rFonts w:ascii="Times New Roman" w:hAnsi="Times New Roman" w:cs="Times New Roman"/>
        </w:rPr>
        <w:br/>
        <w:t xml:space="preserve">= </w:t>
      </w:r>
      <w:r w:rsidRPr="003968C4">
        <w:rPr>
          <w:rFonts w:ascii="Times New Roman" w:hAnsi="Times New Roman" w:cs="Times New Roman"/>
          <w:b/>
          <w:bCs/>
        </w:rPr>
        <w:t>13.21%</w:t>
      </w:r>
    </w:p>
    <w:p w14:paraId="1B022F98"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2.2 Return on Equity (ROE)</w:t>
      </w:r>
    </w:p>
    <w:p w14:paraId="3DE8A0CD"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Profit After Tax / Shareholders’ Equity * 100</w:t>
      </w:r>
    </w:p>
    <w:p w14:paraId="206DB65C"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(2,042 / 10,716) * 100</w:t>
      </w:r>
      <w:r w:rsidRPr="003968C4">
        <w:rPr>
          <w:rFonts w:ascii="Times New Roman" w:hAnsi="Times New Roman" w:cs="Times New Roman"/>
        </w:rPr>
        <w:br/>
        <w:t xml:space="preserve">= </w:t>
      </w:r>
      <w:r w:rsidRPr="003968C4">
        <w:rPr>
          <w:rFonts w:ascii="Times New Roman" w:hAnsi="Times New Roman" w:cs="Times New Roman"/>
          <w:b/>
          <w:bCs/>
        </w:rPr>
        <w:t>19.06%</w:t>
      </w:r>
    </w:p>
    <w:p w14:paraId="2BF9B1C1"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(2,270 / 11,592) * 100</w:t>
      </w:r>
      <w:r w:rsidRPr="003968C4">
        <w:rPr>
          <w:rFonts w:ascii="Times New Roman" w:hAnsi="Times New Roman" w:cs="Times New Roman"/>
        </w:rPr>
        <w:br/>
        <w:t xml:space="preserve">= </w:t>
      </w:r>
      <w:r w:rsidRPr="003968C4">
        <w:rPr>
          <w:rFonts w:ascii="Times New Roman" w:hAnsi="Times New Roman" w:cs="Times New Roman"/>
          <w:b/>
          <w:bCs/>
        </w:rPr>
        <w:t>19.58%</w:t>
      </w:r>
    </w:p>
    <w:p w14:paraId="2524F3C9"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lastRenderedPageBreak/>
        <w:t>3. Liquidity Ratios</w:t>
      </w:r>
    </w:p>
    <w:p w14:paraId="15A9221D"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3.1 Current Ratio</w:t>
      </w:r>
    </w:p>
    <w:p w14:paraId="148E7FF0"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Current Assets / Current Liabilities</w:t>
      </w:r>
    </w:p>
    <w:p w14:paraId="39CEE604"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18,198 / 30,507</w:t>
      </w:r>
      <w:r w:rsidRPr="003968C4">
        <w:rPr>
          <w:rFonts w:ascii="Times New Roman" w:hAnsi="Times New Roman" w:cs="Times New Roman"/>
        </w:rPr>
        <w:br/>
        <w:t xml:space="preserve">= </w:t>
      </w:r>
      <w:r w:rsidRPr="003968C4">
        <w:rPr>
          <w:rFonts w:ascii="Times New Roman" w:hAnsi="Times New Roman" w:cs="Times New Roman"/>
          <w:b/>
          <w:bCs/>
        </w:rPr>
        <w:t>0.60 : 1</w:t>
      </w:r>
    </w:p>
    <w:p w14:paraId="515AFA66"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20,021 / 32,111</w:t>
      </w:r>
      <w:r w:rsidRPr="003968C4">
        <w:rPr>
          <w:rFonts w:ascii="Times New Roman" w:hAnsi="Times New Roman" w:cs="Times New Roman"/>
        </w:rPr>
        <w:br/>
        <w:t xml:space="preserve">= </w:t>
      </w:r>
      <w:r w:rsidRPr="003968C4">
        <w:rPr>
          <w:rFonts w:ascii="Times New Roman" w:hAnsi="Times New Roman" w:cs="Times New Roman"/>
          <w:b/>
          <w:bCs/>
        </w:rPr>
        <w:t>0.62 : 1</w:t>
      </w:r>
    </w:p>
    <w:p w14:paraId="2A44F7D1"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3.2 Quick Ratio</w:t>
      </w:r>
    </w:p>
    <w:p w14:paraId="32E3E1D2"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(Current Assets − Inventory) / Current Liabilities</w:t>
      </w:r>
    </w:p>
    <w:p w14:paraId="6B5B0768"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(18,198 − 3,240) / 30,507</w:t>
      </w:r>
      <w:r w:rsidRPr="003968C4">
        <w:rPr>
          <w:rFonts w:ascii="Times New Roman" w:hAnsi="Times New Roman" w:cs="Times New Roman"/>
        </w:rPr>
        <w:br/>
        <w:t>= 14,958 / 30,507</w:t>
      </w:r>
      <w:r w:rsidRPr="003968C4">
        <w:rPr>
          <w:rFonts w:ascii="Times New Roman" w:hAnsi="Times New Roman" w:cs="Times New Roman"/>
        </w:rPr>
        <w:br/>
        <w:t xml:space="preserve">= </w:t>
      </w:r>
      <w:r w:rsidRPr="003968C4">
        <w:rPr>
          <w:rFonts w:ascii="Times New Roman" w:hAnsi="Times New Roman" w:cs="Times New Roman"/>
          <w:b/>
          <w:bCs/>
        </w:rPr>
        <w:t>0.49 : 1</w:t>
      </w:r>
    </w:p>
    <w:p w14:paraId="1E3823FC"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(20,021 − 3,487) / 32,111</w:t>
      </w:r>
      <w:r w:rsidRPr="003968C4">
        <w:rPr>
          <w:rFonts w:ascii="Times New Roman" w:hAnsi="Times New Roman" w:cs="Times New Roman"/>
        </w:rPr>
        <w:br/>
        <w:t>= 16,534 / 32,111</w:t>
      </w:r>
      <w:r w:rsidRPr="003968C4">
        <w:rPr>
          <w:rFonts w:ascii="Times New Roman" w:hAnsi="Times New Roman" w:cs="Times New Roman"/>
        </w:rPr>
        <w:br/>
        <w:t xml:space="preserve">= </w:t>
      </w:r>
      <w:r w:rsidRPr="003968C4">
        <w:rPr>
          <w:rFonts w:ascii="Times New Roman" w:hAnsi="Times New Roman" w:cs="Times New Roman"/>
          <w:b/>
          <w:bCs/>
        </w:rPr>
        <w:t>0.51 : 1</w:t>
      </w:r>
    </w:p>
    <w:p w14:paraId="6AC9301E"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4. Efficiency Ratios</w:t>
      </w:r>
    </w:p>
    <w:p w14:paraId="4347EA3B"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4.1 Inventory Days</w:t>
      </w:r>
    </w:p>
    <w:p w14:paraId="38F1B2AD"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Inventory / Cost of Sales * 365</w:t>
      </w:r>
    </w:p>
    <w:p w14:paraId="2B605723"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lastRenderedPageBreak/>
        <w:t>2024:</w:t>
      </w:r>
      <w:r w:rsidRPr="003968C4">
        <w:rPr>
          <w:rFonts w:ascii="Times New Roman" w:hAnsi="Times New Roman" w:cs="Times New Roman"/>
        </w:rPr>
        <w:br/>
        <w:t>= (3,240 / 53,118) * 365</w:t>
      </w:r>
      <w:r w:rsidRPr="003968C4">
        <w:rPr>
          <w:rFonts w:ascii="Times New Roman" w:hAnsi="Times New Roman" w:cs="Times New Roman"/>
        </w:rPr>
        <w:br/>
        <w:t xml:space="preserve">= </w:t>
      </w:r>
      <w:r w:rsidRPr="003968C4">
        <w:rPr>
          <w:rFonts w:ascii="Times New Roman" w:hAnsi="Times New Roman" w:cs="Times New Roman"/>
          <w:b/>
          <w:bCs/>
        </w:rPr>
        <w:t>22.3 days</w:t>
      </w:r>
    </w:p>
    <w:p w14:paraId="29FBADB6"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(3,487 / 56,404) * 365</w:t>
      </w:r>
      <w:r w:rsidRPr="003968C4">
        <w:rPr>
          <w:rFonts w:ascii="Times New Roman" w:hAnsi="Times New Roman" w:cs="Times New Roman"/>
        </w:rPr>
        <w:br/>
        <w:t xml:space="preserve">= </w:t>
      </w:r>
      <w:r w:rsidRPr="003968C4">
        <w:rPr>
          <w:rFonts w:ascii="Times New Roman" w:hAnsi="Times New Roman" w:cs="Times New Roman"/>
          <w:b/>
          <w:bCs/>
        </w:rPr>
        <w:t>22.6 days</w:t>
      </w:r>
    </w:p>
    <w:p w14:paraId="3743EA59"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4.2 Receivables Days</w:t>
      </w:r>
    </w:p>
    <w:p w14:paraId="438219E5"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Receivables / Revenue * 365</w:t>
      </w:r>
    </w:p>
    <w:p w14:paraId="71283D8E"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(2,497 / 57,738) * 365</w:t>
      </w:r>
      <w:r w:rsidRPr="003968C4">
        <w:rPr>
          <w:rFonts w:ascii="Times New Roman" w:hAnsi="Times New Roman" w:cs="Times New Roman"/>
        </w:rPr>
        <w:br/>
        <w:t xml:space="preserve">= </w:t>
      </w:r>
      <w:r w:rsidRPr="003968C4">
        <w:rPr>
          <w:rFonts w:ascii="Times New Roman" w:hAnsi="Times New Roman" w:cs="Times New Roman"/>
          <w:b/>
          <w:bCs/>
        </w:rPr>
        <w:t>15.8 days</w:t>
      </w:r>
    </w:p>
    <w:p w14:paraId="2FCE68D9"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(2,846 / 61,528) * 365</w:t>
      </w:r>
      <w:r w:rsidRPr="003968C4">
        <w:rPr>
          <w:rFonts w:ascii="Times New Roman" w:hAnsi="Times New Roman" w:cs="Times New Roman"/>
        </w:rPr>
        <w:br/>
        <w:t xml:space="preserve">= </w:t>
      </w:r>
      <w:r w:rsidRPr="003968C4">
        <w:rPr>
          <w:rFonts w:ascii="Times New Roman" w:hAnsi="Times New Roman" w:cs="Times New Roman"/>
          <w:b/>
          <w:bCs/>
        </w:rPr>
        <w:t>16.9 days</w:t>
      </w:r>
    </w:p>
    <w:p w14:paraId="1C9914D7"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4.3 Payables Days</w:t>
      </w:r>
    </w:p>
    <w:p w14:paraId="37C144F0"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i/>
          <w:iCs/>
        </w:rPr>
        <w:t>(Cost of sales used as proxy for purchases)</w:t>
      </w:r>
    </w:p>
    <w:p w14:paraId="0C7E73F2"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Trade Payables / Cost of Sales * 365</w:t>
      </w:r>
    </w:p>
    <w:p w14:paraId="6A32CCB3"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(21,075 / 53,118) * 365</w:t>
      </w:r>
      <w:r w:rsidRPr="003968C4">
        <w:rPr>
          <w:rFonts w:ascii="Times New Roman" w:hAnsi="Times New Roman" w:cs="Times New Roman"/>
        </w:rPr>
        <w:br/>
        <w:t xml:space="preserve">= </w:t>
      </w:r>
      <w:r w:rsidRPr="003968C4">
        <w:rPr>
          <w:rFonts w:ascii="Times New Roman" w:hAnsi="Times New Roman" w:cs="Times New Roman"/>
          <w:b/>
          <w:bCs/>
        </w:rPr>
        <w:t>144.8 days</w:t>
      </w:r>
    </w:p>
    <w:p w14:paraId="39E3DB4D"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(22,745 / 56,404) * 365</w:t>
      </w:r>
      <w:r w:rsidRPr="003968C4">
        <w:rPr>
          <w:rFonts w:ascii="Times New Roman" w:hAnsi="Times New Roman" w:cs="Times New Roman"/>
        </w:rPr>
        <w:br/>
        <w:t xml:space="preserve">= </w:t>
      </w:r>
      <w:r w:rsidRPr="003968C4">
        <w:rPr>
          <w:rFonts w:ascii="Times New Roman" w:hAnsi="Times New Roman" w:cs="Times New Roman"/>
          <w:b/>
          <w:bCs/>
        </w:rPr>
        <w:t>147.2 days</w:t>
      </w:r>
    </w:p>
    <w:p w14:paraId="7560DE81"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5. Gearing and Solvency Ratios</w:t>
      </w:r>
    </w:p>
    <w:p w14:paraId="2044EA49"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5.1 Gearing Ratio</w:t>
      </w:r>
    </w:p>
    <w:p w14:paraId="0EDCA9E5"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lastRenderedPageBreak/>
        <w:t>Formula:</w:t>
      </w:r>
      <w:r w:rsidRPr="003968C4">
        <w:rPr>
          <w:rFonts w:ascii="Times New Roman" w:hAnsi="Times New Roman" w:cs="Times New Roman"/>
        </w:rPr>
        <w:br/>
        <w:t>Long-term Borrowings / (Long-term Borrowings + Shareholders’ Equity) * 100</w:t>
      </w:r>
    </w:p>
    <w:p w14:paraId="426E7295"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15,935 / (15,935 + 10,716) * 100</w:t>
      </w:r>
      <w:r w:rsidRPr="003968C4">
        <w:rPr>
          <w:rFonts w:ascii="Times New Roman" w:hAnsi="Times New Roman" w:cs="Times New Roman"/>
        </w:rPr>
        <w:br/>
        <w:t xml:space="preserve">= </w:t>
      </w:r>
      <w:r w:rsidRPr="003968C4">
        <w:rPr>
          <w:rFonts w:ascii="Times New Roman" w:hAnsi="Times New Roman" w:cs="Times New Roman"/>
          <w:b/>
          <w:bCs/>
        </w:rPr>
        <w:t>59.8%</w:t>
      </w:r>
    </w:p>
    <w:p w14:paraId="222EA768"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16,865 / (16,865 + 11,592) * 100</w:t>
      </w:r>
      <w:r w:rsidRPr="003968C4">
        <w:rPr>
          <w:rFonts w:ascii="Times New Roman" w:hAnsi="Times New Roman" w:cs="Times New Roman"/>
        </w:rPr>
        <w:br/>
        <w:t xml:space="preserve">= </w:t>
      </w:r>
      <w:r w:rsidRPr="003968C4">
        <w:rPr>
          <w:rFonts w:ascii="Times New Roman" w:hAnsi="Times New Roman" w:cs="Times New Roman"/>
          <w:b/>
          <w:bCs/>
        </w:rPr>
        <w:t>59.3%</w:t>
      </w:r>
    </w:p>
    <w:p w14:paraId="72D8FC1F"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5.2 Interest Cover</w:t>
      </w:r>
    </w:p>
    <w:p w14:paraId="094D2C13"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Profit Before Interest and Tax / Finance Costs</w:t>
      </w:r>
    </w:p>
    <w:p w14:paraId="70A07D49"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2,761 / 865</w:t>
      </w:r>
      <w:r w:rsidRPr="003968C4">
        <w:rPr>
          <w:rFonts w:ascii="Times New Roman" w:hAnsi="Times New Roman" w:cs="Times New Roman"/>
        </w:rPr>
        <w:br/>
        <w:t xml:space="preserve">= </w:t>
      </w:r>
      <w:r w:rsidRPr="003968C4">
        <w:rPr>
          <w:rFonts w:ascii="Times New Roman" w:hAnsi="Times New Roman" w:cs="Times New Roman"/>
          <w:b/>
          <w:bCs/>
        </w:rPr>
        <w:t>3.19 times</w:t>
      </w:r>
    </w:p>
    <w:p w14:paraId="57F3560D"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3,017 / 909</w:t>
      </w:r>
      <w:r w:rsidRPr="003968C4">
        <w:rPr>
          <w:rFonts w:ascii="Times New Roman" w:hAnsi="Times New Roman" w:cs="Times New Roman"/>
        </w:rPr>
        <w:br/>
        <w:t xml:space="preserve">= </w:t>
      </w:r>
      <w:r w:rsidRPr="003968C4">
        <w:rPr>
          <w:rFonts w:ascii="Times New Roman" w:hAnsi="Times New Roman" w:cs="Times New Roman"/>
          <w:b/>
          <w:bCs/>
        </w:rPr>
        <w:t>3.32 times</w:t>
      </w:r>
    </w:p>
    <w:p w14:paraId="2D39065E"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6. Investor Ratios</w:t>
      </w:r>
    </w:p>
    <w:p w14:paraId="7FB60F39"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6.1 Earnings Per Share (EPS)</w:t>
      </w:r>
    </w:p>
    <w:p w14:paraId="0672FE10"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Profit After Tax / Weighted Average Shares Outstanding</w:t>
      </w:r>
    </w:p>
    <w:p w14:paraId="04896523"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2,042 / 6,965</w:t>
      </w:r>
      <w:r w:rsidRPr="003968C4">
        <w:rPr>
          <w:rFonts w:ascii="Times New Roman" w:hAnsi="Times New Roman" w:cs="Times New Roman"/>
        </w:rPr>
        <w:br/>
        <w:t xml:space="preserve">= </w:t>
      </w:r>
      <w:r w:rsidRPr="003968C4">
        <w:rPr>
          <w:rFonts w:ascii="Times New Roman" w:hAnsi="Times New Roman" w:cs="Times New Roman"/>
          <w:b/>
          <w:bCs/>
        </w:rPr>
        <w:t>29.3 pence</w:t>
      </w:r>
    </w:p>
    <w:p w14:paraId="25F9A178"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2,270 / 6,880</w:t>
      </w:r>
      <w:r w:rsidRPr="003968C4">
        <w:rPr>
          <w:rFonts w:ascii="Times New Roman" w:hAnsi="Times New Roman" w:cs="Times New Roman"/>
        </w:rPr>
        <w:br/>
        <w:t xml:space="preserve">= </w:t>
      </w:r>
      <w:r w:rsidRPr="003968C4">
        <w:rPr>
          <w:rFonts w:ascii="Times New Roman" w:hAnsi="Times New Roman" w:cs="Times New Roman"/>
          <w:b/>
          <w:bCs/>
        </w:rPr>
        <w:t>33.0 pence</w:t>
      </w:r>
    </w:p>
    <w:p w14:paraId="74B44372"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lastRenderedPageBreak/>
        <w:t>6.2 Dividend Cover</w:t>
      </w:r>
    </w:p>
    <w:p w14:paraId="428C57DD"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Profit After Tax / Total Dividends Paid</w:t>
      </w:r>
    </w:p>
    <w:p w14:paraId="1D137F0C"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2,042 / 760</w:t>
      </w:r>
      <w:r w:rsidRPr="003968C4">
        <w:rPr>
          <w:rFonts w:ascii="Times New Roman" w:hAnsi="Times New Roman" w:cs="Times New Roman"/>
        </w:rPr>
        <w:br/>
        <w:t xml:space="preserve">= </w:t>
      </w:r>
      <w:r w:rsidRPr="003968C4">
        <w:rPr>
          <w:rFonts w:ascii="Times New Roman" w:hAnsi="Times New Roman" w:cs="Times New Roman"/>
          <w:b/>
          <w:bCs/>
        </w:rPr>
        <w:t>2.69 times</w:t>
      </w:r>
    </w:p>
    <w:p w14:paraId="0FFDA6F6"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2,270 / 826</w:t>
      </w:r>
      <w:r w:rsidRPr="003968C4">
        <w:rPr>
          <w:rFonts w:ascii="Times New Roman" w:hAnsi="Times New Roman" w:cs="Times New Roman"/>
        </w:rPr>
        <w:br/>
        <w:t xml:space="preserve">= </w:t>
      </w:r>
      <w:r w:rsidRPr="003968C4">
        <w:rPr>
          <w:rFonts w:ascii="Times New Roman" w:hAnsi="Times New Roman" w:cs="Times New Roman"/>
          <w:b/>
          <w:bCs/>
        </w:rPr>
        <w:t>2.75 times</w:t>
      </w:r>
    </w:p>
    <w:p w14:paraId="10FAD64E"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6.3 Dividend Yield</w:t>
      </w:r>
    </w:p>
    <w:p w14:paraId="01FC24E3"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Dividend Per Share / Market Price Per Share * 100</w:t>
      </w:r>
    </w:p>
    <w:p w14:paraId="411FD4EF"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10.9 / 250 * 100</w:t>
      </w:r>
      <w:r w:rsidRPr="003968C4">
        <w:rPr>
          <w:rFonts w:ascii="Times New Roman" w:hAnsi="Times New Roman" w:cs="Times New Roman"/>
        </w:rPr>
        <w:br/>
        <w:t xml:space="preserve">= </w:t>
      </w:r>
      <w:r w:rsidRPr="003968C4">
        <w:rPr>
          <w:rFonts w:ascii="Times New Roman" w:hAnsi="Times New Roman" w:cs="Times New Roman"/>
          <w:b/>
          <w:bCs/>
        </w:rPr>
        <w:t>4.36%</w:t>
      </w:r>
    </w:p>
    <w:p w14:paraId="7D389EB4"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12.0 / 270 * 100</w:t>
      </w:r>
      <w:r w:rsidRPr="003968C4">
        <w:rPr>
          <w:rFonts w:ascii="Times New Roman" w:hAnsi="Times New Roman" w:cs="Times New Roman"/>
        </w:rPr>
        <w:br/>
        <w:t xml:space="preserve">= </w:t>
      </w:r>
      <w:r w:rsidRPr="003968C4">
        <w:rPr>
          <w:rFonts w:ascii="Times New Roman" w:hAnsi="Times New Roman" w:cs="Times New Roman"/>
          <w:b/>
          <w:bCs/>
        </w:rPr>
        <w:t>4.44%</w:t>
      </w:r>
    </w:p>
    <w:p w14:paraId="002D53FC" w14:textId="77777777" w:rsidR="003968C4" w:rsidRPr="003968C4" w:rsidRDefault="003968C4" w:rsidP="003968C4">
      <w:pPr>
        <w:spacing w:line="360" w:lineRule="auto"/>
        <w:rPr>
          <w:rFonts w:ascii="Times New Roman" w:hAnsi="Times New Roman" w:cs="Times New Roman"/>
          <w:b/>
          <w:bCs/>
        </w:rPr>
      </w:pPr>
      <w:r w:rsidRPr="003968C4">
        <w:rPr>
          <w:rFonts w:ascii="Times New Roman" w:hAnsi="Times New Roman" w:cs="Times New Roman"/>
          <w:b/>
          <w:bCs/>
        </w:rPr>
        <w:t>6.4 Price / Earnings Ratio</w:t>
      </w:r>
    </w:p>
    <w:p w14:paraId="65FB8FEF"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Formula:</w:t>
      </w:r>
      <w:r w:rsidRPr="003968C4">
        <w:rPr>
          <w:rFonts w:ascii="Times New Roman" w:hAnsi="Times New Roman" w:cs="Times New Roman"/>
        </w:rPr>
        <w:br/>
        <w:t>Market Price Per Share / Earnings Per Share</w:t>
      </w:r>
    </w:p>
    <w:p w14:paraId="7ECDB62A"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2024:</w:t>
      </w:r>
      <w:r w:rsidRPr="003968C4">
        <w:rPr>
          <w:rFonts w:ascii="Times New Roman" w:hAnsi="Times New Roman" w:cs="Times New Roman"/>
        </w:rPr>
        <w:br/>
        <w:t>= 250 / 29.3</w:t>
      </w:r>
      <w:r w:rsidRPr="003968C4">
        <w:rPr>
          <w:rFonts w:ascii="Times New Roman" w:hAnsi="Times New Roman" w:cs="Times New Roman"/>
        </w:rPr>
        <w:br/>
        <w:t xml:space="preserve">= </w:t>
      </w:r>
      <w:r w:rsidRPr="003968C4">
        <w:rPr>
          <w:rFonts w:ascii="Times New Roman" w:hAnsi="Times New Roman" w:cs="Times New Roman"/>
          <w:b/>
          <w:bCs/>
        </w:rPr>
        <w:t>8.53 times</w:t>
      </w:r>
    </w:p>
    <w:p w14:paraId="34D25887" w14:textId="77777777" w:rsidR="003968C4" w:rsidRPr="003968C4" w:rsidRDefault="003968C4" w:rsidP="003968C4">
      <w:pPr>
        <w:spacing w:line="360" w:lineRule="auto"/>
        <w:rPr>
          <w:rFonts w:ascii="Times New Roman" w:hAnsi="Times New Roman" w:cs="Times New Roman"/>
        </w:rPr>
      </w:pPr>
      <w:r w:rsidRPr="003968C4">
        <w:rPr>
          <w:rFonts w:ascii="Times New Roman" w:hAnsi="Times New Roman" w:cs="Times New Roman"/>
          <w:b/>
          <w:bCs/>
        </w:rPr>
        <w:t>2025:</w:t>
      </w:r>
      <w:r w:rsidRPr="003968C4">
        <w:rPr>
          <w:rFonts w:ascii="Times New Roman" w:hAnsi="Times New Roman" w:cs="Times New Roman"/>
        </w:rPr>
        <w:br/>
        <w:t>= 270 / 33.0</w:t>
      </w:r>
      <w:r w:rsidRPr="003968C4">
        <w:rPr>
          <w:rFonts w:ascii="Times New Roman" w:hAnsi="Times New Roman" w:cs="Times New Roman"/>
        </w:rPr>
        <w:br/>
        <w:t xml:space="preserve">= </w:t>
      </w:r>
      <w:r w:rsidRPr="003968C4">
        <w:rPr>
          <w:rFonts w:ascii="Times New Roman" w:hAnsi="Times New Roman" w:cs="Times New Roman"/>
          <w:b/>
          <w:bCs/>
        </w:rPr>
        <w:t>8.18 times</w:t>
      </w:r>
    </w:p>
    <w:p w14:paraId="049B02D8" w14:textId="04AB8776" w:rsidR="003968C4" w:rsidRDefault="001F5376" w:rsidP="00F86D35">
      <w:pPr>
        <w:pStyle w:val="Heading1"/>
      </w:pPr>
      <w:bookmarkStart w:id="47" w:name="_Toc219038151"/>
      <w:r>
        <w:lastRenderedPageBreak/>
        <w:t>Appendix Part 2</w:t>
      </w:r>
      <w:bookmarkEnd w:id="47"/>
    </w:p>
    <w:p w14:paraId="12056956" w14:textId="6E18B425" w:rsidR="00F86D35" w:rsidRDefault="00F86D35" w:rsidP="003968C4">
      <w:pPr>
        <w:spacing w:line="360" w:lineRule="auto"/>
        <w:rPr>
          <w:rFonts w:ascii="Times New Roman" w:hAnsi="Times New Roman" w:cs="Times New Roman"/>
        </w:rPr>
      </w:pPr>
      <w:r w:rsidRPr="00F86D35">
        <w:rPr>
          <w:noProof/>
        </w:rPr>
        <w:drawing>
          <wp:inline distT="0" distB="0" distL="0" distR="0" wp14:anchorId="31FC09F3" wp14:editId="1763E36E">
            <wp:extent cx="1647825" cy="1155700"/>
            <wp:effectExtent l="0" t="0" r="9525" b="6350"/>
            <wp:docPr id="676193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47825" cy="1155700"/>
                    </a:xfrm>
                    <a:prstGeom prst="rect">
                      <a:avLst/>
                    </a:prstGeom>
                    <a:noFill/>
                    <a:ln>
                      <a:noFill/>
                    </a:ln>
                  </pic:spPr>
                </pic:pic>
              </a:graphicData>
            </a:graphic>
          </wp:inline>
        </w:drawing>
      </w:r>
    </w:p>
    <w:p w14:paraId="1E1B2E8D" w14:textId="6EFACD33" w:rsidR="00AC139B" w:rsidRPr="00AC139B" w:rsidRDefault="00AC139B" w:rsidP="003968C4">
      <w:pPr>
        <w:spacing w:line="360" w:lineRule="auto"/>
        <w:rPr>
          <w:rFonts w:ascii="Times New Roman" w:hAnsi="Times New Roman" w:cs="Times New Roman"/>
          <w:b/>
          <w:bCs/>
        </w:rPr>
      </w:pPr>
      <w:r w:rsidRPr="00AC139B">
        <w:rPr>
          <w:rFonts w:ascii="Times New Roman" w:hAnsi="Times New Roman" w:cs="Times New Roman"/>
          <w:b/>
          <w:bCs/>
        </w:rPr>
        <w:t>Option A NPV</w:t>
      </w:r>
    </w:p>
    <w:p w14:paraId="651C8A5F" w14:textId="6EE09652" w:rsidR="00AC139B" w:rsidRDefault="00AC139B" w:rsidP="003968C4">
      <w:pPr>
        <w:spacing w:line="360" w:lineRule="auto"/>
        <w:rPr>
          <w:rFonts w:ascii="Times New Roman" w:hAnsi="Times New Roman" w:cs="Times New Roman"/>
        </w:rPr>
      </w:pPr>
      <w:r w:rsidRPr="00AC139B">
        <w:rPr>
          <w:noProof/>
        </w:rPr>
        <w:drawing>
          <wp:inline distT="0" distB="0" distL="0" distR="0" wp14:anchorId="28B226F0" wp14:editId="01F6A9E6">
            <wp:extent cx="4916805" cy="1535430"/>
            <wp:effectExtent l="0" t="0" r="0" b="7620"/>
            <wp:docPr id="8482417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16805" cy="1535430"/>
                    </a:xfrm>
                    <a:prstGeom prst="rect">
                      <a:avLst/>
                    </a:prstGeom>
                    <a:noFill/>
                    <a:ln>
                      <a:noFill/>
                    </a:ln>
                  </pic:spPr>
                </pic:pic>
              </a:graphicData>
            </a:graphic>
          </wp:inline>
        </w:drawing>
      </w:r>
    </w:p>
    <w:p w14:paraId="7B8E610C" w14:textId="78D860DA" w:rsidR="00AC139B" w:rsidRPr="00AC139B" w:rsidRDefault="00AC139B" w:rsidP="003968C4">
      <w:pPr>
        <w:spacing w:line="360" w:lineRule="auto"/>
        <w:rPr>
          <w:rFonts w:ascii="Times New Roman" w:hAnsi="Times New Roman" w:cs="Times New Roman"/>
          <w:b/>
          <w:bCs/>
        </w:rPr>
      </w:pPr>
      <w:r w:rsidRPr="00AC139B">
        <w:rPr>
          <w:rFonts w:ascii="Times New Roman" w:hAnsi="Times New Roman" w:cs="Times New Roman"/>
          <w:b/>
          <w:bCs/>
        </w:rPr>
        <w:t>Option B NPV</w:t>
      </w:r>
    </w:p>
    <w:p w14:paraId="024040BC" w14:textId="3335B767" w:rsidR="00AC139B" w:rsidRDefault="006005C1" w:rsidP="003968C4">
      <w:pPr>
        <w:spacing w:line="360" w:lineRule="auto"/>
        <w:rPr>
          <w:rFonts w:ascii="Times New Roman" w:hAnsi="Times New Roman" w:cs="Times New Roman"/>
        </w:rPr>
      </w:pPr>
      <w:r w:rsidRPr="006005C1">
        <w:rPr>
          <w:noProof/>
        </w:rPr>
        <w:drawing>
          <wp:inline distT="0" distB="0" distL="0" distR="0" wp14:anchorId="37ABC85B" wp14:editId="08B8C3A1">
            <wp:extent cx="4399280" cy="1535430"/>
            <wp:effectExtent l="0" t="0" r="1270" b="7620"/>
            <wp:docPr id="15974409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99280" cy="1535430"/>
                    </a:xfrm>
                    <a:prstGeom prst="rect">
                      <a:avLst/>
                    </a:prstGeom>
                    <a:noFill/>
                    <a:ln>
                      <a:noFill/>
                    </a:ln>
                  </pic:spPr>
                </pic:pic>
              </a:graphicData>
            </a:graphic>
          </wp:inline>
        </w:drawing>
      </w:r>
    </w:p>
    <w:p w14:paraId="561CEEB0" w14:textId="3B4BA0CC" w:rsidR="008D6647" w:rsidRPr="00E35607" w:rsidRDefault="00E35607" w:rsidP="003968C4">
      <w:pPr>
        <w:spacing w:line="360" w:lineRule="auto"/>
        <w:rPr>
          <w:rFonts w:ascii="Times New Roman" w:hAnsi="Times New Roman" w:cs="Times New Roman"/>
          <w:b/>
          <w:bCs/>
        </w:rPr>
      </w:pPr>
      <w:r w:rsidRPr="00E35607">
        <w:rPr>
          <w:rFonts w:ascii="Times New Roman" w:hAnsi="Times New Roman" w:cs="Times New Roman"/>
          <w:b/>
          <w:bCs/>
        </w:rPr>
        <w:t>Option C NPV</w:t>
      </w:r>
    </w:p>
    <w:p w14:paraId="311FE684" w14:textId="4CC9B4D6" w:rsidR="00E35607" w:rsidRPr="003968C4" w:rsidRDefault="00E35607" w:rsidP="003968C4">
      <w:pPr>
        <w:spacing w:line="360" w:lineRule="auto"/>
        <w:rPr>
          <w:rFonts w:ascii="Times New Roman" w:hAnsi="Times New Roman" w:cs="Times New Roman"/>
        </w:rPr>
      </w:pPr>
      <w:r w:rsidRPr="00E35607">
        <w:rPr>
          <w:noProof/>
        </w:rPr>
        <w:drawing>
          <wp:inline distT="0" distB="0" distL="0" distR="0" wp14:anchorId="0D7E65D4" wp14:editId="5520221E">
            <wp:extent cx="4399280" cy="1535430"/>
            <wp:effectExtent l="0" t="0" r="1270" b="7620"/>
            <wp:docPr id="8644832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99280" cy="1535430"/>
                    </a:xfrm>
                    <a:prstGeom prst="rect">
                      <a:avLst/>
                    </a:prstGeom>
                    <a:noFill/>
                    <a:ln>
                      <a:noFill/>
                    </a:ln>
                  </pic:spPr>
                </pic:pic>
              </a:graphicData>
            </a:graphic>
          </wp:inline>
        </w:drawing>
      </w:r>
    </w:p>
    <w:p w14:paraId="539B17A6" w14:textId="1E5C4DCC" w:rsidR="004B3054" w:rsidRPr="002E71E9" w:rsidRDefault="002E71E9" w:rsidP="0051278E">
      <w:pPr>
        <w:spacing w:line="360" w:lineRule="auto"/>
        <w:jc w:val="both"/>
        <w:rPr>
          <w:rFonts w:ascii="Times New Roman" w:hAnsi="Times New Roman" w:cs="Times New Roman"/>
          <w:b/>
          <w:bCs/>
        </w:rPr>
      </w:pPr>
      <w:r w:rsidRPr="002E71E9">
        <w:rPr>
          <w:rFonts w:ascii="Times New Roman" w:hAnsi="Times New Roman" w:cs="Times New Roman"/>
          <w:b/>
          <w:bCs/>
        </w:rPr>
        <w:t>IRR</w:t>
      </w:r>
    </w:p>
    <w:p w14:paraId="58646462" w14:textId="682EAA6E" w:rsidR="002E71E9" w:rsidRDefault="002E71E9" w:rsidP="0051278E">
      <w:pPr>
        <w:spacing w:line="360" w:lineRule="auto"/>
        <w:jc w:val="both"/>
        <w:rPr>
          <w:rFonts w:ascii="Times New Roman" w:hAnsi="Times New Roman" w:cs="Times New Roman"/>
        </w:rPr>
      </w:pPr>
      <w:r w:rsidRPr="002E71E9">
        <w:rPr>
          <w:noProof/>
        </w:rPr>
        <w:lastRenderedPageBreak/>
        <w:drawing>
          <wp:inline distT="0" distB="0" distL="0" distR="0" wp14:anchorId="50B1A03E" wp14:editId="0B0F61FC">
            <wp:extent cx="974725" cy="966470"/>
            <wp:effectExtent l="0" t="0" r="0" b="5080"/>
            <wp:docPr id="5737025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974725" cy="966470"/>
                    </a:xfrm>
                    <a:prstGeom prst="rect">
                      <a:avLst/>
                    </a:prstGeom>
                    <a:noFill/>
                    <a:ln>
                      <a:noFill/>
                    </a:ln>
                  </pic:spPr>
                </pic:pic>
              </a:graphicData>
            </a:graphic>
          </wp:inline>
        </w:drawing>
      </w:r>
    </w:p>
    <w:p w14:paraId="68AD6194" w14:textId="268BC22C" w:rsidR="002E71E9" w:rsidRDefault="00EA3FAA" w:rsidP="0051278E">
      <w:pPr>
        <w:spacing w:line="360" w:lineRule="auto"/>
        <w:jc w:val="both"/>
        <w:rPr>
          <w:rFonts w:ascii="Times New Roman" w:hAnsi="Times New Roman" w:cs="Times New Roman"/>
        </w:rPr>
      </w:pPr>
      <w:r w:rsidRPr="00EA3FAA">
        <w:rPr>
          <w:noProof/>
        </w:rPr>
        <w:drawing>
          <wp:inline distT="0" distB="0" distL="0" distR="0" wp14:anchorId="0AF30D7F" wp14:editId="7146071C">
            <wp:extent cx="3631565" cy="966470"/>
            <wp:effectExtent l="0" t="0" r="6985" b="5080"/>
            <wp:docPr id="877792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31565" cy="966470"/>
                    </a:xfrm>
                    <a:prstGeom prst="rect">
                      <a:avLst/>
                    </a:prstGeom>
                    <a:noFill/>
                    <a:ln>
                      <a:noFill/>
                    </a:ln>
                  </pic:spPr>
                </pic:pic>
              </a:graphicData>
            </a:graphic>
          </wp:inline>
        </w:drawing>
      </w:r>
    </w:p>
    <w:p w14:paraId="28518808"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1) Capital Allowances (straight-line at 20%)</w:t>
      </w:r>
    </w:p>
    <w:p w14:paraId="5ADC60AA" w14:textId="77777777" w:rsidR="005A5325" w:rsidRPr="005A5325" w:rsidRDefault="005A5325" w:rsidP="005A5325">
      <w:pPr>
        <w:pStyle w:val="ListParagraph"/>
        <w:numPr>
          <w:ilvl w:val="0"/>
          <w:numId w:val="30"/>
        </w:numPr>
        <w:spacing w:line="360" w:lineRule="auto"/>
        <w:rPr>
          <w:rFonts w:ascii="Times New Roman" w:hAnsi="Times New Roman" w:cs="Times New Roman"/>
        </w:rPr>
      </w:pPr>
      <w:r w:rsidRPr="005A5325">
        <w:rPr>
          <w:rFonts w:ascii="Times New Roman" w:hAnsi="Times New Roman" w:cs="Times New Roman"/>
        </w:rPr>
        <w:t>Option A CA per year = 600 * 0.20 = 120</w:t>
      </w:r>
    </w:p>
    <w:p w14:paraId="537537B8" w14:textId="77777777" w:rsidR="005A5325" w:rsidRPr="005A5325" w:rsidRDefault="005A5325" w:rsidP="005A5325">
      <w:pPr>
        <w:pStyle w:val="ListParagraph"/>
        <w:numPr>
          <w:ilvl w:val="0"/>
          <w:numId w:val="30"/>
        </w:numPr>
        <w:spacing w:line="360" w:lineRule="auto"/>
        <w:rPr>
          <w:rFonts w:ascii="Times New Roman" w:hAnsi="Times New Roman" w:cs="Times New Roman"/>
        </w:rPr>
      </w:pPr>
      <w:r w:rsidRPr="005A5325">
        <w:rPr>
          <w:rFonts w:ascii="Times New Roman" w:hAnsi="Times New Roman" w:cs="Times New Roman"/>
        </w:rPr>
        <w:t>Option B CA per year = 1,000 * 0.20 = 200</w:t>
      </w:r>
    </w:p>
    <w:p w14:paraId="52E75F24" w14:textId="77777777" w:rsidR="005A5325" w:rsidRPr="005A5325" w:rsidRDefault="005A5325" w:rsidP="005A5325">
      <w:pPr>
        <w:pStyle w:val="ListParagraph"/>
        <w:numPr>
          <w:ilvl w:val="0"/>
          <w:numId w:val="30"/>
        </w:numPr>
        <w:spacing w:line="360" w:lineRule="auto"/>
        <w:rPr>
          <w:rFonts w:ascii="Times New Roman" w:hAnsi="Times New Roman" w:cs="Times New Roman"/>
        </w:rPr>
      </w:pPr>
      <w:r w:rsidRPr="005A5325">
        <w:rPr>
          <w:rFonts w:ascii="Times New Roman" w:hAnsi="Times New Roman" w:cs="Times New Roman"/>
        </w:rPr>
        <w:t>Option C CA per year = 1,600 * 0.20 = 320</w:t>
      </w:r>
    </w:p>
    <w:p w14:paraId="1139C4FE"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2) Annual tax shield from capital allowances (CA * 25%)</w:t>
      </w:r>
    </w:p>
    <w:p w14:paraId="704700BD" w14:textId="77777777" w:rsidR="005A5325" w:rsidRPr="005A5325" w:rsidRDefault="005A5325" w:rsidP="005A5325">
      <w:pPr>
        <w:pStyle w:val="ListParagraph"/>
        <w:numPr>
          <w:ilvl w:val="0"/>
          <w:numId w:val="29"/>
        </w:numPr>
        <w:spacing w:line="360" w:lineRule="auto"/>
        <w:rPr>
          <w:rFonts w:ascii="Times New Roman" w:hAnsi="Times New Roman" w:cs="Times New Roman"/>
        </w:rPr>
      </w:pPr>
      <w:r w:rsidRPr="005A5325">
        <w:rPr>
          <w:rFonts w:ascii="Times New Roman" w:hAnsi="Times New Roman" w:cs="Times New Roman"/>
        </w:rPr>
        <w:t>Option A shield = 120 * 0.25 = 30</w:t>
      </w:r>
    </w:p>
    <w:p w14:paraId="6EF442E6" w14:textId="77777777" w:rsidR="005A5325" w:rsidRPr="005A5325" w:rsidRDefault="005A5325" w:rsidP="005A5325">
      <w:pPr>
        <w:pStyle w:val="ListParagraph"/>
        <w:numPr>
          <w:ilvl w:val="0"/>
          <w:numId w:val="29"/>
        </w:numPr>
        <w:spacing w:line="360" w:lineRule="auto"/>
        <w:rPr>
          <w:rFonts w:ascii="Times New Roman" w:hAnsi="Times New Roman" w:cs="Times New Roman"/>
        </w:rPr>
      </w:pPr>
      <w:r w:rsidRPr="005A5325">
        <w:rPr>
          <w:rFonts w:ascii="Times New Roman" w:hAnsi="Times New Roman" w:cs="Times New Roman"/>
        </w:rPr>
        <w:t>Option B shield = 200 * 0.25 = 50</w:t>
      </w:r>
    </w:p>
    <w:p w14:paraId="2BB775A8" w14:textId="77777777" w:rsidR="005A5325" w:rsidRPr="005A5325" w:rsidRDefault="005A5325" w:rsidP="005A5325">
      <w:pPr>
        <w:pStyle w:val="ListParagraph"/>
        <w:numPr>
          <w:ilvl w:val="0"/>
          <w:numId w:val="29"/>
        </w:numPr>
        <w:spacing w:line="360" w:lineRule="auto"/>
        <w:rPr>
          <w:rFonts w:ascii="Times New Roman" w:hAnsi="Times New Roman" w:cs="Times New Roman"/>
        </w:rPr>
      </w:pPr>
      <w:r w:rsidRPr="005A5325">
        <w:rPr>
          <w:rFonts w:ascii="Times New Roman" w:hAnsi="Times New Roman" w:cs="Times New Roman"/>
        </w:rPr>
        <w:t>Option C shield = 320 * 0.25 = 80</w:t>
      </w:r>
    </w:p>
    <w:p w14:paraId="38296A80"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3) After-tax cash flow formula</w:t>
      </w:r>
    </w:p>
    <w:p w14:paraId="764EB8D2" w14:textId="05D49000"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After-tax CF = Cash Flow * (1 − 0.25) + (CA * 0.25)</w:t>
      </w:r>
      <w:r w:rsidRPr="005A5325">
        <w:rPr>
          <w:rFonts w:ascii="Times New Roman" w:hAnsi="Times New Roman" w:cs="Times New Roman"/>
        </w:rPr>
        <w:br/>
        <w:t>= Cash Flow * 0.75 + (CA * 0.25)</w:t>
      </w:r>
    </w:p>
    <w:p w14:paraId="45154B79"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A) After-tax cash flows</w:t>
      </w:r>
    </w:p>
    <w:p w14:paraId="5CFD2C1C"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Option A</w:t>
      </w:r>
    </w:p>
    <w:p w14:paraId="77920F20" w14:textId="77777777" w:rsidR="005A5325" w:rsidRPr="005A5325" w:rsidRDefault="005A5325" w:rsidP="005A5325">
      <w:pPr>
        <w:pStyle w:val="ListParagraph"/>
        <w:numPr>
          <w:ilvl w:val="0"/>
          <w:numId w:val="28"/>
        </w:numPr>
        <w:spacing w:line="360" w:lineRule="auto"/>
        <w:rPr>
          <w:rFonts w:ascii="Times New Roman" w:hAnsi="Times New Roman" w:cs="Times New Roman"/>
        </w:rPr>
      </w:pPr>
      <w:r w:rsidRPr="005A5325">
        <w:rPr>
          <w:rFonts w:ascii="Times New Roman" w:hAnsi="Times New Roman" w:cs="Times New Roman"/>
        </w:rPr>
        <w:t>Y1 = 200 * 0.75 + 30 = 180</w:t>
      </w:r>
    </w:p>
    <w:p w14:paraId="395B407A" w14:textId="77777777" w:rsidR="005A5325" w:rsidRPr="005A5325" w:rsidRDefault="005A5325" w:rsidP="005A5325">
      <w:pPr>
        <w:pStyle w:val="ListParagraph"/>
        <w:numPr>
          <w:ilvl w:val="0"/>
          <w:numId w:val="28"/>
        </w:numPr>
        <w:spacing w:line="360" w:lineRule="auto"/>
        <w:rPr>
          <w:rFonts w:ascii="Times New Roman" w:hAnsi="Times New Roman" w:cs="Times New Roman"/>
        </w:rPr>
      </w:pPr>
      <w:r w:rsidRPr="005A5325">
        <w:rPr>
          <w:rFonts w:ascii="Times New Roman" w:hAnsi="Times New Roman" w:cs="Times New Roman"/>
        </w:rPr>
        <w:t>Y2 = 400 * 0.75 + 30 = 330</w:t>
      </w:r>
    </w:p>
    <w:p w14:paraId="7CC559EA" w14:textId="77777777" w:rsidR="005A5325" w:rsidRPr="005A5325" w:rsidRDefault="005A5325" w:rsidP="005A5325">
      <w:pPr>
        <w:pStyle w:val="ListParagraph"/>
        <w:numPr>
          <w:ilvl w:val="0"/>
          <w:numId w:val="28"/>
        </w:numPr>
        <w:spacing w:line="360" w:lineRule="auto"/>
        <w:rPr>
          <w:rFonts w:ascii="Times New Roman" w:hAnsi="Times New Roman" w:cs="Times New Roman"/>
        </w:rPr>
      </w:pPr>
      <w:r w:rsidRPr="005A5325">
        <w:rPr>
          <w:rFonts w:ascii="Times New Roman" w:hAnsi="Times New Roman" w:cs="Times New Roman"/>
        </w:rPr>
        <w:t>Y3 = 500 * 0.75 + 30 = 405</w:t>
      </w:r>
    </w:p>
    <w:p w14:paraId="3A175ECB" w14:textId="77777777" w:rsidR="005A5325" w:rsidRPr="005A5325" w:rsidRDefault="005A5325" w:rsidP="005A5325">
      <w:pPr>
        <w:pStyle w:val="ListParagraph"/>
        <w:numPr>
          <w:ilvl w:val="0"/>
          <w:numId w:val="28"/>
        </w:numPr>
        <w:spacing w:line="360" w:lineRule="auto"/>
        <w:rPr>
          <w:rFonts w:ascii="Times New Roman" w:hAnsi="Times New Roman" w:cs="Times New Roman"/>
        </w:rPr>
      </w:pPr>
      <w:r w:rsidRPr="005A5325">
        <w:rPr>
          <w:rFonts w:ascii="Times New Roman" w:hAnsi="Times New Roman" w:cs="Times New Roman"/>
        </w:rPr>
        <w:t>Y4 = 700 * 0.75 + 30 = 555</w:t>
      </w:r>
    </w:p>
    <w:p w14:paraId="2D9C6418"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Option B</w:t>
      </w:r>
    </w:p>
    <w:p w14:paraId="63B8B818" w14:textId="77777777" w:rsidR="005A5325" w:rsidRPr="005A5325" w:rsidRDefault="005A5325" w:rsidP="005A5325">
      <w:pPr>
        <w:pStyle w:val="ListParagraph"/>
        <w:numPr>
          <w:ilvl w:val="0"/>
          <w:numId w:val="27"/>
        </w:numPr>
        <w:spacing w:line="360" w:lineRule="auto"/>
        <w:rPr>
          <w:rFonts w:ascii="Times New Roman" w:hAnsi="Times New Roman" w:cs="Times New Roman"/>
        </w:rPr>
      </w:pPr>
      <w:r w:rsidRPr="005A5325">
        <w:rPr>
          <w:rFonts w:ascii="Times New Roman" w:hAnsi="Times New Roman" w:cs="Times New Roman"/>
        </w:rPr>
        <w:lastRenderedPageBreak/>
        <w:t>Y1 = 400 * 0.75 + 50 = 350</w:t>
      </w:r>
    </w:p>
    <w:p w14:paraId="407B6695" w14:textId="77777777" w:rsidR="005A5325" w:rsidRPr="005A5325" w:rsidRDefault="005A5325" w:rsidP="005A5325">
      <w:pPr>
        <w:pStyle w:val="ListParagraph"/>
        <w:numPr>
          <w:ilvl w:val="0"/>
          <w:numId w:val="27"/>
        </w:numPr>
        <w:spacing w:line="360" w:lineRule="auto"/>
        <w:rPr>
          <w:rFonts w:ascii="Times New Roman" w:hAnsi="Times New Roman" w:cs="Times New Roman"/>
        </w:rPr>
      </w:pPr>
      <w:r w:rsidRPr="005A5325">
        <w:rPr>
          <w:rFonts w:ascii="Times New Roman" w:hAnsi="Times New Roman" w:cs="Times New Roman"/>
        </w:rPr>
        <w:t>Y2 = 450 * 0.75 + 50 = 387.5</w:t>
      </w:r>
    </w:p>
    <w:p w14:paraId="591B3141" w14:textId="77777777" w:rsidR="005A5325" w:rsidRPr="005A5325" w:rsidRDefault="005A5325" w:rsidP="005A5325">
      <w:pPr>
        <w:pStyle w:val="ListParagraph"/>
        <w:numPr>
          <w:ilvl w:val="0"/>
          <w:numId w:val="27"/>
        </w:numPr>
        <w:spacing w:line="360" w:lineRule="auto"/>
        <w:rPr>
          <w:rFonts w:ascii="Times New Roman" w:hAnsi="Times New Roman" w:cs="Times New Roman"/>
        </w:rPr>
      </w:pPr>
      <w:r w:rsidRPr="005A5325">
        <w:rPr>
          <w:rFonts w:ascii="Times New Roman" w:hAnsi="Times New Roman" w:cs="Times New Roman"/>
        </w:rPr>
        <w:t>Y3 = 720 * 0.75 + 50 = 590</w:t>
      </w:r>
    </w:p>
    <w:p w14:paraId="033D5D43" w14:textId="77777777" w:rsidR="005A5325" w:rsidRPr="005A5325" w:rsidRDefault="005A5325" w:rsidP="005A5325">
      <w:pPr>
        <w:pStyle w:val="ListParagraph"/>
        <w:numPr>
          <w:ilvl w:val="0"/>
          <w:numId w:val="27"/>
        </w:numPr>
        <w:spacing w:line="360" w:lineRule="auto"/>
        <w:rPr>
          <w:rFonts w:ascii="Times New Roman" w:hAnsi="Times New Roman" w:cs="Times New Roman"/>
        </w:rPr>
      </w:pPr>
      <w:r w:rsidRPr="005A5325">
        <w:rPr>
          <w:rFonts w:ascii="Times New Roman" w:hAnsi="Times New Roman" w:cs="Times New Roman"/>
        </w:rPr>
        <w:t>Y4 = 980 * 0.75 + 50 = 785</w:t>
      </w:r>
    </w:p>
    <w:p w14:paraId="642F943A"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Option C</w:t>
      </w:r>
    </w:p>
    <w:p w14:paraId="10565A74" w14:textId="77777777" w:rsidR="005A5325" w:rsidRPr="005A5325" w:rsidRDefault="005A5325" w:rsidP="005A5325">
      <w:pPr>
        <w:pStyle w:val="ListParagraph"/>
        <w:numPr>
          <w:ilvl w:val="0"/>
          <w:numId w:val="26"/>
        </w:numPr>
        <w:spacing w:line="360" w:lineRule="auto"/>
        <w:rPr>
          <w:rFonts w:ascii="Times New Roman" w:hAnsi="Times New Roman" w:cs="Times New Roman"/>
        </w:rPr>
      </w:pPr>
      <w:r w:rsidRPr="005A5325">
        <w:rPr>
          <w:rFonts w:ascii="Times New Roman" w:hAnsi="Times New Roman" w:cs="Times New Roman"/>
        </w:rPr>
        <w:t>Y1 = 450 * 0.75 + 80 = 417.5</w:t>
      </w:r>
    </w:p>
    <w:p w14:paraId="5BD8D567" w14:textId="77777777" w:rsidR="005A5325" w:rsidRPr="005A5325" w:rsidRDefault="005A5325" w:rsidP="005A5325">
      <w:pPr>
        <w:pStyle w:val="ListParagraph"/>
        <w:numPr>
          <w:ilvl w:val="0"/>
          <w:numId w:val="26"/>
        </w:numPr>
        <w:spacing w:line="360" w:lineRule="auto"/>
        <w:rPr>
          <w:rFonts w:ascii="Times New Roman" w:hAnsi="Times New Roman" w:cs="Times New Roman"/>
        </w:rPr>
      </w:pPr>
      <w:r w:rsidRPr="005A5325">
        <w:rPr>
          <w:rFonts w:ascii="Times New Roman" w:hAnsi="Times New Roman" w:cs="Times New Roman"/>
        </w:rPr>
        <w:t>Y2 = 700 * 0.75 + 80 = 605</w:t>
      </w:r>
    </w:p>
    <w:p w14:paraId="287FB247" w14:textId="77777777" w:rsidR="005A5325" w:rsidRPr="005A5325" w:rsidRDefault="005A5325" w:rsidP="005A5325">
      <w:pPr>
        <w:pStyle w:val="ListParagraph"/>
        <w:numPr>
          <w:ilvl w:val="0"/>
          <w:numId w:val="26"/>
        </w:numPr>
        <w:spacing w:line="360" w:lineRule="auto"/>
        <w:rPr>
          <w:rFonts w:ascii="Times New Roman" w:hAnsi="Times New Roman" w:cs="Times New Roman"/>
        </w:rPr>
      </w:pPr>
      <w:r w:rsidRPr="005A5325">
        <w:rPr>
          <w:rFonts w:ascii="Times New Roman" w:hAnsi="Times New Roman" w:cs="Times New Roman"/>
        </w:rPr>
        <w:t>Y3 = 900 * 0.75 + 80 = 755</w:t>
      </w:r>
    </w:p>
    <w:p w14:paraId="4B7036FF" w14:textId="1E91C799" w:rsidR="005A5325" w:rsidRPr="005A5325" w:rsidRDefault="005A5325" w:rsidP="005A5325">
      <w:pPr>
        <w:pStyle w:val="ListParagraph"/>
        <w:numPr>
          <w:ilvl w:val="0"/>
          <w:numId w:val="26"/>
        </w:numPr>
        <w:spacing w:line="360" w:lineRule="auto"/>
        <w:rPr>
          <w:rFonts w:ascii="Times New Roman" w:hAnsi="Times New Roman" w:cs="Times New Roman"/>
        </w:rPr>
      </w:pPr>
      <w:r w:rsidRPr="005A5325">
        <w:rPr>
          <w:rFonts w:ascii="Times New Roman" w:hAnsi="Times New Roman" w:cs="Times New Roman"/>
        </w:rPr>
        <w:t>Y4 = 1,200 * 0.75 + 80 = 980</w:t>
      </w:r>
    </w:p>
    <w:p w14:paraId="2AFAA496"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B) Present values (PV) at 6%</w:t>
      </w:r>
    </w:p>
    <w:p w14:paraId="6C88E110"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PV = After-tax CF * Discount factor</w:t>
      </w:r>
    </w:p>
    <w:p w14:paraId="5A2F0318"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Option A PVs</w:t>
      </w:r>
    </w:p>
    <w:p w14:paraId="5896994B" w14:textId="77777777" w:rsidR="005A5325" w:rsidRPr="005A5325" w:rsidRDefault="005A5325" w:rsidP="005A5325">
      <w:pPr>
        <w:pStyle w:val="ListParagraph"/>
        <w:numPr>
          <w:ilvl w:val="0"/>
          <w:numId w:val="25"/>
        </w:numPr>
        <w:spacing w:line="360" w:lineRule="auto"/>
        <w:rPr>
          <w:rFonts w:ascii="Times New Roman" w:hAnsi="Times New Roman" w:cs="Times New Roman"/>
        </w:rPr>
      </w:pPr>
      <w:r w:rsidRPr="005A5325">
        <w:rPr>
          <w:rFonts w:ascii="Times New Roman" w:hAnsi="Times New Roman" w:cs="Times New Roman"/>
        </w:rPr>
        <w:t>PV1 = 180 * 0.9434 = 169.8</w:t>
      </w:r>
    </w:p>
    <w:p w14:paraId="2483A977" w14:textId="77777777" w:rsidR="005A5325" w:rsidRPr="005A5325" w:rsidRDefault="005A5325" w:rsidP="005A5325">
      <w:pPr>
        <w:pStyle w:val="ListParagraph"/>
        <w:numPr>
          <w:ilvl w:val="0"/>
          <w:numId w:val="25"/>
        </w:numPr>
        <w:spacing w:line="360" w:lineRule="auto"/>
        <w:rPr>
          <w:rFonts w:ascii="Times New Roman" w:hAnsi="Times New Roman" w:cs="Times New Roman"/>
        </w:rPr>
      </w:pPr>
      <w:r w:rsidRPr="005A5325">
        <w:rPr>
          <w:rFonts w:ascii="Times New Roman" w:hAnsi="Times New Roman" w:cs="Times New Roman"/>
        </w:rPr>
        <w:t>PV2 = 330 * 0.8900 = 293.7</w:t>
      </w:r>
    </w:p>
    <w:p w14:paraId="6A08FE30" w14:textId="77777777" w:rsidR="005A5325" w:rsidRPr="005A5325" w:rsidRDefault="005A5325" w:rsidP="005A5325">
      <w:pPr>
        <w:pStyle w:val="ListParagraph"/>
        <w:numPr>
          <w:ilvl w:val="0"/>
          <w:numId w:val="25"/>
        </w:numPr>
        <w:spacing w:line="360" w:lineRule="auto"/>
        <w:rPr>
          <w:rFonts w:ascii="Times New Roman" w:hAnsi="Times New Roman" w:cs="Times New Roman"/>
        </w:rPr>
      </w:pPr>
      <w:r w:rsidRPr="005A5325">
        <w:rPr>
          <w:rFonts w:ascii="Times New Roman" w:hAnsi="Times New Roman" w:cs="Times New Roman"/>
        </w:rPr>
        <w:t>PV3 = 405 * 0.8396 = 340.0</w:t>
      </w:r>
    </w:p>
    <w:p w14:paraId="760C6DF9" w14:textId="77777777" w:rsidR="005A5325" w:rsidRPr="005A5325" w:rsidRDefault="005A5325" w:rsidP="005A5325">
      <w:pPr>
        <w:pStyle w:val="ListParagraph"/>
        <w:numPr>
          <w:ilvl w:val="0"/>
          <w:numId w:val="25"/>
        </w:numPr>
        <w:spacing w:line="360" w:lineRule="auto"/>
        <w:rPr>
          <w:rFonts w:ascii="Times New Roman" w:hAnsi="Times New Roman" w:cs="Times New Roman"/>
        </w:rPr>
      </w:pPr>
      <w:r w:rsidRPr="005A5325">
        <w:rPr>
          <w:rFonts w:ascii="Times New Roman" w:hAnsi="Times New Roman" w:cs="Times New Roman"/>
        </w:rPr>
        <w:t>PV4 = 555 * 0.7921 = 439.6</w:t>
      </w:r>
    </w:p>
    <w:p w14:paraId="55E3D0EF" w14:textId="77777777" w:rsidR="005A5325" w:rsidRPr="005A5325" w:rsidRDefault="005A5325" w:rsidP="005A5325">
      <w:pPr>
        <w:pStyle w:val="ListParagraph"/>
        <w:numPr>
          <w:ilvl w:val="0"/>
          <w:numId w:val="25"/>
        </w:numPr>
        <w:spacing w:line="360" w:lineRule="auto"/>
        <w:rPr>
          <w:rFonts w:ascii="Times New Roman" w:hAnsi="Times New Roman" w:cs="Times New Roman"/>
        </w:rPr>
      </w:pPr>
      <w:r w:rsidRPr="005A5325">
        <w:rPr>
          <w:rFonts w:ascii="Times New Roman" w:hAnsi="Times New Roman" w:cs="Times New Roman"/>
        </w:rPr>
        <w:t>Total PV inflows(A) = 169.8 + 293.7 + 340.0 + 439.6 = 1,243.2</w:t>
      </w:r>
    </w:p>
    <w:p w14:paraId="1FD334D2" w14:textId="77777777" w:rsidR="005A5325" w:rsidRPr="005A5325" w:rsidRDefault="005A5325" w:rsidP="005A5325">
      <w:pPr>
        <w:pStyle w:val="ListParagraph"/>
        <w:numPr>
          <w:ilvl w:val="0"/>
          <w:numId w:val="25"/>
        </w:numPr>
        <w:spacing w:line="360" w:lineRule="auto"/>
        <w:rPr>
          <w:rFonts w:ascii="Times New Roman" w:hAnsi="Times New Roman" w:cs="Times New Roman"/>
        </w:rPr>
      </w:pPr>
      <w:r w:rsidRPr="005A5325">
        <w:rPr>
          <w:rFonts w:ascii="Times New Roman" w:hAnsi="Times New Roman" w:cs="Times New Roman"/>
        </w:rPr>
        <w:t>NPV(A) = 1,243.2 − 600 = +643.2</w:t>
      </w:r>
    </w:p>
    <w:p w14:paraId="049E2785"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Option B PVs</w:t>
      </w:r>
    </w:p>
    <w:p w14:paraId="425EDAE1" w14:textId="77777777" w:rsidR="005A5325" w:rsidRPr="005A5325" w:rsidRDefault="005A5325" w:rsidP="005A5325">
      <w:pPr>
        <w:pStyle w:val="ListParagraph"/>
        <w:numPr>
          <w:ilvl w:val="0"/>
          <w:numId w:val="24"/>
        </w:numPr>
        <w:spacing w:line="360" w:lineRule="auto"/>
        <w:rPr>
          <w:rFonts w:ascii="Times New Roman" w:hAnsi="Times New Roman" w:cs="Times New Roman"/>
        </w:rPr>
      </w:pPr>
      <w:r w:rsidRPr="005A5325">
        <w:rPr>
          <w:rFonts w:ascii="Times New Roman" w:hAnsi="Times New Roman" w:cs="Times New Roman"/>
        </w:rPr>
        <w:t>PV1 = 350 * 0.9434 = 330.2</w:t>
      </w:r>
    </w:p>
    <w:p w14:paraId="4BFFC11B" w14:textId="77777777" w:rsidR="005A5325" w:rsidRPr="005A5325" w:rsidRDefault="005A5325" w:rsidP="005A5325">
      <w:pPr>
        <w:pStyle w:val="ListParagraph"/>
        <w:numPr>
          <w:ilvl w:val="0"/>
          <w:numId w:val="24"/>
        </w:numPr>
        <w:spacing w:line="360" w:lineRule="auto"/>
        <w:rPr>
          <w:rFonts w:ascii="Times New Roman" w:hAnsi="Times New Roman" w:cs="Times New Roman"/>
        </w:rPr>
      </w:pPr>
      <w:r w:rsidRPr="005A5325">
        <w:rPr>
          <w:rFonts w:ascii="Times New Roman" w:hAnsi="Times New Roman" w:cs="Times New Roman"/>
        </w:rPr>
        <w:t>PV2 = 387.5 * 0.8900 = 344.9</w:t>
      </w:r>
    </w:p>
    <w:p w14:paraId="2D9FFAB5" w14:textId="77777777" w:rsidR="005A5325" w:rsidRPr="005A5325" w:rsidRDefault="005A5325" w:rsidP="005A5325">
      <w:pPr>
        <w:pStyle w:val="ListParagraph"/>
        <w:numPr>
          <w:ilvl w:val="0"/>
          <w:numId w:val="24"/>
        </w:numPr>
        <w:spacing w:line="360" w:lineRule="auto"/>
        <w:rPr>
          <w:rFonts w:ascii="Times New Roman" w:hAnsi="Times New Roman" w:cs="Times New Roman"/>
        </w:rPr>
      </w:pPr>
      <w:r w:rsidRPr="005A5325">
        <w:rPr>
          <w:rFonts w:ascii="Times New Roman" w:hAnsi="Times New Roman" w:cs="Times New Roman"/>
        </w:rPr>
        <w:t>PV3 = 590 * 0.8396 = 495.4</w:t>
      </w:r>
    </w:p>
    <w:p w14:paraId="6D61B9AF" w14:textId="77777777" w:rsidR="005A5325" w:rsidRPr="005A5325" w:rsidRDefault="005A5325" w:rsidP="005A5325">
      <w:pPr>
        <w:pStyle w:val="ListParagraph"/>
        <w:numPr>
          <w:ilvl w:val="0"/>
          <w:numId w:val="24"/>
        </w:numPr>
        <w:spacing w:line="360" w:lineRule="auto"/>
        <w:rPr>
          <w:rFonts w:ascii="Times New Roman" w:hAnsi="Times New Roman" w:cs="Times New Roman"/>
        </w:rPr>
      </w:pPr>
      <w:r w:rsidRPr="005A5325">
        <w:rPr>
          <w:rFonts w:ascii="Times New Roman" w:hAnsi="Times New Roman" w:cs="Times New Roman"/>
        </w:rPr>
        <w:t>PV4 = 785 * 0.7921 = 621.8</w:t>
      </w:r>
    </w:p>
    <w:p w14:paraId="591D56CC" w14:textId="77777777" w:rsidR="005A5325" w:rsidRPr="005A5325" w:rsidRDefault="005A5325" w:rsidP="005A5325">
      <w:pPr>
        <w:pStyle w:val="ListParagraph"/>
        <w:numPr>
          <w:ilvl w:val="0"/>
          <w:numId w:val="24"/>
        </w:numPr>
        <w:spacing w:line="360" w:lineRule="auto"/>
        <w:rPr>
          <w:rFonts w:ascii="Times New Roman" w:hAnsi="Times New Roman" w:cs="Times New Roman"/>
        </w:rPr>
      </w:pPr>
      <w:r w:rsidRPr="005A5325">
        <w:rPr>
          <w:rFonts w:ascii="Times New Roman" w:hAnsi="Times New Roman" w:cs="Times New Roman"/>
        </w:rPr>
        <w:t>Total PV inflows(B) = 330.2 + 344.9 + 495.4 + 621.8 = 1,792.2</w:t>
      </w:r>
    </w:p>
    <w:p w14:paraId="5597C36C" w14:textId="77777777" w:rsidR="005A5325" w:rsidRPr="005A5325" w:rsidRDefault="005A5325" w:rsidP="005A5325">
      <w:pPr>
        <w:pStyle w:val="ListParagraph"/>
        <w:numPr>
          <w:ilvl w:val="0"/>
          <w:numId w:val="24"/>
        </w:numPr>
        <w:spacing w:line="360" w:lineRule="auto"/>
        <w:rPr>
          <w:rFonts w:ascii="Times New Roman" w:hAnsi="Times New Roman" w:cs="Times New Roman"/>
        </w:rPr>
      </w:pPr>
      <w:r w:rsidRPr="005A5325">
        <w:rPr>
          <w:rFonts w:ascii="Times New Roman" w:hAnsi="Times New Roman" w:cs="Times New Roman"/>
        </w:rPr>
        <w:t>NPV(B) = 1,792.2 − 1,000 = +792.2</w:t>
      </w:r>
    </w:p>
    <w:p w14:paraId="3A30F4FB"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Option C PVs</w:t>
      </w:r>
    </w:p>
    <w:p w14:paraId="0333067F" w14:textId="77777777" w:rsidR="005A5325" w:rsidRPr="005A5325" w:rsidRDefault="005A5325" w:rsidP="005A5325">
      <w:pPr>
        <w:pStyle w:val="ListParagraph"/>
        <w:numPr>
          <w:ilvl w:val="0"/>
          <w:numId w:val="23"/>
        </w:numPr>
        <w:spacing w:line="360" w:lineRule="auto"/>
        <w:rPr>
          <w:rFonts w:ascii="Times New Roman" w:hAnsi="Times New Roman" w:cs="Times New Roman"/>
        </w:rPr>
      </w:pPr>
      <w:r w:rsidRPr="005A5325">
        <w:rPr>
          <w:rFonts w:ascii="Times New Roman" w:hAnsi="Times New Roman" w:cs="Times New Roman"/>
        </w:rPr>
        <w:t>PV1 = 417.5 * 0.9434 = 393.9</w:t>
      </w:r>
    </w:p>
    <w:p w14:paraId="578CEA49" w14:textId="77777777" w:rsidR="005A5325" w:rsidRPr="005A5325" w:rsidRDefault="005A5325" w:rsidP="005A5325">
      <w:pPr>
        <w:pStyle w:val="ListParagraph"/>
        <w:numPr>
          <w:ilvl w:val="0"/>
          <w:numId w:val="23"/>
        </w:numPr>
        <w:spacing w:line="360" w:lineRule="auto"/>
        <w:rPr>
          <w:rFonts w:ascii="Times New Roman" w:hAnsi="Times New Roman" w:cs="Times New Roman"/>
        </w:rPr>
      </w:pPr>
      <w:r w:rsidRPr="005A5325">
        <w:rPr>
          <w:rFonts w:ascii="Times New Roman" w:hAnsi="Times New Roman" w:cs="Times New Roman"/>
        </w:rPr>
        <w:lastRenderedPageBreak/>
        <w:t>PV2 = 605 * 0.8900 = 538.4</w:t>
      </w:r>
    </w:p>
    <w:p w14:paraId="5404DC8B" w14:textId="77777777" w:rsidR="005A5325" w:rsidRPr="005A5325" w:rsidRDefault="005A5325" w:rsidP="005A5325">
      <w:pPr>
        <w:pStyle w:val="ListParagraph"/>
        <w:numPr>
          <w:ilvl w:val="0"/>
          <w:numId w:val="23"/>
        </w:numPr>
        <w:spacing w:line="360" w:lineRule="auto"/>
        <w:rPr>
          <w:rFonts w:ascii="Times New Roman" w:hAnsi="Times New Roman" w:cs="Times New Roman"/>
        </w:rPr>
      </w:pPr>
      <w:r w:rsidRPr="005A5325">
        <w:rPr>
          <w:rFonts w:ascii="Times New Roman" w:hAnsi="Times New Roman" w:cs="Times New Roman"/>
        </w:rPr>
        <w:t>PV3 = 755 * 0.8396 = 633.9</w:t>
      </w:r>
    </w:p>
    <w:p w14:paraId="598DB229" w14:textId="77777777" w:rsidR="005A5325" w:rsidRPr="005A5325" w:rsidRDefault="005A5325" w:rsidP="005A5325">
      <w:pPr>
        <w:pStyle w:val="ListParagraph"/>
        <w:numPr>
          <w:ilvl w:val="0"/>
          <w:numId w:val="23"/>
        </w:numPr>
        <w:spacing w:line="360" w:lineRule="auto"/>
        <w:rPr>
          <w:rFonts w:ascii="Times New Roman" w:hAnsi="Times New Roman" w:cs="Times New Roman"/>
        </w:rPr>
      </w:pPr>
      <w:r w:rsidRPr="005A5325">
        <w:rPr>
          <w:rFonts w:ascii="Times New Roman" w:hAnsi="Times New Roman" w:cs="Times New Roman"/>
        </w:rPr>
        <w:t>PV4 = 980 * 0.7921 = 776.3</w:t>
      </w:r>
    </w:p>
    <w:p w14:paraId="2BF8BDCA" w14:textId="77777777" w:rsidR="005A5325" w:rsidRPr="005A5325" w:rsidRDefault="005A5325" w:rsidP="005A5325">
      <w:pPr>
        <w:pStyle w:val="ListParagraph"/>
        <w:numPr>
          <w:ilvl w:val="0"/>
          <w:numId w:val="23"/>
        </w:numPr>
        <w:spacing w:line="360" w:lineRule="auto"/>
        <w:rPr>
          <w:rFonts w:ascii="Times New Roman" w:hAnsi="Times New Roman" w:cs="Times New Roman"/>
        </w:rPr>
      </w:pPr>
      <w:r w:rsidRPr="005A5325">
        <w:rPr>
          <w:rFonts w:ascii="Times New Roman" w:hAnsi="Times New Roman" w:cs="Times New Roman"/>
        </w:rPr>
        <w:t>Total PV inflows(C) = 393.9 + 538.4 + 633.9 + 776.3 = 2,342.5</w:t>
      </w:r>
    </w:p>
    <w:p w14:paraId="0095C1A2" w14:textId="77777777" w:rsidR="005A5325" w:rsidRPr="005A5325" w:rsidRDefault="005A5325" w:rsidP="005A5325">
      <w:pPr>
        <w:pStyle w:val="ListParagraph"/>
        <w:numPr>
          <w:ilvl w:val="0"/>
          <w:numId w:val="23"/>
        </w:numPr>
        <w:spacing w:line="360" w:lineRule="auto"/>
        <w:rPr>
          <w:rFonts w:ascii="Times New Roman" w:hAnsi="Times New Roman" w:cs="Times New Roman"/>
        </w:rPr>
      </w:pPr>
      <w:r w:rsidRPr="005A5325">
        <w:rPr>
          <w:rFonts w:ascii="Times New Roman" w:hAnsi="Times New Roman" w:cs="Times New Roman"/>
        </w:rPr>
        <w:t>NPV(C) = 2,342.5 − 1,600 = +742.5</w:t>
      </w:r>
    </w:p>
    <w:p w14:paraId="0C320FC3" w14:textId="59A30036" w:rsidR="005A5325" w:rsidRPr="005A5325" w:rsidRDefault="005A5325" w:rsidP="005A5325">
      <w:pPr>
        <w:spacing w:line="360" w:lineRule="auto"/>
        <w:rPr>
          <w:rFonts w:ascii="Times New Roman" w:hAnsi="Times New Roman" w:cs="Times New Roman"/>
        </w:rPr>
      </w:pPr>
    </w:p>
    <w:p w14:paraId="7793703F"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C) IRR calculations (interpolation)</w:t>
      </w:r>
    </w:p>
    <w:p w14:paraId="6E46265E"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Formula:</w:t>
      </w:r>
      <w:r w:rsidRPr="005A5325">
        <w:rPr>
          <w:rFonts w:ascii="Times New Roman" w:hAnsi="Times New Roman" w:cs="Times New Roman"/>
        </w:rPr>
        <w:br/>
        <w:t>IRR = r1 + [NPV1 / (NPV1 − NPV2)] * (r2 − r1)</w:t>
      </w:r>
    </w:p>
    <w:p w14:paraId="143AE7F3"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Option A IRR</w:t>
      </w:r>
    </w:p>
    <w:p w14:paraId="32E11C3C"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Given: NPV at 35% = +46.1; NPV at 45% = −60.5</w:t>
      </w:r>
      <w:r w:rsidRPr="005A5325">
        <w:rPr>
          <w:rFonts w:ascii="Times New Roman" w:hAnsi="Times New Roman" w:cs="Times New Roman"/>
        </w:rPr>
        <w:br/>
        <w:t>IRR(A) = 35 + [46.1 / (46.1 − (−60.5))] * (45 − 35)</w:t>
      </w:r>
      <w:r w:rsidRPr="005A5325">
        <w:rPr>
          <w:rFonts w:ascii="Times New Roman" w:hAnsi="Times New Roman" w:cs="Times New Roman"/>
        </w:rPr>
        <w:br/>
        <w:t>= 35 + [46.1 / 106.6] * 10</w:t>
      </w:r>
      <w:r w:rsidRPr="005A5325">
        <w:rPr>
          <w:rFonts w:ascii="Times New Roman" w:hAnsi="Times New Roman" w:cs="Times New Roman"/>
        </w:rPr>
        <w:br/>
        <w:t>= 35 + 0.432 * 10</w:t>
      </w:r>
      <w:r w:rsidRPr="005A5325">
        <w:rPr>
          <w:rFonts w:ascii="Times New Roman" w:hAnsi="Times New Roman" w:cs="Times New Roman"/>
        </w:rPr>
        <w:br/>
        <w:t>= 39.3% (≈39.0%)</w:t>
      </w:r>
    </w:p>
    <w:p w14:paraId="0105042A"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Option B IRR</w:t>
      </w:r>
    </w:p>
    <w:p w14:paraId="387D74FB"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Given: NPV at 30% = +41.9; NPV at 35% = −52.0</w:t>
      </w:r>
      <w:r w:rsidRPr="005A5325">
        <w:rPr>
          <w:rFonts w:ascii="Times New Roman" w:hAnsi="Times New Roman" w:cs="Times New Roman"/>
        </w:rPr>
        <w:br/>
        <w:t>IRR(B) = 30 + [41.9 / (41.9 − (−52.0))] * (35 − 30)</w:t>
      </w:r>
      <w:r w:rsidRPr="005A5325">
        <w:rPr>
          <w:rFonts w:ascii="Times New Roman" w:hAnsi="Times New Roman" w:cs="Times New Roman"/>
        </w:rPr>
        <w:br/>
        <w:t>= 30 + [41.9 / 93.9] * 5</w:t>
      </w:r>
      <w:r w:rsidRPr="005A5325">
        <w:rPr>
          <w:rFonts w:ascii="Times New Roman" w:hAnsi="Times New Roman" w:cs="Times New Roman"/>
        </w:rPr>
        <w:br/>
        <w:t>= 30 + 0.446 * 5</w:t>
      </w:r>
      <w:r w:rsidRPr="005A5325">
        <w:rPr>
          <w:rFonts w:ascii="Times New Roman" w:hAnsi="Times New Roman" w:cs="Times New Roman"/>
        </w:rPr>
        <w:br/>
        <w:t>= 32.2% (≈32.1%)</w:t>
      </w:r>
    </w:p>
    <w:p w14:paraId="3FFDA417"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Option C IRR</w:t>
      </w:r>
    </w:p>
    <w:p w14:paraId="37E08B92" w14:textId="43B35E34"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Given: NPV at 20% = +77.6; NPV at 25% = −90.8</w:t>
      </w:r>
      <w:r w:rsidRPr="005A5325">
        <w:rPr>
          <w:rFonts w:ascii="Times New Roman" w:hAnsi="Times New Roman" w:cs="Times New Roman"/>
        </w:rPr>
        <w:br/>
        <w:t>IRR(C) = 20 + [77.6 / (77.6 − (−90.8))] * (25 − 20)</w:t>
      </w:r>
      <w:r w:rsidRPr="005A5325">
        <w:rPr>
          <w:rFonts w:ascii="Times New Roman" w:hAnsi="Times New Roman" w:cs="Times New Roman"/>
        </w:rPr>
        <w:br/>
        <w:t>= 20 + [77.6 / 168.4] * 5</w:t>
      </w:r>
      <w:r w:rsidRPr="005A5325">
        <w:rPr>
          <w:rFonts w:ascii="Times New Roman" w:hAnsi="Times New Roman" w:cs="Times New Roman"/>
        </w:rPr>
        <w:br/>
        <w:t>= 20 + 0.461 * 5</w:t>
      </w:r>
      <w:r w:rsidRPr="005A5325">
        <w:rPr>
          <w:rFonts w:ascii="Times New Roman" w:hAnsi="Times New Roman" w:cs="Times New Roman"/>
        </w:rPr>
        <w:br/>
        <w:t>= 22.3% (≈22.2%)</w:t>
      </w:r>
    </w:p>
    <w:p w14:paraId="3C572486"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lastRenderedPageBreak/>
        <w:t>D) Capital rationing (projects divisible, funds = £2,500k)</w:t>
      </w:r>
    </w:p>
    <w:p w14:paraId="76210EBB"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Profitability Index (PI)</w:t>
      </w:r>
    </w:p>
    <w:p w14:paraId="6D3F04E8"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PI = PV of inflows / Initial investment</w:t>
      </w:r>
    </w:p>
    <w:p w14:paraId="25AC248E" w14:textId="77777777" w:rsidR="005A5325" w:rsidRPr="005A5325" w:rsidRDefault="005A5325" w:rsidP="005A5325">
      <w:pPr>
        <w:pStyle w:val="ListParagraph"/>
        <w:numPr>
          <w:ilvl w:val="0"/>
          <w:numId w:val="22"/>
        </w:numPr>
        <w:spacing w:line="360" w:lineRule="auto"/>
        <w:rPr>
          <w:rFonts w:ascii="Times New Roman" w:hAnsi="Times New Roman" w:cs="Times New Roman"/>
        </w:rPr>
      </w:pPr>
      <w:r w:rsidRPr="005A5325">
        <w:rPr>
          <w:rFonts w:ascii="Times New Roman" w:hAnsi="Times New Roman" w:cs="Times New Roman"/>
        </w:rPr>
        <w:t>PI(A) = 1,243.2 / 600 = 2.07</w:t>
      </w:r>
    </w:p>
    <w:p w14:paraId="58032131" w14:textId="77777777" w:rsidR="005A5325" w:rsidRPr="005A5325" w:rsidRDefault="005A5325" w:rsidP="005A5325">
      <w:pPr>
        <w:pStyle w:val="ListParagraph"/>
        <w:numPr>
          <w:ilvl w:val="0"/>
          <w:numId w:val="22"/>
        </w:numPr>
        <w:spacing w:line="360" w:lineRule="auto"/>
        <w:rPr>
          <w:rFonts w:ascii="Times New Roman" w:hAnsi="Times New Roman" w:cs="Times New Roman"/>
        </w:rPr>
      </w:pPr>
      <w:r w:rsidRPr="005A5325">
        <w:rPr>
          <w:rFonts w:ascii="Times New Roman" w:hAnsi="Times New Roman" w:cs="Times New Roman"/>
        </w:rPr>
        <w:t>PI(B) = 1,792.2 / 1,000 = 1.79</w:t>
      </w:r>
    </w:p>
    <w:p w14:paraId="0B1D4B31" w14:textId="77777777" w:rsidR="005A5325" w:rsidRPr="005A5325" w:rsidRDefault="005A5325" w:rsidP="005A5325">
      <w:pPr>
        <w:pStyle w:val="ListParagraph"/>
        <w:numPr>
          <w:ilvl w:val="0"/>
          <w:numId w:val="22"/>
        </w:numPr>
        <w:spacing w:line="360" w:lineRule="auto"/>
        <w:rPr>
          <w:rFonts w:ascii="Times New Roman" w:hAnsi="Times New Roman" w:cs="Times New Roman"/>
        </w:rPr>
      </w:pPr>
      <w:r w:rsidRPr="005A5325">
        <w:rPr>
          <w:rFonts w:ascii="Times New Roman" w:hAnsi="Times New Roman" w:cs="Times New Roman"/>
        </w:rPr>
        <w:t>PI(C) = 2,342.5 / 1,600 = 1.46</w:t>
      </w:r>
    </w:p>
    <w:p w14:paraId="7DDA49F9"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Investment allocation</w:t>
      </w:r>
    </w:p>
    <w:p w14:paraId="3A54D7FC" w14:textId="77777777" w:rsidR="005A5325" w:rsidRPr="005A5325" w:rsidRDefault="005A5325" w:rsidP="005A5325">
      <w:pPr>
        <w:pStyle w:val="ListParagraph"/>
        <w:numPr>
          <w:ilvl w:val="0"/>
          <w:numId w:val="21"/>
        </w:numPr>
        <w:spacing w:line="360" w:lineRule="auto"/>
        <w:rPr>
          <w:rFonts w:ascii="Times New Roman" w:hAnsi="Times New Roman" w:cs="Times New Roman"/>
        </w:rPr>
      </w:pPr>
      <w:r w:rsidRPr="005A5325">
        <w:rPr>
          <w:rFonts w:ascii="Times New Roman" w:hAnsi="Times New Roman" w:cs="Times New Roman"/>
        </w:rPr>
        <w:t>Remaining after A: 2,500 − 600 = 1,900</w:t>
      </w:r>
    </w:p>
    <w:p w14:paraId="63EEA235" w14:textId="77777777" w:rsidR="005A5325" w:rsidRPr="005A5325" w:rsidRDefault="005A5325" w:rsidP="005A5325">
      <w:pPr>
        <w:pStyle w:val="ListParagraph"/>
        <w:numPr>
          <w:ilvl w:val="0"/>
          <w:numId w:val="21"/>
        </w:numPr>
        <w:spacing w:line="360" w:lineRule="auto"/>
        <w:rPr>
          <w:rFonts w:ascii="Times New Roman" w:hAnsi="Times New Roman" w:cs="Times New Roman"/>
        </w:rPr>
      </w:pPr>
      <w:r w:rsidRPr="005A5325">
        <w:rPr>
          <w:rFonts w:ascii="Times New Roman" w:hAnsi="Times New Roman" w:cs="Times New Roman"/>
        </w:rPr>
        <w:t>Remaining after B: 1,900 − 1,000 = 900</w:t>
      </w:r>
    </w:p>
    <w:p w14:paraId="54D1A5EB" w14:textId="77777777" w:rsidR="005A5325" w:rsidRPr="005A5325" w:rsidRDefault="005A5325" w:rsidP="005A5325">
      <w:pPr>
        <w:pStyle w:val="ListParagraph"/>
        <w:numPr>
          <w:ilvl w:val="0"/>
          <w:numId w:val="21"/>
        </w:numPr>
        <w:spacing w:line="360" w:lineRule="auto"/>
        <w:rPr>
          <w:rFonts w:ascii="Times New Roman" w:hAnsi="Times New Roman" w:cs="Times New Roman"/>
        </w:rPr>
      </w:pPr>
      <w:r w:rsidRPr="005A5325">
        <w:rPr>
          <w:rFonts w:ascii="Times New Roman" w:hAnsi="Times New Roman" w:cs="Times New Roman"/>
        </w:rPr>
        <w:t>Fraction of C = 900 / 1,600 = 0.5625 (56.25%)</w:t>
      </w:r>
    </w:p>
    <w:p w14:paraId="09D6F9F9" w14:textId="77777777" w:rsidR="005A5325" w:rsidRPr="005A5325" w:rsidRDefault="005A5325" w:rsidP="005A5325">
      <w:pPr>
        <w:spacing w:line="360" w:lineRule="auto"/>
        <w:rPr>
          <w:rFonts w:ascii="Times New Roman" w:hAnsi="Times New Roman" w:cs="Times New Roman"/>
        </w:rPr>
      </w:pPr>
      <w:r w:rsidRPr="005A5325">
        <w:rPr>
          <w:rFonts w:ascii="Times New Roman" w:hAnsi="Times New Roman" w:cs="Times New Roman"/>
        </w:rPr>
        <w:t>Total NPV under optimal policy</w:t>
      </w:r>
    </w:p>
    <w:p w14:paraId="17407185" w14:textId="77777777" w:rsidR="005A5325" w:rsidRPr="005A5325" w:rsidRDefault="005A5325" w:rsidP="005A5325">
      <w:pPr>
        <w:pStyle w:val="ListParagraph"/>
        <w:numPr>
          <w:ilvl w:val="0"/>
          <w:numId w:val="20"/>
        </w:numPr>
        <w:spacing w:line="360" w:lineRule="auto"/>
        <w:rPr>
          <w:rFonts w:ascii="Times New Roman" w:hAnsi="Times New Roman" w:cs="Times New Roman"/>
        </w:rPr>
      </w:pPr>
      <w:r w:rsidRPr="005A5325">
        <w:rPr>
          <w:rFonts w:ascii="Times New Roman" w:hAnsi="Times New Roman" w:cs="Times New Roman"/>
        </w:rPr>
        <w:t>NPV from C portion = 742.5 * 0.5625 = 417.7</w:t>
      </w:r>
    </w:p>
    <w:p w14:paraId="1E4FA74D" w14:textId="77777777" w:rsidR="005A5325" w:rsidRPr="005A5325" w:rsidRDefault="005A5325" w:rsidP="005A5325">
      <w:pPr>
        <w:pStyle w:val="ListParagraph"/>
        <w:numPr>
          <w:ilvl w:val="0"/>
          <w:numId w:val="20"/>
        </w:numPr>
        <w:spacing w:line="360" w:lineRule="auto"/>
        <w:rPr>
          <w:rFonts w:ascii="Times New Roman" w:hAnsi="Times New Roman" w:cs="Times New Roman"/>
        </w:rPr>
      </w:pPr>
      <w:r w:rsidRPr="005A5325">
        <w:rPr>
          <w:rFonts w:ascii="Times New Roman" w:hAnsi="Times New Roman" w:cs="Times New Roman"/>
        </w:rPr>
        <w:t>Total NPV = 643.2 + 792.2 + 417.7 = 1,853.1</w:t>
      </w:r>
    </w:p>
    <w:p w14:paraId="00997620" w14:textId="77777777" w:rsidR="00EA3FAA" w:rsidRPr="002321E7" w:rsidRDefault="00EA3FAA" w:rsidP="0051278E">
      <w:pPr>
        <w:spacing w:line="360" w:lineRule="auto"/>
        <w:jc w:val="both"/>
        <w:rPr>
          <w:rFonts w:ascii="Times New Roman" w:hAnsi="Times New Roman" w:cs="Times New Roman"/>
        </w:rPr>
      </w:pPr>
    </w:p>
    <w:sectPr w:rsidR="00EA3FAA" w:rsidRPr="002321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80D02"/>
    <w:multiLevelType w:val="multilevel"/>
    <w:tmpl w:val="525CF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044342"/>
    <w:multiLevelType w:val="multilevel"/>
    <w:tmpl w:val="F6BAE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82188F"/>
    <w:multiLevelType w:val="hybridMultilevel"/>
    <w:tmpl w:val="D610D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D413B4"/>
    <w:multiLevelType w:val="multilevel"/>
    <w:tmpl w:val="1C7AF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BF5828"/>
    <w:multiLevelType w:val="multilevel"/>
    <w:tmpl w:val="8280E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A249FF"/>
    <w:multiLevelType w:val="multilevel"/>
    <w:tmpl w:val="FAECF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833B7E"/>
    <w:multiLevelType w:val="hybridMultilevel"/>
    <w:tmpl w:val="0D5614BA"/>
    <w:lvl w:ilvl="0" w:tplc="A000AAD8">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27A51F9D"/>
    <w:multiLevelType w:val="hybridMultilevel"/>
    <w:tmpl w:val="EC5C27D2"/>
    <w:lvl w:ilvl="0" w:tplc="A000AAD8">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2B6468A4"/>
    <w:multiLevelType w:val="multilevel"/>
    <w:tmpl w:val="2E166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455B94"/>
    <w:multiLevelType w:val="multilevel"/>
    <w:tmpl w:val="188AD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3F2F26"/>
    <w:multiLevelType w:val="hybridMultilevel"/>
    <w:tmpl w:val="FF003C50"/>
    <w:lvl w:ilvl="0" w:tplc="A000AAD8">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74A5560"/>
    <w:multiLevelType w:val="hybridMultilevel"/>
    <w:tmpl w:val="F7341972"/>
    <w:lvl w:ilvl="0" w:tplc="A000AAD8">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39C74278"/>
    <w:multiLevelType w:val="multilevel"/>
    <w:tmpl w:val="712C1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1B6772"/>
    <w:multiLevelType w:val="multilevel"/>
    <w:tmpl w:val="774E6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B15F94"/>
    <w:multiLevelType w:val="hybridMultilevel"/>
    <w:tmpl w:val="DA601BC0"/>
    <w:lvl w:ilvl="0" w:tplc="A000AAD8">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40DD21D5"/>
    <w:multiLevelType w:val="hybridMultilevel"/>
    <w:tmpl w:val="2CF63E70"/>
    <w:lvl w:ilvl="0" w:tplc="A000AAD8">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458B1C3A"/>
    <w:multiLevelType w:val="hybridMultilevel"/>
    <w:tmpl w:val="1668EE6E"/>
    <w:lvl w:ilvl="0" w:tplc="A000AAD8">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4A5D1F64"/>
    <w:multiLevelType w:val="hybridMultilevel"/>
    <w:tmpl w:val="D0420348"/>
    <w:lvl w:ilvl="0" w:tplc="A000AAD8">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4E9B5CB3"/>
    <w:multiLevelType w:val="hybridMultilevel"/>
    <w:tmpl w:val="38022F36"/>
    <w:lvl w:ilvl="0" w:tplc="A000AAD8">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4F0B1F58"/>
    <w:multiLevelType w:val="hybridMultilevel"/>
    <w:tmpl w:val="39643F4E"/>
    <w:lvl w:ilvl="0" w:tplc="A000AAD8">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598C175F"/>
    <w:multiLevelType w:val="hybridMultilevel"/>
    <w:tmpl w:val="AC224618"/>
    <w:lvl w:ilvl="0" w:tplc="A000AAD8">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680F5A18"/>
    <w:multiLevelType w:val="multilevel"/>
    <w:tmpl w:val="2CE0E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BE5542"/>
    <w:multiLevelType w:val="multilevel"/>
    <w:tmpl w:val="1540B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2A0465"/>
    <w:multiLevelType w:val="multilevel"/>
    <w:tmpl w:val="81A4D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74021B"/>
    <w:multiLevelType w:val="multilevel"/>
    <w:tmpl w:val="0BE23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056C1C"/>
    <w:multiLevelType w:val="multilevel"/>
    <w:tmpl w:val="7F2E9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457778"/>
    <w:multiLevelType w:val="hybridMultilevel"/>
    <w:tmpl w:val="B4387BDE"/>
    <w:lvl w:ilvl="0" w:tplc="A000AAD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E7D5826"/>
    <w:multiLevelType w:val="multilevel"/>
    <w:tmpl w:val="C82A7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DA53E1"/>
    <w:multiLevelType w:val="hybridMultilevel"/>
    <w:tmpl w:val="40FEC53E"/>
    <w:lvl w:ilvl="0" w:tplc="A000AAD8">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7EFF449B"/>
    <w:multiLevelType w:val="multilevel"/>
    <w:tmpl w:val="6B726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8629126">
    <w:abstractNumId w:val="13"/>
  </w:num>
  <w:num w:numId="2" w16cid:durableId="306977910">
    <w:abstractNumId w:val="2"/>
  </w:num>
  <w:num w:numId="3" w16cid:durableId="1756854515">
    <w:abstractNumId w:val="26"/>
  </w:num>
  <w:num w:numId="4" w16cid:durableId="1788356263">
    <w:abstractNumId w:val="28"/>
  </w:num>
  <w:num w:numId="5" w16cid:durableId="1465806137">
    <w:abstractNumId w:val="8"/>
  </w:num>
  <w:num w:numId="6" w16cid:durableId="881601421">
    <w:abstractNumId w:val="27"/>
  </w:num>
  <w:num w:numId="7" w16cid:durableId="1289239301">
    <w:abstractNumId w:val="25"/>
  </w:num>
  <w:num w:numId="8" w16cid:durableId="734161974">
    <w:abstractNumId w:val="21"/>
  </w:num>
  <w:num w:numId="9" w16cid:durableId="1421439986">
    <w:abstractNumId w:val="12"/>
  </w:num>
  <w:num w:numId="10" w16cid:durableId="293751995">
    <w:abstractNumId w:val="23"/>
  </w:num>
  <w:num w:numId="11" w16cid:durableId="1636448997">
    <w:abstractNumId w:val="24"/>
  </w:num>
  <w:num w:numId="12" w16cid:durableId="249051576">
    <w:abstractNumId w:val="5"/>
  </w:num>
  <w:num w:numId="13" w16cid:durableId="867569834">
    <w:abstractNumId w:val="29"/>
  </w:num>
  <w:num w:numId="14" w16cid:durableId="730546235">
    <w:abstractNumId w:val="1"/>
  </w:num>
  <w:num w:numId="15" w16cid:durableId="1439569524">
    <w:abstractNumId w:val="22"/>
  </w:num>
  <w:num w:numId="16" w16cid:durableId="1528325957">
    <w:abstractNumId w:val="0"/>
  </w:num>
  <w:num w:numId="17" w16cid:durableId="1412504545">
    <w:abstractNumId w:val="4"/>
  </w:num>
  <w:num w:numId="18" w16cid:durableId="1506626041">
    <w:abstractNumId w:val="9"/>
  </w:num>
  <w:num w:numId="19" w16cid:durableId="640816245">
    <w:abstractNumId w:val="3"/>
  </w:num>
  <w:num w:numId="20" w16cid:durableId="173305781">
    <w:abstractNumId w:val="17"/>
  </w:num>
  <w:num w:numId="21" w16cid:durableId="1021857341">
    <w:abstractNumId w:val="18"/>
  </w:num>
  <w:num w:numId="22" w16cid:durableId="2073186947">
    <w:abstractNumId w:val="11"/>
  </w:num>
  <w:num w:numId="23" w16cid:durableId="528488597">
    <w:abstractNumId w:val="19"/>
  </w:num>
  <w:num w:numId="24" w16cid:durableId="998926854">
    <w:abstractNumId w:val="10"/>
  </w:num>
  <w:num w:numId="25" w16cid:durableId="541403629">
    <w:abstractNumId w:val="7"/>
  </w:num>
  <w:num w:numId="26" w16cid:durableId="1234194491">
    <w:abstractNumId w:val="15"/>
  </w:num>
  <w:num w:numId="27" w16cid:durableId="1655836343">
    <w:abstractNumId w:val="16"/>
  </w:num>
  <w:num w:numId="28" w16cid:durableId="489640122">
    <w:abstractNumId w:val="14"/>
  </w:num>
  <w:num w:numId="29" w16cid:durableId="2129276576">
    <w:abstractNumId w:val="20"/>
  </w:num>
  <w:num w:numId="30" w16cid:durableId="3262480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ABB"/>
    <w:rsid w:val="000472E8"/>
    <w:rsid w:val="00095B0D"/>
    <w:rsid w:val="000A1B95"/>
    <w:rsid w:val="000D7ABB"/>
    <w:rsid w:val="00190A76"/>
    <w:rsid w:val="001E11A3"/>
    <w:rsid w:val="001F5376"/>
    <w:rsid w:val="002321E7"/>
    <w:rsid w:val="002A4713"/>
    <w:rsid w:val="002A734B"/>
    <w:rsid w:val="002B64A0"/>
    <w:rsid w:val="002E71E9"/>
    <w:rsid w:val="003121C9"/>
    <w:rsid w:val="00326614"/>
    <w:rsid w:val="00334E51"/>
    <w:rsid w:val="003437A3"/>
    <w:rsid w:val="00345A84"/>
    <w:rsid w:val="003968C4"/>
    <w:rsid w:val="003A57B5"/>
    <w:rsid w:val="003C1C2D"/>
    <w:rsid w:val="003F64B8"/>
    <w:rsid w:val="0041617D"/>
    <w:rsid w:val="004836EB"/>
    <w:rsid w:val="004B1FA5"/>
    <w:rsid w:val="004B3054"/>
    <w:rsid w:val="0051278E"/>
    <w:rsid w:val="00555AB9"/>
    <w:rsid w:val="005628D8"/>
    <w:rsid w:val="00566A41"/>
    <w:rsid w:val="005A3242"/>
    <w:rsid w:val="005A5325"/>
    <w:rsid w:val="005C5CD7"/>
    <w:rsid w:val="006005C1"/>
    <w:rsid w:val="006466CC"/>
    <w:rsid w:val="006821D9"/>
    <w:rsid w:val="006F473D"/>
    <w:rsid w:val="007A07B0"/>
    <w:rsid w:val="007F715C"/>
    <w:rsid w:val="008554D9"/>
    <w:rsid w:val="00873133"/>
    <w:rsid w:val="008B2DB7"/>
    <w:rsid w:val="008D6647"/>
    <w:rsid w:val="008E5B65"/>
    <w:rsid w:val="0099119A"/>
    <w:rsid w:val="009D4FCE"/>
    <w:rsid w:val="00A1523C"/>
    <w:rsid w:val="00A36241"/>
    <w:rsid w:val="00A47C0F"/>
    <w:rsid w:val="00A629C4"/>
    <w:rsid w:val="00A707D1"/>
    <w:rsid w:val="00A84950"/>
    <w:rsid w:val="00A90A08"/>
    <w:rsid w:val="00A92ECC"/>
    <w:rsid w:val="00AC139B"/>
    <w:rsid w:val="00AE0B10"/>
    <w:rsid w:val="00AE5C70"/>
    <w:rsid w:val="00B74B35"/>
    <w:rsid w:val="00B8131C"/>
    <w:rsid w:val="00BF1FB2"/>
    <w:rsid w:val="00BF7EEF"/>
    <w:rsid w:val="00C00598"/>
    <w:rsid w:val="00C56514"/>
    <w:rsid w:val="00C56689"/>
    <w:rsid w:val="00C662D5"/>
    <w:rsid w:val="00C753D6"/>
    <w:rsid w:val="00C92B57"/>
    <w:rsid w:val="00CD3CF9"/>
    <w:rsid w:val="00CE25F4"/>
    <w:rsid w:val="00CF4991"/>
    <w:rsid w:val="00DA2082"/>
    <w:rsid w:val="00DA4BBA"/>
    <w:rsid w:val="00DC7616"/>
    <w:rsid w:val="00DD2EF8"/>
    <w:rsid w:val="00DD4FFB"/>
    <w:rsid w:val="00E35607"/>
    <w:rsid w:val="00E52D7A"/>
    <w:rsid w:val="00E86864"/>
    <w:rsid w:val="00EA3FAA"/>
    <w:rsid w:val="00F06B1B"/>
    <w:rsid w:val="00F86D35"/>
    <w:rsid w:val="00FB74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3E53B"/>
  <w15:chartTrackingRefBased/>
  <w15:docId w15:val="{5BBF154C-8A8F-4BED-A19F-CA0C14782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4B8"/>
    <w:pPr>
      <w:keepNext/>
      <w:keepLines/>
      <w:spacing w:before="360" w:after="80"/>
      <w:outlineLvl w:val="0"/>
    </w:pPr>
    <w:rPr>
      <w:rFonts w:ascii="Times New Roman" w:eastAsiaTheme="majorEastAsia" w:hAnsi="Times New Roman"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64B8"/>
    <w:pPr>
      <w:keepNext/>
      <w:keepLines/>
      <w:spacing w:before="160" w:after="80"/>
      <w:outlineLvl w:val="1"/>
    </w:pPr>
    <w:rPr>
      <w:rFonts w:ascii="Times New Roman" w:eastAsiaTheme="majorEastAsia" w:hAnsi="Times New Roman"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1523C"/>
    <w:pPr>
      <w:keepNext/>
      <w:keepLines/>
      <w:spacing w:before="160" w:after="80"/>
      <w:outlineLvl w:val="2"/>
    </w:pPr>
    <w:rPr>
      <w:rFonts w:ascii="Times New Roman" w:eastAsiaTheme="majorEastAsia" w:hAnsi="Times New Roman"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7A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7A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7A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7A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7A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7A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4B8"/>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3F64B8"/>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rsid w:val="00A1523C"/>
    <w:rPr>
      <w:rFonts w:ascii="Times New Roman" w:eastAsiaTheme="majorEastAsia" w:hAnsi="Times New Roman"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7A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7A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7A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7A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7A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7ABB"/>
    <w:rPr>
      <w:rFonts w:eastAsiaTheme="majorEastAsia" w:cstheme="majorBidi"/>
      <w:color w:val="272727" w:themeColor="text1" w:themeTint="D8"/>
    </w:rPr>
  </w:style>
  <w:style w:type="paragraph" w:styleId="Title">
    <w:name w:val="Title"/>
    <w:basedOn w:val="Normal"/>
    <w:next w:val="Normal"/>
    <w:link w:val="TitleChar"/>
    <w:uiPriority w:val="10"/>
    <w:qFormat/>
    <w:rsid w:val="000D7A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7A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7A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7A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7ABB"/>
    <w:pPr>
      <w:spacing w:before="160"/>
      <w:jc w:val="center"/>
    </w:pPr>
    <w:rPr>
      <w:i/>
      <w:iCs/>
      <w:color w:val="404040" w:themeColor="text1" w:themeTint="BF"/>
    </w:rPr>
  </w:style>
  <w:style w:type="character" w:customStyle="1" w:styleId="QuoteChar">
    <w:name w:val="Quote Char"/>
    <w:basedOn w:val="DefaultParagraphFont"/>
    <w:link w:val="Quote"/>
    <w:uiPriority w:val="29"/>
    <w:rsid w:val="000D7ABB"/>
    <w:rPr>
      <w:i/>
      <w:iCs/>
      <w:color w:val="404040" w:themeColor="text1" w:themeTint="BF"/>
    </w:rPr>
  </w:style>
  <w:style w:type="paragraph" w:styleId="ListParagraph">
    <w:name w:val="List Paragraph"/>
    <w:basedOn w:val="Normal"/>
    <w:uiPriority w:val="34"/>
    <w:qFormat/>
    <w:rsid w:val="000D7ABB"/>
    <w:pPr>
      <w:ind w:left="720"/>
      <w:contextualSpacing/>
    </w:pPr>
  </w:style>
  <w:style w:type="character" w:styleId="IntenseEmphasis">
    <w:name w:val="Intense Emphasis"/>
    <w:basedOn w:val="DefaultParagraphFont"/>
    <w:uiPriority w:val="21"/>
    <w:qFormat/>
    <w:rsid w:val="000D7ABB"/>
    <w:rPr>
      <w:i/>
      <w:iCs/>
      <w:color w:val="0F4761" w:themeColor="accent1" w:themeShade="BF"/>
    </w:rPr>
  </w:style>
  <w:style w:type="paragraph" w:styleId="IntenseQuote">
    <w:name w:val="Intense Quote"/>
    <w:basedOn w:val="Normal"/>
    <w:next w:val="Normal"/>
    <w:link w:val="IntenseQuoteChar"/>
    <w:uiPriority w:val="30"/>
    <w:qFormat/>
    <w:rsid w:val="000D7A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7ABB"/>
    <w:rPr>
      <w:i/>
      <w:iCs/>
      <w:color w:val="0F4761" w:themeColor="accent1" w:themeShade="BF"/>
    </w:rPr>
  </w:style>
  <w:style w:type="character" w:styleId="IntenseReference">
    <w:name w:val="Intense Reference"/>
    <w:basedOn w:val="DefaultParagraphFont"/>
    <w:uiPriority w:val="32"/>
    <w:qFormat/>
    <w:rsid w:val="000D7ABB"/>
    <w:rPr>
      <w:b/>
      <w:bCs/>
      <w:smallCaps/>
      <w:color w:val="0F4761" w:themeColor="accent1" w:themeShade="BF"/>
      <w:spacing w:val="5"/>
    </w:rPr>
  </w:style>
  <w:style w:type="paragraph" w:styleId="TOCHeading">
    <w:name w:val="TOC Heading"/>
    <w:basedOn w:val="Heading1"/>
    <w:next w:val="Normal"/>
    <w:uiPriority w:val="39"/>
    <w:unhideWhenUsed/>
    <w:qFormat/>
    <w:rsid w:val="00B8131C"/>
    <w:pPr>
      <w:spacing w:before="240" w:after="0" w:line="259" w:lineRule="auto"/>
      <w:outlineLvl w:val="9"/>
    </w:pPr>
    <w:rPr>
      <w:rFonts w:asciiTheme="majorHAnsi" w:hAnsiTheme="majorHAnsi"/>
      <w:kern w:val="0"/>
      <w:sz w:val="32"/>
      <w:szCs w:val="32"/>
      <w14:ligatures w14:val="none"/>
    </w:rPr>
  </w:style>
  <w:style w:type="paragraph" w:styleId="TOC1">
    <w:name w:val="toc 1"/>
    <w:basedOn w:val="Normal"/>
    <w:next w:val="Normal"/>
    <w:autoRedefine/>
    <w:uiPriority w:val="39"/>
    <w:unhideWhenUsed/>
    <w:rsid w:val="00B8131C"/>
    <w:pPr>
      <w:spacing w:after="100"/>
    </w:pPr>
  </w:style>
  <w:style w:type="paragraph" w:styleId="TOC2">
    <w:name w:val="toc 2"/>
    <w:basedOn w:val="Normal"/>
    <w:next w:val="Normal"/>
    <w:autoRedefine/>
    <w:uiPriority w:val="39"/>
    <w:unhideWhenUsed/>
    <w:rsid w:val="00B8131C"/>
    <w:pPr>
      <w:spacing w:after="100"/>
      <w:ind w:left="240"/>
    </w:pPr>
  </w:style>
  <w:style w:type="paragraph" w:styleId="TOC3">
    <w:name w:val="toc 3"/>
    <w:basedOn w:val="Normal"/>
    <w:next w:val="Normal"/>
    <w:autoRedefine/>
    <w:uiPriority w:val="39"/>
    <w:unhideWhenUsed/>
    <w:rsid w:val="00B8131C"/>
    <w:pPr>
      <w:spacing w:after="100"/>
      <w:ind w:left="480"/>
    </w:pPr>
  </w:style>
  <w:style w:type="character" w:styleId="Hyperlink">
    <w:name w:val="Hyperlink"/>
    <w:basedOn w:val="DefaultParagraphFont"/>
    <w:uiPriority w:val="99"/>
    <w:unhideWhenUsed/>
    <w:rsid w:val="00B8131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financeinstitute.com/resources/accounting/days-payable-outstanding/" TargetMode="External"/><Relationship Id="rId18" Type="http://schemas.openxmlformats.org/officeDocument/2006/relationships/hyperlink" Target="https://www.investopedia.com/terms/p/paybackperiod.asp" TargetMode="External"/><Relationship Id="rId26" Type="http://schemas.openxmlformats.org/officeDocument/2006/relationships/image" Target="media/image3.emf"/><Relationship Id="rId3" Type="http://schemas.openxmlformats.org/officeDocument/2006/relationships/customXml" Target="../customXml/item3.xml"/><Relationship Id="rId21" Type="http://schemas.openxmlformats.org/officeDocument/2006/relationships/hyperlink" Target="https://www.investopedia.com/ask/answers/011215/what-difference-between-roce-and-roe.asp" TargetMode="External"/><Relationship Id="rId7" Type="http://schemas.openxmlformats.org/officeDocument/2006/relationships/settings" Target="settings.xml"/><Relationship Id="rId12" Type="http://schemas.openxmlformats.org/officeDocument/2006/relationships/hyperlink" Target="https://corporatefinanceinstitute.com/resources/valuation/annual-recurring-revenue-arr/" TargetMode="External"/><Relationship Id="rId17" Type="http://schemas.openxmlformats.org/officeDocument/2006/relationships/hyperlink" Target="https://imarticus.org/blog/capital-budgeting-methods/" TargetMode="External"/><Relationship Id="rId25"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hyperlink" Target="https://www.investopedia.com/terms/o/operatingmargin.asp" TargetMode="External"/><Relationship Id="rId20" Type="http://schemas.openxmlformats.org/officeDocument/2006/relationships/hyperlink" Target="https://doi.org/10.1016/j.worlddev.2017.04.012" TargetMode="External"/><Relationship Id="rId29"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orporatefinanceinstitute.com/resources/valuation/npv-vs-irr/" TargetMode="External"/><Relationship Id="rId24"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hyperlink" Target="https://www.investopedia.com/terms/r/returnonequity.asp" TargetMode="External"/><Relationship Id="rId23" Type="http://schemas.openxmlformats.org/officeDocument/2006/relationships/hyperlink" Target="https://corporatefinanceinstitute.com/resources/valuation/earnings-per-share-eps-formula/" TargetMode="External"/><Relationship Id="rId28" Type="http://schemas.openxmlformats.org/officeDocument/2006/relationships/image" Target="media/image5.emf"/><Relationship Id="rId10" Type="http://schemas.openxmlformats.org/officeDocument/2006/relationships/hyperlink" Target="https://corporatefinanceinstitute.com/resources/accounting/liquidity-ratio/" TargetMode="External"/><Relationship Id="rId19" Type="http://schemas.openxmlformats.org/officeDocument/2006/relationships/hyperlink" Target="https://www.investopedia.com/terms/g/gearingratio.asp"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www.investopedia.com/terms/g/gross_profit_margin.asp" TargetMode="External"/><Relationship Id="rId14" Type="http://schemas.openxmlformats.org/officeDocument/2006/relationships/hyperlink" Target="https://doi.org/10.1111/j.1467-8683.2010.00801.x" TargetMode="External"/><Relationship Id="rId22" Type="http://schemas.openxmlformats.org/officeDocument/2006/relationships/hyperlink" Target="https://www.investopedia.com/terms/n/net_margin.asp" TargetMode="External"/><Relationship Id="rId27" Type="http://schemas.openxmlformats.org/officeDocument/2006/relationships/image" Target="media/image4.em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B6606FBCDF8B64C9AFCE91C6DA3B14F" ma:contentTypeVersion="4" ma:contentTypeDescription="Create a new document." ma:contentTypeScope="" ma:versionID="1f54f60904cbb65c31d83079c0b36c43">
  <xsd:schema xmlns:xsd="http://www.w3.org/2001/XMLSchema" xmlns:xs="http://www.w3.org/2001/XMLSchema" xmlns:p="http://schemas.microsoft.com/office/2006/metadata/properties" xmlns:ns3="e9e5a896-d793-4bb8-8f2d-bbf01f995aa8" targetNamespace="http://schemas.microsoft.com/office/2006/metadata/properties" ma:root="true" ma:fieldsID="0f5997c6c2f41bfdbd14df5d08c31368" ns3:_="">
    <xsd:import namespace="e9e5a896-d793-4bb8-8f2d-bbf01f995aa8"/>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e5a896-d793-4bb8-8f2d-bbf01f995a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B085677-4B7B-41C8-82EC-69BAF3DDA728}">
  <ds:schemaRefs>
    <ds:schemaRef ds:uri="http://schemas.microsoft.com/sharepoint/v3/contenttype/forms"/>
  </ds:schemaRefs>
</ds:datastoreItem>
</file>

<file path=customXml/itemProps2.xml><?xml version="1.0" encoding="utf-8"?>
<ds:datastoreItem xmlns:ds="http://schemas.openxmlformats.org/officeDocument/2006/customXml" ds:itemID="{82312BAD-8432-40AA-882B-AF21621D64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e5a896-d793-4bb8-8f2d-bbf01f995aa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CBF7A2-04F8-44FE-A55F-0ECB2865A05A}">
  <ds:schemaRefs>
    <ds:schemaRef ds:uri="http://schemas.openxmlformats.org/officeDocument/2006/bibliography"/>
  </ds:schemaRefs>
</ds:datastoreItem>
</file>

<file path=customXml/itemProps4.xml><?xml version="1.0" encoding="utf-8"?>
<ds:datastoreItem xmlns:ds="http://schemas.openxmlformats.org/officeDocument/2006/customXml" ds:itemID="{A0499FEE-59C8-4DFB-A60C-927C8F64A04C}">
  <ds:schemaRefs>
    <ds:schemaRef ds:uri="http://purl.org/dc/dcmitype/"/>
    <ds:schemaRef ds:uri="e9e5a896-d793-4bb8-8f2d-bbf01f995aa8"/>
    <ds:schemaRef ds:uri="http://schemas.openxmlformats.org/package/2006/metadata/core-properties"/>
    <ds:schemaRef ds:uri="http://schemas.microsoft.com/office/2006/documentManagement/types"/>
    <ds:schemaRef ds:uri="http://purl.org/dc/elements/1.1/"/>
    <ds:schemaRef ds:uri="http://www.w3.org/XML/1998/namespace"/>
    <ds:schemaRef ds:uri="http://schemas.microsoft.com/office/2006/metadata/properties"/>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41</Pages>
  <Words>10479</Words>
  <Characters>59731</Characters>
  <Application>Microsoft Office Word</Application>
  <DocSecurity>0</DocSecurity>
  <Lines>497</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Lutfor Rahman</dc:creator>
  <cp:keywords/>
  <dc:description/>
  <cp:lastModifiedBy>Lutfor Rahman</cp:lastModifiedBy>
  <cp:revision>2</cp:revision>
  <dcterms:created xsi:type="dcterms:W3CDTF">2026-01-11T23:37:00Z</dcterms:created>
  <dcterms:modified xsi:type="dcterms:W3CDTF">2026-01-11T23:37:00Z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0x010100BB6606FBCDF8B64C9AFCE91C6DA3B14F</vt:lpwstr>
  </property>
</Properties>
</file>