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529"/>
        <w:gridCol w:w="5261"/>
      </w:tblGrid>
      <w:tr w:rsidR="00A81248" w:rsidRPr="003A798E" w14:paraId="6ECB5E4E" w14:textId="77777777" w:rsidTr="00766C02">
        <w:tc>
          <w:tcPr>
            <w:tcW w:w="5529" w:type="dxa"/>
          </w:tcPr>
          <w:p w14:paraId="2B575429" w14:textId="77777777" w:rsidR="00A81248" w:rsidRPr="003A798E" w:rsidRDefault="00A81248" w:rsidP="00A81248">
            <w:pPr>
              <w:pStyle w:val="GraphicAnchor"/>
            </w:pPr>
          </w:p>
        </w:tc>
        <w:tc>
          <w:tcPr>
            <w:tcW w:w="5261" w:type="dxa"/>
          </w:tcPr>
          <w:p w14:paraId="50447F10" w14:textId="77777777" w:rsidR="00A81248" w:rsidRPr="003A798E" w:rsidRDefault="00A81248" w:rsidP="00A81248">
            <w:pPr>
              <w:pStyle w:val="GraphicAnchor"/>
            </w:pPr>
          </w:p>
        </w:tc>
      </w:tr>
      <w:tr w:rsidR="00A81248" w:rsidRPr="003A798E" w14:paraId="4993751A" w14:textId="77777777" w:rsidTr="00766C02">
        <w:trPr>
          <w:trHeight w:val="2719"/>
        </w:trPr>
        <w:tc>
          <w:tcPr>
            <w:tcW w:w="5529" w:type="dxa"/>
          </w:tcPr>
          <w:p w14:paraId="0AEDB9D8" w14:textId="65D14E25" w:rsidR="00A81248" w:rsidRPr="00766C02" w:rsidRDefault="00FF299E" w:rsidP="00C66528">
            <w:pPr>
              <w:pStyle w:val="Heading1"/>
              <w:rPr>
                <w:sz w:val="64"/>
                <w:szCs w:val="64"/>
              </w:rPr>
            </w:pPr>
            <w:r w:rsidRPr="00766C02">
              <w:rPr>
                <w:sz w:val="64"/>
                <w:szCs w:val="64"/>
              </w:rPr>
              <w:t>CASE REVIEW BRIEFING REPORT</w:t>
            </w:r>
          </w:p>
        </w:tc>
        <w:tc>
          <w:tcPr>
            <w:tcW w:w="5261" w:type="dxa"/>
          </w:tcPr>
          <w:p w14:paraId="5CFF4F56" w14:textId="0F60C52D"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2596A8A"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1AD38C05" w14:textId="6B84445E" w:rsidR="00FF299E" w:rsidRPr="00FF299E" w:rsidRDefault="00FF299E" w:rsidP="00FF299E">
            <w:pPr>
              <w:pStyle w:val="Heading2"/>
              <w:rPr>
                <w:sz w:val="28"/>
                <w:szCs w:val="18"/>
              </w:rPr>
            </w:pPr>
            <w:r w:rsidRPr="00FF299E">
              <w:rPr>
                <w:sz w:val="28"/>
                <w:szCs w:val="18"/>
              </w:rPr>
              <w:t xml:space="preserve">Using the </w:t>
            </w:r>
            <w:r w:rsidR="008077DC">
              <w:rPr>
                <w:sz w:val="28"/>
                <w:szCs w:val="18"/>
              </w:rPr>
              <w:t>working memory model theory</w:t>
            </w:r>
            <w:r w:rsidRPr="00FF299E">
              <w:rPr>
                <w:sz w:val="28"/>
                <w:szCs w:val="18"/>
              </w:rPr>
              <w:t xml:space="preserve"> from Cognitive Psychology to understand </w:t>
            </w:r>
            <w:r w:rsidR="000E131D">
              <w:rPr>
                <w:sz w:val="28"/>
                <w:szCs w:val="18"/>
              </w:rPr>
              <w:t xml:space="preserve">police </w:t>
            </w:r>
            <w:r w:rsidR="00E90514">
              <w:rPr>
                <w:sz w:val="28"/>
                <w:szCs w:val="18"/>
              </w:rPr>
              <w:t>failings in addressing antisocial behaviour</w:t>
            </w:r>
            <w:r w:rsidR="002803FF">
              <w:rPr>
                <w:sz w:val="28"/>
                <w:szCs w:val="18"/>
              </w:rPr>
              <w:t xml:space="preserve"> in a local authority</w:t>
            </w:r>
            <w:r w:rsidRPr="00FF299E">
              <w:rPr>
                <w:sz w:val="28"/>
                <w:szCs w:val="18"/>
              </w:rPr>
              <w:t xml:space="preserve">, and suggestions of new working practices/measures </w:t>
            </w:r>
            <w:r w:rsidR="00913380">
              <w:rPr>
                <w:sz w:val="28"/>
                <w:szCs w:val="18"/>
              </w:rPr>
              <w:t>b</w:t>
            </w:r>
            <w:r w:rsidRPr="00FF299E">
              <w:rPr>
                <w:sz w:val="28"/>
                <w:szCs w:val="18"/>
              </w:rPr>
              <w:t xml:space="preserve">ased upon knowledge of the cognitive mechanisms proposed by the theory.  </w:t>
            </w:r>
          </w:p>
          <w:p w14:paraId="296CFA90" w14:textId="77777777" w:rsidR="00FF299E" w:rsidRPr="003A798E" w:rsidRDefault="00FF299E"/>
        </w:tc>
      </w:tr>
    </w:tbl>
    <w:p w14:paraId="7FDB8637" w14:textId="14E5021D" w:rsidR="000C4ED1" w:rsidRPr="003A798E" w:rsidRDefault="000C4ED1"/>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FA38A4">
        <w:trPr>
          <w:trHeight w:val="5682"/>
        </w:trPr>
        <w:tc>
          <w:tcPr>
            <w:tcW w:w="10773" w:type="dxa"/>
            <w:shd w:val="clear" w:color="auto" w:fill="EDF0F4" w:themeFill="accent3"/>
          </w:tcPr>
          <w:p w14:paraId="1594F49B" w14:textId="1BC1788F" w:rsidR="00766C02" w:rsidRPr="003A798E" w:rsidRDefault="00766C02" w:rsidP="001205A1">
            <w:pPr>
              <w:pStyle w:val="Heading3"/>
            </w:pPr>
            <w:r>
              <w:lastRenderedPageBreak/>
              <w:t>BACKGROUND TO THE BRIEFING REPORT</w:t>
            </w:r>
          </w:p>
          <w:p w14:paraId="0E789157" w14:textId="77777777" w:rsidR="00766C02" w:rsidRPr="003A798E" w:rsidRDefault="00766C02" w:rsidP="001205A1">
            <w:pPr>
              <w:pStyle w:val="Heading4"/>
            </w:pPr>
          </w:p>
          <w:p w14:paraId="514E3B4F" w14:textId="0F37D4E7" w:rsidR="00766C02" w:rsidRPr="003A798E" w:rsidRDefault="008077DC" w:rsidP="000C2398">
            <w:pPr>
              <w:spacing w:line="360" w:lineRule="auto"/>
              <w:ind w:firstLine="720"/>
            </w:pPr>
            <w:r>
              <w:t>The background to this report stems from the increase in antisocial behaviour within the community of Glynafonshire, South Wales, over the past year. Residents and local businesses have faced a growing concern for disruptive activities such as vandalism, noise disturbances, public intoxication, and reckless driving. This has been largely attributed to a specific group of individuals that have moved into the area within the last three years. These ongoing incidents have not only disrupted daily life but have also escalated to serious public safety concerns, with the most noticeable incident occurring on Saturday 8</w:t>
            </w:r>
            <w:r w:rsidRPr="00FD2BBE">
              <w:rPr>
                <w:vertAlign w:val="superscript"/>
              </w:rPr>
              <w:t>th</w:t>
            </w:r>
            <w:r>
              <w:t xml:space="preserve"> of June 2024 at 16:30 that left several individuals injured with the need for medical treatment, with one individual with life threatening injuries. Despite numerous complaints, the local police response has been widely perceived as delayed, insufficient, and lacking in follow-up. This has led to growing frustration and fear within the community. Specifically, during the incident on 8</w:t>
            </w:r>
            <w:r w:rsidRPr="00ED1E6C">
              <w:rPr>
                <w:vertAlign w:val="superscript"/>
              </w:rPr>
              <w:t>th</w:t>
            </w:r>
            <w:r>
              <w:t xml:space="preserve"> of June, which highlighted the consequences of delayed police intervention, especially considering the time that was taken to respond (53 minutes after the first call). Therefore, this review was created to assess the way police handle these events, identify the causes of the inadequate responses, and propose changes aimed at rebuilding trust and improving safety for the community. The working memory model theory can provide us with valuable information and explain why police officers may struggle to respond effectively to calls on repeated incidents, and by using the theory to improve their ability to manage and retain detailed information in real time. It can help in enhancing response times and help with more consistent actions being taken to address this ongoing issue within the community.</w:t>
            </w:r>
          </w:p>
        </w:tc>
      </w:tr>
      <w:tr w:rsidR="00766C02" w:rsidRPr="003A798E" w14:paraId="7720E703" w14:textId="77777777" w:rsidTr="00FA38A4">
        <w:trPr>
          <w:trHeight w:val="7629"/>
        </w:trPr>
        <w:tc>
          <w:tcPr>
            <w:tcW w:w="10773" w:type="dxa"/>
            <w:shd w:val="clear" w:color="auto" w:fill="EDF0F4" w:themeFill="accent3"/>
          </w:tcPr>
          <w:p w14:paraId="5B2807DB" w14:textId="309E2DD2" w:rsidR="00766C02" w:rsidRDefault="00766C02" w:rsidP="00766C02">
            <w:pPr>
              <w:pStyle w:val="Heading3"/>
            </w:pPr>
            <w:r>
              <w:lastRenderedPageBreak/>
              <w:t xml:space="preserve">THE </w:t>
            </w:r>
            <w:r w:rsidR="008077DC">
              <w:t>WORKING MEMORY MODEL</w:t>
            </w:r>
            <w:r>
              <w:t xml:space="preserve"> THEORY</w:t>
            </w:r>
          </w:p>
          <w:p w14:paraId="7013626D" w14:textId="77777777" w:rsidR="00766C02" w:rsidRPr="00766C02" w:rsidRDefault="00766C02" w:rsidP="00766C02"/>
          <w:p w14:paraId="2A6F267D" w14:textId="64A084FE" w:rsidR="008077DC" w:rsidRPr="000130C5" w:rsidRDefault="008077DC" w:rsidP="000C2398">
            <w:pPr>
              <w:spacing w:line="360" w:lineRule="auto"/>
              <w:ind w:firstLine="720"/>
            </w:pPr>
            <w:r>
              <w:t xml:space="preserve">The working memory model theory, developed by Baddeley and Hitch (1974 as cited by Miller-Cotto &amp; Gordon, 2024) and later refined by Baddeley (2000 as cited by Miller-Cotto &amp; Gordon, 2024), offers a more dynamic and holistic approach compared to the earlier multi-store model as it focuses specifically on the structure and function of short-term memory (Miller-Cotto &amp; Gordon, 2024). Compared to the </w:t>
            </w:r>
            <w:r w:rsidRPr="000130C5">
              <w:t xml:space="preserve">multi-store model which views short-term memory as a single, passive store, this model views it as an active system that is </w:t>
            </w:r>
            <w:r w:rsidR="00026877" w:rsidRPr="000130C5">
              <w:t>in charge of temporarily storing and manipulating information</w:t>
            </w:r>
            <w:r w:rsidRPr="000130C5">
              <w:t xml:space="preserve"> </w:t>
            </w:r>
            <w:r w:rsidR="008F65AE" w:rsidRPr="000130C5">
              <w:t xml:space="preserve">which is </w:t>
            </w:r>
            <w:r w:rsidRPr="000130C5">
              <w:t xml:space="preserve">necessary for complex </w:t>
            </w:r>
            <w:r w:rsidR="008F65AE" w:rsidRPr="000130C5">
              <w:t>mental activities such as comprehension, learning, and problem solving</w:t>
            </w:r>
            <w:r w:rsidRPr="000130C5">
              <w:t xml:space="preserve"> (Baddeley, 2010). The working memory model consists of three main aspects: the central executive, the phonological loop, and the visuospatial sketchpad (Miller-Cotto &amp; Gordon, 2024). The central executive is considered the core component, it </w:t>
            </w:r>
            <w:r w:rsidR="008F65AE" w:rsidRPr="000130C5">
              <w:t xml:space="preserve">assists in focusing attention and managing the activities of other components </w:t>
            </w:r>
            <w:r w:rsidRPr="000130C5">
              <w:t xml:space="preserve">(phonological loop &amp; visuospatial sketchpad) (Baddeley, 2012; Collette &amp; Van de Linder, 2002; McCabe et al., 2010). The phonological loop handles verbal and auditory information and includes a phonological store which holds words that we hear and the articulator process which is responsible for subvocal repletion of verbal information which keeps it active in the phonological loop (Baddeley, 2012; Baddeley &amp; Hitch, 2019; Hughes, 2024). Finally, the visuospatial sketchpad is responsible for visual and spatial data such as mental images or spatial awareness (Baddeley, 2012; Bruyer &amp; Scailquin, 1998). Baddeley (2000), added a forth component which was the </w:t>
            </w:r>
            <w:r w:rsidR="00582255" w:rsidRPr="000130C5">
              <w:t xml:space="preserve">episodic buffer serves as s short-term storage system that combined information </w:t>
            </w:r>
            <w:r w:rsidRPr="000130C5">
              <w:t>from the phonological loop,</w:t>
            </w:r>
            <w:r w:rsidR="00135B5A">
              <w:t xml:space="preserve"> long-term memory, and</w:t>
            </w:r>
            <w:r w:rsidRPr="000130C5">
              <w:t xml:space="preserve"> visuospatial sketchpad to create a coherent episode (Henry, 2010; Miller-Cotto &amp; Gordon, 2024). The working memory model emphasises parallel processing and the interactive nature of these components which makes it align more with the complexity of real-world cognitive functioning (Baddeley, 2010).  </w:t>
            </w:r>
          </w:p>
          <w:p w14:paraId="05244150" w14:textId="77777777" w:rsidR="008077DC" w:rsidRPr="000130C5" w:rsidRDefault="008077DC" w:rsidP="000C2398">
            <w:pPr>
              <w:spacing w:line="360" w:lineRule="auto"/>
              <w:ind w:firstLine="720"/>
            </w:pPr>
          </w:p>
          <w:p w14:paraId="5AEA3A81" w14:textId="748A78C2" w:rsidR="008077DC" w:rsidRPr="000130C5" w:rsidRDefault="008077DC" w:rsidP="000C2398">
            <w:pPr>
              <w:spacing w:line="360" w:lineRule="auto"/>
              <w:ind w:firstLine="720"/>
            </w:pPr>
            <w:r w:rsidRPr="000130C5">
              <w:t>There is a wide range of studies that have examined the working memory model theory. This can be seen though Giofre et al. (2018) investigation of the different roles of verbal and visuospatial working memory in math’s and reading.</w:t>
            </w:r>
            <w:r w:rsidR="009A5EB7">
              <w:t xml:space="preserve"> Their study confirmed that verbal and visuospatial working memory are distinct and that each has </w:t>
            </w:r>
            <w:r w:rsidR="002A50A7">
              <w:t>unique</w:t>
            </w:r>
            <w:r w:rsidR="009A5EB7">
              <w:t xml:space="preserve"> predictive abilities</w:t>
            </w:r>
            <w:r w:rsidRPr="000130C5">
              <w:t xml:space="preserve"> in explaining unique differences in math and reading performance. These findings support the model of working memory and suggest that the phonological loop and visuospatial sketchpad can contribute differently to academic achievement.</w:t>
            </w:r>
          </w:p>
          <w:p w14:paraId="66D359A7" w14:textId="77777777" w:rsidR="008077DC" w:rsidRPr="000130C5" w:rsidRDefault="008077DC" w:rsidP="000C2398">
            <w:pPr>
              <w:spacing w:line="360" w:lineRule="auto"/>
              <w:ind w:firstLine="720"/>
            </w:pPr>
          </w:p>
          <w:p w14:paraId="55233FFF" w14:textId="5B4F4541" w:rsidR="008077DC" w:rsidRPr="000130C5" w:rsidRDefault="008077DC" w:rsidP="000C2398">
            <w:pPr>
              <w:spacing w:line="360" w:lineRule="auto"/>
              <w:ind w:firstLine="720"/>
            </w:pPr>
            <w:r w:rsidRPr="000130C5">
              <w:lastRenderedPageBreak/>
              <w:t>Additionally, a study conducted by Carretti et al. (2022) examined the structure of working memory in children ages between 3-8 years. Using a multigroup confirmatory factor analyses, the results found that a four factor model distinguished</w:t>
            </w:r>
            <w:r w:rsidR="00582255" w:rsidRPr="000130C5">
              <w:t xml:space="preserve"> that the optimal fit was achieved between the visual, verbal, </w:t>
            </w:r>
            <w:r w:rsidR="00582255" w:rsidRPr="00135B5A">
              <w:t xml:space="preserve">spatial </w:t>
            </w:r>
            <w:r w:rsidR="00135B5A" w:rsidRPr="00135B5A">
              <w:t>(</w:t>
            </w:r>
            <w:r w:rsidR="00582255" w:rsidRPr="00135B5A">
              <w:t>simultaneous and</w:t>
            </w:r>
            <w:r w:rsidR="00135B5A" w:rsidRPr="00135B5A">
              <w:t xml:space="preserve"> </w:t>
            </w:r>
            <w:r w:rsidR="00582255" w:rsidRPr="00135B5A">
              <w:t>sequential</w:t>
            </w:r>
            <w:r w:rsidR="00135B5A">
              <w:t>)</w:t>
            </w:r>
            <w:r w:rsidR="00582255" w:rsidRPr="000130C5">
              <w:t xml:space="preserve"> components of working memory.</w:t>
            </w:r>
            <w:r w:rsidRPr="000130C5">
              <w:t xml:space="preserve"> The results from this research highlights the importance of making distinctions between different working memory components in young children and suggests that the phonological loop and visuospatial sketchpad are present in young children and can be functionally different in early development.</w:t>
            </w:r>
          </w:p>
          <w:p w14:paraId="445AFBCB" w14:textId="77777777" w:rsidR="008077DC" w:rsidRPr="000130C5" w:rsidRDefault="008077DC" w:rsidP="000C2398">
            <w:pPr>
              <w:spacing w:line="360" w:lineRule="auto"/>
              <w:ind w:firstLine="720"/>
            </w:pPr>
          </w:p>
          <w:p w14:paraId="717A72A2" w14:textId="2D9ABF2B" w:rsidR="008077DC" w:rsidRDefault="008077DC" w:rsidP="000C2398">
            <w:pPr>
              <w:spacing w:line="360" w:lineRule="auto"/>
              <w:ind w:firstLine="720"/>
            </w:pPr>
            <w:r w:rsidRPr="000130C5">
              <w:t xml:space="preserve">Finally, a study conducted by Fisher et al. (2023) used </w:t>
            </w:r>
            <w:r w:rsidR="00582255" w:rsidRPr="000130C5">
              <w:t xml:space="preserve">connectome-based working memory models </w:t>
            </w:r>
            <w:r w:rsidR="00E07275" w:rsidRPr="000130C5">
              <w:t>to predict emotion regulation in older adults.</w:t>
            </w:r>
            <w:r w:rsidRPr="000130C5">
              <w:t xml:space="preserve"> Although the study primarily focused on the central executive’s role in emotional regulation, it emphasises </w:t>
            </w:r>
            <w:r>
              <w:t xml:space="preserve">the importance of the central executive role in managing complex cognitive tasks and emotional responses. The results from this research suggests that individual differences in the level of function in the central executive component may influence broader cognitive and emotional outcomes. </w:t>
            </w:r>
          </w:p>
          <w:p w14:paraId="44D76B36" w14:textId="04C8E7BE" w:rsidR="00766C02" w:rsidRPr="003A798E" w:rsidRDefault="00766C02" w:rsidP="00FA38A4"/>
        </w:tc>
      </w:tr>
    </w:tbl>
    <w:p w14:paraId="444B5C1F" w14:textId="77777777" w:rsidR="00FB65B8" w:rsidRPr="003A798E" w:rsidRDefault="00FB65B8" w:rsidP="00A24793"/>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FA38A4">
        <w:trPr>
          <w:trHeight w:val="9513"/>
        </w:trPr>
        <w:tc>
          <w:tcPr>
            <w:tcW w:w="1701" w:type="dxa"/>
            <w:shd w:val="clear" w:color="auto" w:fill="ECFBFB" w:themeFill="accent4"/>
          </w:tcPr>
          <w:p w14:paraId="57674860" w14:textId="77777777" w:rsidR="00FA38A4" w:rsidRPr="003A798E" w:rsidRDefault="00FA38A4" w:rsidP="00D6375E"/>
        </w:tc>
        <w:tc>
          <w:tcPr>
            <w:tcW w:w="3828" w:type="dxa"/>
            <w:tcBorders>
              <w:bottom w:val="single" w:sz="18" w:space="0" w:color="00C1C7" w:themeColor="accent2"/>
            </w:tcBorders>
            <w:shd w:val="clear" w:color="auto" w:fill="ECFBFB" w:themeFill="accent4"/>
          </w:tcPr>
          <w:p w14:paraId="3050628B" w14:textId="35B8B009" w:rsidR="00FA38A4" w:rsidRPr="00F00899" w:rsidRDefault="00FA38A4" w:rsidP="00FC49AE">
            <w:pPr>
              <w:pStyle w:val="Heading5"/>
              <w:rPr>
                <w:sz w:val="36"/>
                <w:szCs w:val="10"/>
              </w:rPr>
            </w:pPr>
            <w:r w:rsidRPr="00F00899">
              <w:rPr>
                <w:sz w:val="36"/>
                <w:szCs w:val="10"/>
              </w:rPr>
              <w:t xml:space="preserve">HOW DOES THE THEORY RELATE TO THE OUTCOME FROM THE LOCAL </w:t>
            </w:r>
            <w:r w:rsidR="005228C0" w:rsidRPr="00F00899">
              <w:rPr>
                <w:sz w:val="36"/>
                <w:szCs w:val="10"/>
              </w:rPr>
              <w:t>AUTHORITY</w:t>
            </w:r>
            <w:r w:rsidRPr="00F00899">
              <w:rPr>
                <w:sz w:val="36"/>
                <w:szCs w:val="10"/>
              </w:rPr>
              <w:t>?</w:t>
            </w:r>
          </w:p>
        </w:tc>
        <w:tc>
          <w:tcPr>
            <w:tcW w:w="7087" w:type="dxa"/>
            <w:gridSpan w:val="2"/>
            <w:tcBorders>
              <w:bottom w:val="single" w:sz="18" w:space="0" w:color="00C1C7" w:themeColor="accent2"/>
            </w:tcBorders>
            <w:shd w:val="clear" w:color="auto" w:fill="ECFBFB" w:themeFill="accent4"/>
          </w:tcPr>
          <w:p w14:paraId="4E6C0B07" w14:textId="77777777" w:rsidR="008077DC" w:rsidRDefault="008077DC" w:rsidP="000C2398">
            <w:pPr>
              <w:spacing w:line="360" w:lineRule="auto"/>
              <w:ind w:firstLine="720"/>
            </w:pPr>
            <w:r>
              <w:t>Our understanding of the working memory model theory can help in explain some of the potential cognitive limitations that may have contributed to the failings in police response to antisocial behaviour. The working memory model brakes down short-term memory into different components: the central executive, the phonological loop, the visuospatial sketchpad, and the episodic buffer (Miller-Cotto &amp; Gordon, 2024). Each part handles different types of information and is limited in capacity (Logie, 2011).</w:t>
            </w:r>
          </w:p>
          <w:p w14:paraId="21EFE59C" w14:textId="77777777" w:rsidR="008077DC" w:rsidRDefault="008077DC" w:rsidP="000C2398">
            <w:pPr>
              <w:spacing w:line="360" w:lineRule="auto"/>
              <w:ind w:firstLine="720"/>
            </w:pPr>
          </w:p>
          <w:p w14:paraId="0B4851E4" w14:textId="77777777" w:rsidR="008077DC" w:rsidRDefault="008077DC" w:rsidP="000C2398">
            <w:pPr>
              <w:spacing w:line="360" w:lineRule="auto"/>
              <w:ind w:firstLine="720"/>
            </w:pPr>
            <w:r>
              <w:t xml:space="preserve">An overload in the central executive component may be a potential reason for the outcome from the local authority. The central executive component is responsible for allocating attention, prioritizing tasks, and coordinating information from other subcomponents (Baddeley, 2012; Collette &amp; Van de Linder, 2002). Therefore, in a situation where police officers have to deal with a high volume of calls with limited resources, officers may ultimately be forced to make quick decisions under pressure. If their central executive is overloaded, for example managing multiple incidents, assessing risk, and choosing dispatch strategies, it may lead to errors in judgement and delayed responses can occur. This can be a potential explanation for why there were delayed response times, as the central executive system becomes overwhelmed it can lead to failures in being able to priorities appropriately (Sosnowski &amp; Brosnan, 2023).     </w:t>
            </w:r>
          </w:p>
          <w:p w14:paraId="707A3E7D" w14:textId="77777777" w:rsidR="008077DC" w:rsidRDefault="008077DC" w:rsidP="000C2398">
            <w:pPr>
              <w:spacing w:line="360" w:lineRule="auto"/>
              <w:ind w:firstLine="720"/>
            </w:pPr>
          </w:p>
          <w:p w14:paraId="1CBC3720" w14:textId="77777777" w:rsidR="008077DC" w:rsidRDefault="008077DC" w:rsidP="000C2398">
            <w:pPr>
              <w:spacing w:line="360" w:lineRule="auto"/>
              <w:ind w:firstLine="720"/>
            </w:pPr>
            <w:r>
              <w:t xml:space="preserve">Another way the working memory model theory can help in explaining the failings in addressing antisocial behaviour can be seen though the phonological loop. The phonological loop temporarily stores verbal information and, in this scenario, it can be related to the calls that were being made in relation to the antisocial behaviour that was being reported. While receiving frequent and emotional calls, it’s likely that some details were </w:t>
            </w:r>
            <w:r>
              <w:lastRenderedPageBreak/>
              <w:t xml:space="preserve">not fully retained, especially if the officers taking the call were potentially distracted by other inputs (Chein &amp; Fiez, 2010). This can then lead to inadequate follow ups, missing some details within statements, or failure to recognise repeated patterns in the reports that were being made in relation to antisocial behaviour. </w:t>
            </w:r>
          </w:p>
          <w:p w14:paraId="7B9B87E2" w14:textId="77777777" w:rsidR="008077DC" w:rsidRDefault="008077DC" w:rsidP="000C2398">
            <w:pPr>
              <w:spacing w:line="360" w:lineRule="auto"/>
              <w:ind w:firstLine="720"/>
            </w:pPr>
          </w:p>
          <w:p w14:paraId="18B8F153" w14:textId="77777777" w:rsidR="008077DC" w:rsidRDefault="008077DC" w:rsidP="000C2398">
            <w:pPr>
              <w:spacing w:line="360" w:lineRule="auto"/>
              <w:ind w:firstLine="720"/>
            </w:pPr>
            <w:r>
              <w:t xml:space="preserve">Additionally, the processes of visual and spatial information through the visuospatial sketchpad can aid in our understanding the potential reason for the outcome from the local authority. If police officers are patrolling multiple areas due to their limited resources or have a limited idea of activity within areas due to infrequent patrols, their perceptions of the high-risk areas may be incomplete or outdated due to the visuospatial sketchpad holding information for a limited amount of time (Barton et al., 1995; Wagner et al., 2021). This could potentially contribute to the insufficient patrols and failure to anticipate where incidents might occur even though they know gathering spots.    </w:t>
            </w:r>
          </w:p>
          <w:p w14:paraId="0A0EB953" w14:textId="77777777" w:rsidR="008077DC" w:rsidRDefault="008077DC" w:rsidP="000C2398">
            <w:pPr>
              <w:spacing w:line="360" w:lineRule="auto"/>
              <w:ind w:firstLine="720"/>
            </w:pPr>
          </w:p>
          <w:p w14:paraId="71E85328" w14:textId="77777777" w:rsidR="008077DC" w:rsidRDefault="008077DC" w:rsidP="000C2398">
            <w:pPr>
              <w:spacing w:line="360" w:lineRule="auto"/>
              <w:ind w:firstLine="720"/>
            </w:pPr>
            <w:r>
              <w:t>Furthermore, working memory has a limited capacity, which indicates that too much information can cause overload. In the case review it was noted that the police are dealing with a wide range of challenges such as the complexity of antisocial behaviour, resource shortages, and legal and procedural constraints. When working memory is overloaded it can affect the ability to effectively plan, evaluate, and respond strategically (Simon et al., 2016). This will ultimately affect the way police respond to addressing antisocial behaviour, think of an effective plan for dealing with the resource shortage, and dealing with legal and procedural constraints.</w:t>
            </w:r>
          </w:p>
          <w:p w14:paraId="78CB1399" w14:textId="77777777" w:rsidR="008077DC" w:rsidRDefault="008077DC" w:rsidP="000C2398">
            <w:pPr>
              <w:spacing w:line="360" w:lineRule="auto"/>
              <w:ind w:firstLine="720"/>
            </w:pPr>
          </w:p>
          <w:p w14:paraId="21BBCE58" w14:textId="77777777" w:rsidR="008077DC" w:rsidRDefault="008077DC" w:rsidP="000C2398">
            <w:pPr>
              <w:spacing w:line="360" w:lineRule="auto"/>
              <w:ind w:firstLine="720"/>
            </w:pPr>
            <w:r>
              <w:t xml:space="preserve">The working memory model theory helps us understand how cognitive overload, information processing, and capacity </w:t>
            </w:r>
            <w:r>
              <w:lastRenderedPageBreak/>
              <w:t xml:space="preserve">limitations may have contributed to the failing of the police in addressing antisocial behaviour. Essentially, being under pressure, the ability to coordinate, remember, priorities, and respond effectively maybe being impaired may explain the current situation the local authority is facing.     </w:t>
            </w:r>
          </w:p>
          <w:p w14:paraId="598C0222" w14:textId="77B9AC55" w:rsidR="00FA38A4" w:rsidRPr="003A798E" w:rsidRDefault="00FA38A4" w:rsidP="00A24793">
            <w:pPr>
              <w:pStyle w:val="Text"/>
            </w:pP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rsidP="00D6375E"/>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1853A39C" w14:textId="77777777" w:rsidR="00FA38A4" w:rsidRPr="003A798E" w:rsidRDefault="00FA38A4" w:rsidP="00A24793">
            <w:pPr>
              <w:pStyle w:val="Text"/>
            </w:pPr>
          </w:p>
          <w:p w14:paraId="5BB860CD" w14:textId="6B2427FD" w:rsidR="00FA38A4" w:rsidRPr="003A798E" w:rsidRDefault="00FA38A4" w:rsidP="00A24793">
            <w:pPr>
              <w:pStyle w:val="Text"/>
            </w:pP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385A66C3" w14:textId="41E76A44" w:rsidR="00FA38A4" w:rsidRPr="003A798E" w:rsidRDefault="00FA38A4" w:rsidP="000C2398">
            <w:pPr>
              <w:pStyle w:val="Heading3"/>
            </w:pPr>
            <w:r>
              <w:lastRenderedPageBreak/>
              <w:t>SUGGESTIONS FOR NEW PROCEDURES BASED ON</w:t>
            </w:r>
            <w:r w:rsidR="000C2398">
              <w:t xml:space="preserve"> </w:t>
            </w:r>
            <w:r>
              <w:t xml:space="preserve">THE THEORY </w:t>
            </w:r>
          </w:p>
          <w:p w14:paraId="7F25076D" w14:textId="77777777" w:rsidR="00FA38A4" w:rsidRPr="003A798E" w:rsidRDefault="00FA38A4" w:rsidP="000C2398">
            <w:pPr>
              <w:pStyle w:val="Heading4"/>
              <w:spacing w:line="360" w:lineRule="auto"/>
              <w:ind w:firstLine="720"/>
            </w:pPr>
          </w:p>
          <w:p w14:paraId="0D70A926" w14:textId="77777777" w:rsidR="008077DC" w:rsidRDefault="008077DC" w:rsidP="000C2398">
            <w:pPr>
              <w:spacing w:line="360" w:lineRule="auto"/>
              <w:ind w:firstLine="720"/>
            </w:pPr>
            <w:r>
              <w:t xml:space="preserve">To address the shortcomings in police response to antisocial behaviour, the working memory model theory can be used to suggest new procedures to help decision-making, information retention, and effective responses under pressure. Within the working memory model theory, the central executive component oversees attention and decision-making (Baddeley, 2012). Under stress, this component can be overloaded, leading to delayed or poor decision-making (Girotti et al., 2018). Therefore, it may be beneficial to implement regular scenario-based training simulations that mimic real life antisocial behaviour incidents as well as incidents that display a high cognitive load environment to condition police officers in managing attention and multitasking. It would also be beneficial to have simulations that involve distractions and require quick decision making. This should specifically help to train police officers to manage multiple sources of information and make quick decisions under pressure without overloading the central executive component. Research conducted by Elendu et al. (2024) found that the use of simulation-based training improves performance as well as higher skill retention compared to traditional methods. By using this method of training, it can help police officers develop effective response strategies, reducing cognitive load in real life situations by allowing them to rely on prior practice, which enables them to react quicker and make more confident decisions when facing real calls. Additionally, Groves et al. (2022) highlighted that training in complex scenarios helps improve the efficient use of the central executive component.   </w:t>
            </w:r>
          </w:p>
          <w:p w14:paraId="3615C7E2" w14:textId="77777777" w:rsidR="008077DC" w:rsidRDefault="008077DC" w:rsidP="000C2398">
            <w:pPr>
              <w:spacing w:line="360" w:lineRule="auto"/>
              <w:ind w:firstLine="720"/>
            </w:pPr>
          </w:p>
          <w:p w14:paraId="7CA201F7" w14:textId="77777777" w:rsidR="008077DC" w:rsidRDefault="008077DC" w:rsidP="000C2398">
            <w:pPr>
              <w:spacing w:line="360" w:lineRule="auto"/>
              <w:ind w:firstLine="720"/>
            </w:pPr>
            <w:r>
              <w:t xml:space="preserve">As previously stated, the phonological loop can be susceptible to interference which can lead to some detailed not being fully retained (Chein &amp; Fiez, 2010). Therefore, it may be beneficial to equip police officers with real time digital or AI support such as voice to text transcriptions to verbally record real-time observations or calls which can then be automatically transcribed into text for follow up. This can help support memory and reduce the reliance on potentially flawed recall after the fact. Research conducted by Adams et al. (2024) found that AI assistant technology brought about many benefits including the improvement in accuracy and reduced the time taken to make police reports, consistency, and the stress placed on police staff from public demands. By introducing this method the central executive component will be supported by real time information and any disruptions that occur within the phonological loop wouldn’t affect the polices decision-making and improve response time to antisocial behaviour. </w:t>
            </w:r>
          </w:p>
          <w:p w14:paraId="6E324AE7" w14:textId="77777777" w:rsidR="008077DC" w:rsidRDefault="008077DC" w:rsidP="000C2398">
            <w:pPr>
              <w:spacing w:line="360" w:lineRule="auto"/>
              <w:ind w:firstLine="720"/>
            </w:pPr>
          </w:p>
          <w:p w14:paraId="1A706898" w14:textId="77777777" w:rsidR="008077DC" w:rsidRPr="00622755" w:rsidRDefault="008077DC" w:rsidP="000C2398">
            <w:pPr>
              <w:spacing w:line="360" w:lineRule="auto"/>
              <w:ind w:firstLine="720"/>
            </w:pPr>
            <w:r>
              <w:lastRenderedPageBreak/>
              <w:t xml:space="preserve">Finally, another procedure that can be implemented based on the working memory model theory is creating a visual hotspot map that can be used during patrols. The visuospatial sketchpad aids in processing visual and spatial information, which helps police officers to understand the environment (Baddeley, 2012). Therefore, by using systems such as the geographic information systems as a tool for mapping out visual hotspots which can be made accessible via phone or police specific devises in helping and guiding proactive patrols. Furthermore, developing routes on these maps that provided the most effective routes to reach a specific location can also help in reducing the time taken for police officers to reach a location. Research conducted by Jefferson &amp; Johannes. (2016) stated that using geographic information systems significantly improve strategic decision-making in emergency management. </w:t>
            </w:r>
            <w:r w:rsidRPr="00622755">
              <w:t>The cognitive load that’s placed on the visuospatial sketchpad would be alleviated by using this type of map</w:t>
            </w:r>
            <w:r>
              <w:t>ping system</w:t>
            </w:r>
            <w:r w:rsidRPr="00622755">
              <w:t xml:space="preserve"> that presents the key locations and the most efficient routes to reach them.  Moreover, given the limited number of police officers, this system would help their ability to response to calls more promptly despite may be not having the most up to date mental image of the hot spot areas therefore this system would help optimize navigation without increasing the mental strain.</w:t>
            </w:r>
            <w:r>
              <w:t xml:space="preserve"> </w:t>
            </w:r>
            <w:r w:rsidRPr="00622755">
              <w:t xml:space="preserve"> </w:t>
            </w:r>
          </w:p>
          <w:p w14:paraId="303C466A" w14:textId="77777777" w:rsidR="00FA38A4" w:rsidRPr="003A798E" w:rsidRDefault="00FA38A4" w:rsidP="000C2398">
            <w:pPr>
              <w:pStyle w:val="Heading4"/>
              <w:spacing w:line="360" w:lineRule="auto"/>
              <w:ind w:firstLine="720"/>
            </w:pPr>
          </w:p>
        </w:tc>
      </w:tr>
      <w:tr w:rsidR="00FA38A4" w:rsidRPr="003A798E" w14:paraId="0B43E723" w14:textId="77777777" w:rsidTr="00FA38A4">
        <w:tblPrEx>
          <w:shd w:val="clear" w:color="auto" w:fill="EDF0F4" w:themeFill="accent3"/>
          <w:tblCellMar>
            <w:left w:w="0" w:type="dxa"/>
            <w:right w:w="0" w:type="dxa"/>
          </w:tblCellMar>
        </w:tblPrEx>
        <w:trPr>
          <w:gridBefore w:val="1"/>
          <w:gridAfter w:val="1"/>
          <w:wBefore w:w="1701" w:type="dxa"/>
          <w:wAfter w:w="142" w:type="dxa"/>
          <w:trHeight w:val="8879"/>
        </w:trPr>
        <w:tc>
          <w:tcPr>
            <w:tcW w:w="10773" w:type="dxa"/>
            <w:gridSpan w:val="2"/>
            <w:shd w:val="clear" w:color="auto" w:fill="EDF0F4" w:themeFill="accent3"/>
          </w:tcPr>
          <w:p w14:paraId="63B67C8E" w14:textId="4B903E6F" w:rsidR="00FA38A4" w:rsidRDefault="0098239A" w:rsidP="000751D2">
            <w:pPr>
              <w:pStyle w:val="Heading3"/>
            </w:pPr>
            <w:r>
              <w:lastRenderedPageBreak/>
              <w:t>EVALUATION AND CRITIQUE OF</w:t>
            </w:r>
            <w:r w:rsidR="00FA38A4">
              <w:t xml:space="preserve"> THEORY</w:t>
            </w:r>
          </w:p>
          <w:p w14:paraId="6AD52D93" w14:textId="77777777" w:rsidR="00FA38A4" w:rsidRPr="00766C02" w:rsidRDefault="00FA38A4" w:rsidP="000751D2"/>
          <w:p w14:paraId="3DF64DAE" w14:textId="77777777" w:rsidR="008077DC" w:rsidRDefault="008077DC" w:rsidP="000C2398">
            <w:pPr>
              <w:spacing w:line="360" w:lineRule="auto"/>
              <w:ind w:firstLine="720"/>
            </w:pPr>
            <w:r>
              <w:t>In general, there are many strengths and weaknesses of the working memory model theory. One of the strengths of the theory being that there’s clear evidence supporting the models’ concepts of there being separate stores in charge of different store components such as the verbal and visual components (Baddeley, 1998). This can be seen though Warrington &amp; Shallice (1972) study where it was found that a patient that sustained a deficit in there auditory verbal S.T.M showed impairments in verbal memory but there visual memory was relatively normal, supporting the idea of separate stores for different components. Although it does need to be noted that this study was conducted on one person which would affect the generalisability of the findings. However, a limitation of the theory is that it focuses on short-term processing but does not fully integrate long-term memory or the emotional/ social contexts in cognitive processing (Funahashi, 2017; Gruszka &amp; Necka, 2017; Howe-Davies et al., 2023)</w:t>
            </w:r>
          </w:p>
          <w:p w14:paraId="2D0EE740" w14:textId="6C8DB8F5" w:rsidR="008077DC" w:rsidRDefault="008077DC" w:rsidP="000C2398">
            <w:pPr>
              <w:spacing w:line="360" w:lineRule="auto"/>
              <w:ind w:firstLine="720"/>
            </w:pPr>
            <w:r>
              <w:t>The working memory model theory is not directly designed to account for the complex social and emotional impacts such as antisocial behaviour, police response, or community impacts</w:t>
            </w:r>
            <w:r w:rsidR="00D903DF">
              <w:t xml:space="preserve"> (Gruszka &amp; Necka, 2017)</w:t>
            </w:r>
            <w:r>
              <w:t xml:space="preserve">. However, certain elements of the theory can be applied to understand the cognitive load and decision-making limitations observed in the vignette, especially considering the police response and interactions with the community. In the vignette, the police’s slow response and poor allocation of resources may reflect overloaded central executive functioning in real world scenarios (Sosnowski &amp; Brosnan, 2023). When receiving a high volume of calls, the ability to filter and priorities urgent incidents may be impaired. Lavie et al. (2004) found that under high perceptual load, attentional controls can deteriorate, which could explain the inefficiency in police dispatch during complex high pursuits. </w:t>
            </w:r>
          </w:p>
          <w:p w14:paraId="2FCA5054" w14:textId="5FB2C828" w:rsidR="008077DC" w:rsidRDefault="008077DC" w:rsidP="000C2398">
            <w:pPr>
              <w:spacing w:line="360" w:lineRule="auto"/>
              <w:ind w:firstLine="720"/>
            </w:pPr>
            <w:r>
              <w:t>However, the models does not account for the environmental stressors such as time pressure or emotional distress</w:t>
            </w:r>
            <w:r w:rsidR="00BB24A7">
              <w:t xml:space="preserve"> (Payne et al., 2006)</w:t>
            </w:r>
            <w:r>
              <w:t>. All of which can affect real-time memory processing in policing. Additionally, the social and motivational influences that may influence police officer’s decisions to engage or disengage with issues within the community are not addressed by the working memory model theory</w:t>
            </w:r>
            <w:r w:rsidR="00D903DF">
              <w:t xml:space="preserve"> (Hou &amp; Cai, 2022)</w:t>
            </w:r>
            <w:r>
              <w:t xml:space="preserve">.  Research conducted by Luethi et al. (2009) found that when participants were under stress it had an effect on decision making, memory recall, and memory tasks in general which is something the working memory model does not fully account for. Furthermore, research conducted by Yu (2016) states that when stressed it can have an effect on a person’s decision-making leading them to rely more on their gut feeling rather than social situations. Demonstrating that a person’s ability to manage there emotional regulation can influence judgment in a high stress task, which challenges the theory’s approach. Therefore, while the working memory </w:t>
            </w:r>
            <w:r>
              <w:lastRenderedPageBreak/>
              <w:t>model theory offers a useful cognitive structure, it lacks the ecological validity to explain behaviour in complex, emotional, and social situation like those seen within the case review.</w:t>
            </w:r>
          </w:p>
          <w:p w14:paraId="3552A98B" w14:textId="77777777" w:rsidR="008077DC" w:rsidRDefault="008077DC" w:rsidP="000C2398">
            <w:pPr>
              <w:spacing w:line="360" w:lineRule="auto"/>
              <w:ind w:firstLine="720"/>
            </w:pPr>
          </w:p>
          <w:p w14:paraId="71A1DE3D" w14:textId="77777777" w:rsidR="008077DC" w:rsidRDefault="008077DC" w:rsidP="008077DC"/>
          <w:p w14:paraId="160828B5" w14:textId="77777777" w:rsidR="008077DC" w:rsidRDefault="008077DC" w:rsidP="008077DC"/>
          <w:p w14:paraId="0E7DB933" w14:textId="77777777" w:rsidR="008077DC" w:rsidRDefault="008077DC" w:rsidP="008077DC"/>
          <w:p w14:paraId="319AFC37" w14:textId="77777777" w:rsidR="008077DC" w:rsidRDefault="008077DC" w:rsidP="008077DC"/>
          <w:p w14:paraId="74383543" w14:textId="77777777" w:rsidR="008077DC" w:rsidRDefault="008077DC" w:rsidP="008077DC"/>
          <w:p w14:paraId="27674EDF" w14:textId="77777777" w:rsidR="008077DC" w:rsidRDefault="008077DC" w:rsidP="008077DC"/>
          <w:p w14:paraId="3A48CE1C" w14:textId="77777777" w:rsidR="008077DC" w:rsidRDefault="008077DC" w:rsidP="008077DC"/>
          <w:p w14:paraId="2A805EB5" w14:textId="77777777" w:rsidR="008077DC" w:rsidRDefault="008077DC" w:rsidP="008077DC"/>
          <w:p w14:paraId="2B0E9B94" w14:textId="77777777" w:rsidR="008077DC" w:rsidRDefault="008077DC" w:rsidP="008077DC"/>
          <w:p w14:paraId="61D1D7E4" w14:textId="77777777" w:rsidR="008077DC" w:rsidRDefault="008077DC" w:rsidP="008077DC"/>
          <w:p w14:paraId="1904CCA6" w14:textId="77777777" w:rsidR="008077DC" w:rsidRDefault="008077DC" w:rsidP="008077DC"/>
          <w:p w14:paraId="7B9E843C" w14:textId="77777777" w:rsidR="00FA38A4" w:rsidRPr="003A798E" w:rsidRDefault="00FA38A4" w:rsidP="000751D2">
            <w:pPr>
              <w:jc w:val="right"/>
            </w:pPr>
          </w:p>
        </w:tc>
      </w:tr>
    </w:tbl>
    <w:p w14:paraId="0CF4EDF2" w14:textId="77777777" w:rsidR="00A24793" w:rsidRDefault="00A24793"/>
    <w:p w14:paraId="6DE774C8" w14:textId="77777777" w:rsidR="000C2398" w:rsidRDefault="000C2398"/>
    <w:p w14:paraId="0D82C917" w14:textId="77777777" w:rsidR="000C2398" w:rsidRDefault="000C2398"/>
    <w:p w14:paraId="769A1F2D" w14:textId="77777777" w:rsidR="000C2398" w:rsidRDefault="000C2398"/>
    <w:p w14:paraId="68F70980" w14:textId="77777777" w:rsidR="000C2398" w:rsidRDefault="000C2398"/>
    <w:p w14:paraId="3E1F7F62" w14:textId="77777777" w:rsidR="000C2398" w:rsidRDefault="000C2398"/>
    <w:p w14:paraId="533FD93B" w14:textId="77777777" w:rsidR="000C2398" w:rsidRDefault="000C2398"/>
    <w:p w14:paraId="12165749" w14:textId="77777777" w:rsidR="000C2398" w:rsidRDefault="000C2398"/>
    <w:p w14:paraId="10A3A418" w14:textId="77777777" w:rsidR="000C2398" w:rsidRDefault="000C2398"/>
    <w:p w14:paraId="1ABD4E79" w14:textId="77777777" w:rsidR="000C2398" w:rsidRDefault="000C2398"/>
    <w:p w14:paraId="7DB980E3" w14:textId="77777777" w:rsidR="000C2398" w:rsidRDefault="000C2398"/>
    <w:p w14:paraId="1FB368F9" w14:textId="77777777" w:rsidR="000C2398" w:rsidRDefault="000C2398"/>
    <w:p w14:paraId="5CBF4FF6" w14:textId="77777777" w:rsidR="000C2398" w:rsidRDefault="000C2398"/>
    <w:p w14:paraId="62B2ECED" w14:textId="77777777" w:rsidR="000C2398" w:rsidRDefault="000C2398"/>
    <w:p w14:paraId="57025E6F" w14:textId="77777777" w:rsidR="000C2398" w:rsidRDefault="000C2398"/>
    <w:p w14:paraId="06C95E90" w14:textId="77777777" w:rsidR="000C2398" w:rsidRDefault="000C2398"/>
    <w:p w14:paraId="2F89BA75" w14:textId="77777777" w:rsidR="000C2398" w:rsidRDefault="000C2398"/>
    <w:p w14:paraId="3F6F6247" w14:textId="77777777" w:rsidR="000C2398" w:rsidRPr="003A798E" w:rsidRDefault="000C2398"/>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D6375E"/>
        </w:tc>
      </w:tr>
      <w:tr w:rsidR="0031055C" w:rsidRPr="003A798E" w14:paraId="248C2EAF" w14:textId="77777777" w:rsidTr="0098239A">
        <w:trPr>
          <w:trHeight w:val="3502"/>
        </w:trPr>
        <w:tc>
          <w:tcPr>
            <w:tcW w:w="851" w:type="dxa"/>
            <w:vMerge/>
            <w:shd w:val="clear" w:color="auto" w:fill="00C1C7" w:themeFill="accent2"/>
          </w:tcPr>
          <w:p w14:paraId="576F82E5" w14:textId="77777777" w:rsidR="0031055C" w:rsidRPr="003A798E" w:rsidRDefault="0031055C" w:rsidP="00D6375E"/>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27387AFE" w:rsidR="0031055C" w:rsidRPr="0098239A" w:rsidRDefault="0098239A" w:rsidP="00A24793">
            <w:pPr>
              <w:pStyle w:val="Quote"/>
              <w:rPr>
                <w:sz w:val="72"/>
                <w:szCs w:val="22"/>
              </w:rPr>
            </w:pPr>
            <w:r w:rsidRPr="0098239A">
              <w:rPr>
                <w:sz w:val="72"/>
                <w:szCs w:val="22"/>
              </w:rPr>
              <w:t>CONCLUSION AND RECOMMENDATIONS</w:t>
            </w:r>
          </w:p>
        </w:tc>
        <w:tc>
          <w:tcPr>
            <w:tcW w:w="967" w:type="dxa"/>
            <w:vMerge/>
            <w:shd w:val="clear" w:color="auto" w:fill="00C1C7" w:themeFill="accent2"/>
          </w:tcPr>
          <w:p w14:paraId="7416AA32" w14:textId="77777777" w:rsidR="0031055C" w:rsidRPr="003A798E" w:rsidRDefault="0031055C" w:rsidP="00D6375E"/>
        </w:tc>
      </w:tr>
      <w:tr w:rsidR="0031055C" w:rsidRPr="003A798E" w14:paraId="5680728F" w14:textId="77777777" w:rsidTr="0098239A">
        <w:trPr>
          <w:trHeight w:val="9648"/>
        </w:trPr>
        <w:tc>
          <w:tcPr>
            <w:tcW w:w="851" w:type="dxa"/>
            <w:vMerge/>
            <w:shd w:val="clear" w:color="auto" w:fill="00C1C7" w:themeFill="accent2"/>
          </w:tcPr>
          <w:p w14:paraId="30E7C66B" w14:textId="77777777" w:rsidR="0031055C" w:rsidRPr="003A798E" w:rsidRDefault="0031055C" w:rsidP="00D6375E"/>
        </w:tc>
        <w:tc>
          <w:tcPr>
            <w:tcW w:w="8690" w:type="dxa"/>
            <w:tcBorders>
              <w:top w:val="single" w:sz="36" w:space="0" w:color="123869" w:themeColor="accent1"/>
            </w:tcBorders>
            <w:shd w:val="clear" w:color="auto" w:fill="00C1C7" w:themeFill="accent2"/>
          </w:tcPr>
          <w:p w14:paraId="7684ED5E" w14:textId="710E4939" w:rsidR="008077DC" w:rsidRDefault="000C2398" w:rsidP="008077DC">
            <w:r>
              <w:rPr>
                <w:noProof/>
              </w:rPr>
              <mc:AlternateContent>
                <mc:Choice Requires="wps">
                  <w:drawing>
                    <wp:anchor distT="0" distB="0" distL="114300" distR="114300" simplePos="0" relativeHeight="251664384" behindDoc="0" locked="0" layoutInCell="1" allowOverlap="1" wp14:anchorId="74231222" wp14:editId="72064412">
                      <wp:simplePos x="0" y="0"/>
                      <wp:positionH relativeFrom="column">
                        <wp:posOffset>-48322</wp:posOffset>
                      </wp:positionH>
                      <wp:positionV relativeFrom="paragraph">
                        <wp:posOffset>138204</wp:posOffset>
                      </wp:positionV>
                      <wp:extent cx="5471652" cy="4793226"/>
                      <wp:effectExtent l="0" t="0" r="15240" b="26670"/>
                      <wp:wrapNone/>
                      <wp:docPr id="1858673409" name="Rectangle 5"/>
                      <wp:cNvGraphicFramePr/>
                      <a:graphic xmlns:a="http://schemas.openxmlformats.org/drawingml/2006/main">
                        <a:graphicData uri="http://schemas.microsoft.com/office/word/2010/wordprocessingShape">
                          <wps:wsp>
                            <wps:cNvSpPr/>
                            <wps:spPr>
                              <a:xfrm>
                                <a:off x="0" y="0"/>
                                <a:ext cx="5471652" cy="479322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56E6E02" w14:textId="77777777" w:rsidR="000C2398" w:rsidRDefault="000C2398" w:rsidP="000C2398">
                                  <w:pPr>
                                    <w:spacing w:line="360" w:lineRule="auto"/>
                                    <w:ind w:firstLine="720"/>
                                  </w:pPr>
                                  <w:r>
                                    <w:t xml:space="preserve">In conclusion, addressing the challenges presented by the antisocial behaviour within the community of Glynafonshire requires a multifaceted approach that considers both the immediate needs of the community and the cognitive limitations within working memory for police officers. The working memory model theory can provide a valuable insight into how police officers process and respond to incidents, especially in high stress situation. Given the overwhelming demands on police resources and the complexity of antisocial behaviour, officers may struggle to manage multiple tasks simultaneously, from coordination patrols to processing reports and making decisions in real time. Therefore, to improve police effectiveness it is recommended that procedures such as scenario-based training simulations, real time digital or AI support such as voice to text transcriptions and using systems such as geographic information systems would be highly beneficial. By addressing the cognitive challenges faced by officers and improving their capacity to manage complex, high-pressure situations, by equipping police officers with the necessary tools to manage the antisocial behaviour. It will ultimately enhance public safety, rebuild trust within the community, and create a safer more cohesive environment for all of the people within the community.  </w:t>
                                  </w:r>
                                </w:p>
                                <w:p w14:paraId="2BE457BA" w14:textId="77777777" w:rsidR="000C2398" w:rsidRDefault="000C2398" w:rsidP="000C2398">
                                  <w:pPr>
                                    <w:jc w:val="center"/>
                                  </w:pP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74231222" id="Rectangle 5" o:spid="_x0000_s1026" style="position:absolute;margin-left:-3.8pt;margin-top:10.9pt;width:430.85pt;height:377.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" fillcolor="white [3201]" strokecolor="#123869 [3204]" strokeweight="2pt">
                      <v:textbox style="mso-fit-shape-to-text:t" inset="3pt,3pt,3pt,3pt">
                        <w:txbxContent>
                          <w:p w14:paraId="756E6E02" w14:textId="77777777" w:rsidR="000C2398" w:rsidRDefault="000C2398" w:rsidP="000C2398">
                            <w:pPr>
                              <w:spacing w:line="360" w:lineRule="auto"/>
                              <w:ind w:firstLine="720"/>
                            </w:pPr>
                            <w:r>
                              <w:t xml:space="preserve">In conclusion, addressing the challenges presented by the antisocial behaviour within the community of </w:t>
                            </w:r>
                            <w:proofErr w:type="spellStart"/>
                            <w:r>
                              <w:t>Glynafonshire</w:t>
                            </w:r>
                            <w:proofErr w:type="spellEnd"/>
                            <w:r>
                              <w:t xml:space="preserve"> requires a multifaceted approach that considers both the immediate needs of the community and the cognitive limitations within working memory for police officers. The working memory model theory can provide a valuable insight into how police officers process and respond to incidents, especially in high stress situation. Given the overwhelming demands on police resources and the complexity of antisocial behaviour, officers may struggle to manage multiple tasks simultaneously, from coordination patrols to processing reports and making decisions in real time. Therefore, to improve police effectiveness it is recommended that procedures such as scenario-based training simulations, real time digital or AI support such as voice to text transcriptions and using systems such as geographic information systems would be highly beneficial. By addressing the cognitive challenges faced by officers and improving their capacity to manage complex, high-pressure situations, by equipping police officers with the necessary tools to manage the antisocial behaviour. It will ultimately enhance public safety, rebuild trust within the community, and create a safer more cohesive environment for all of the people within the community.  </w:t>
                            </w:r>
                          </w:p>
                          <w:p w14:paraId="2BE457BA" w14:textId="77777777" w:rsidR="000C2398" w:rsidRDefault="000C2398" w:rsidP="000C2398">
                            <w:pPr>
                              <w:jc w:val="center"/>
                            </w:pPr>
                          </w:p>
                        </w:txbxContent>
                      </v:textbox>
                    </v:rect>
                  </w:pict>
                </mc:Fallback>
              </mc:AlternateContent>
            </w:r>
          </w:p>
          <w:p w14:paraId="46B3BE5A" w14:textId="3E2A1FAF" w:rsidR="0031055C" w:rsidRPr="003A798E" w:rsidRDefault="0031055C" w:rsidP="0031055C"/>
        </w:tc>
        <w:tc>
          <w:tcPr>
            <w:tcW w:w="967" w:type="dxa"/>
            <w:vMerge/>
            <w:shd w:val="clear" w:color="auto" w:fill="00C1C7" w:themeFill="accent2"/>
          </w:tcPr>
          <w:p w14:paraId="789A6779" w14:textId="77777777" w:rsidR="0031055C" w:rsidRPr="003A798E" w:rsidRDefault="0031055C" w:rsidP="00D6375E"/>
        </w:tc>
      </w:tr>
    </w:tbl>
    <w:p w14:paraId="6D48AF5B" w14:textId="77777777" w:rsidR="000C2398" w:rsidRDefault="000C2398" w:rsidP="00B83753">
      <w:pPr>
        <w:pStyle w:val="Heading2"/>
        <w:rPr>
          <w:noProof/>
          <w:lang w:eastAsia="en-AU"/>
        </w:rPr>
      </w:pPr>
    </w:p>
    <w:p w14:paraId="4063F1AD" w14:textId="2D6DEDCD" w:rsidR="006B2F4E" w:rsidRDefault="0098239A" w:rsidP="0098239A">
      <w:pPr>
        <w:pStyle w:val="Heading2"/>
        <w:jc w:val="center"/>
        <w:rPr>
          <w:noProof/>
          <w:lang w:eastAsia="en-AU"/>
        </w:rPr>
      </w:pPr>
      <w:r>
        <w:rPr>
          <w:noProof/>
          <w:lang w:eastAsia="en-AU"/>
        </w:rPr>
        <w:t>REFERENCE LIST</w:t>
      </w:r>
    </w:p>
    <w:p w14:paraId="61F4C25D" w14:textId="77777777" w:rsidR="006B2F4E" w:rsidRDefault="006B2F4E" w:rsidP="0098239A">
      <w:pPr>
        <w:pStyle w:val="Heading2"/>
        <w:jc w:val="center"/>
        <w:rPr>
          <w:noProof/>
          <w:lang w:eastAsia="en-AU"/>
        </w:rPr>
      </w:pPr>
    </w:p>
    <w:p w14:paraId="013D11EA" w14:textId="77777777" w:rsidR="00B83753" w:rsidRPr="00B257FE" w:rsidRDefault="00B83753" w:rsidP="00B83753">
      <w:pPr>
        <w:spacing w:line="360" w:lineRule="auto"/>
        <w:ind w:left="720" w:hanging="720"/>
      </w:pPr>
      <w:r>
        <w:t xml:space="preserve">Adams, I. T., Barter, M., McLean, K., Boehme, H. M., &amp; Geary Jr, I. A. (2024). No man’s hand: artificial intelligence does not improve police report writing speed. </w:t>
      </w:r>
      <w:r w:rsidRPr="008A17C8">
        <w:rPr>
          <w:i/>
          <w:iCs/>
        </w:rPr>
        <w:t>Journal of Experimental Criminology</w:t>
      </w:r>
      <w:r>
        <w:t>, 1-18.</w:t>
      </w:r>
      <w:r>
        <w:rPr>
          <w:b/>
          <w:bCs/>
        </w:rPr>
        <w:t xml:space="preserve"> </w:t>
      </w:r>
      <w:hyperlink r:id="rId9" w:history="1">
        <w:r w:rsidRPr="009D0672">
          <w:rPr>
            <w:rStyle w:val="Hyperlink"/>
          </w:rPr>
          <w:t>https://doi.org/10.1007/s11292-024-09644-7</w:t>
        </w:r>
      </w:hyperlink>
    </w:p>
    <w:p w14:paraId="1EE4FCCD" w14:textId="77777777" w:rsidR="00B83753" w:rsidRDefault="00B83753" w:rsidP="00B83753">
      <w:pPr>
        <w:spacing w:line="360" w:lineRule="auto"/>
        <w:ind w:left="720" w:hanging="720"/>
      </w:pPr>
      <w:r>
        <w:t xml:space="preserve">Baddeley, A. (1998). Recent developments in working memory. </w:t>
      </w:r>
      <w:r w:rsidRPr="000B31F8">
        <w:rPr>
          <w:i/>
          <w:iCs/>
        </w:rPr>
        <w:t>Current Opinion in Neurobiology, 8</w:t>
      </w:r>
      <w:r>
        <w:t xml:space="preserve">(2), 234-238. </w:t>
      </w:r>
      <w:hyperlink r:id="rId10" w:history="1">
        <w:r w:rsidRPr="002A350D">
          <w:rPr>
            <w:rStyle w:val="Hyperlink"/>
          </w:rPr>
          <w:t>https://doi.org/10.1016/S0959-4388(98)80145-1</w:t>
        </w:r>
      </w:hyperlink>
    </w:p>
    <w:p w14:paraId="51C30031" w14:textId="77777777" w:rsidR="00B83753" w:rsidRDefault="00B83753" w:rsidP="00B83753">
      <w:pPr>
        <w:spacing w:line="360" w:lineRule="auto"/>
        <w:ind w:left="720" w:hanging="720"/>
      </w:pPr>
      <w:r>
        <w:t xml:space="preserve">Baddeley, A. (2010). Working memory. </w:t>
      </w:r>
      <w:r w:rsidRPr="00D31F61">
        <w:rPr>
          <w:i/>
          <w:iCs/>
        </w:rPr>
        <w:t>Current Biology, 20</w:t>
      </w:r>
      <w:r>
        <w:t xml:space="preserve">(4), R136-R140. </w:t>
      </w:r>
      <w:hyperlink r:id="rId11" w:history="1">
        <w:r w:rsidRPr="00FA7D3E">
          <w:rPr>
            <w:rStyle w:val="Hyperlink"/>
          </w:rPr>
          <w:t>https://doi.org/10.1016/j.cub.2009.12.014</w:t>
        </w:r>
      </w:hyperlink>
    </w:p>
    <w:p w14:paraId="40EB343A" w14:textId="77777777" w:rsidR="00B83753" w:rsidRDefault="00B83753" w:rsidP="00B83753">
      <w:pPr>
        <w:spacing w:line="360" w:lineRule="auto"/>
        <w:ind w:left="720" w:hanging="720"/>
      </w:pPr>
      <w:r>
        <w:t xml:space="preserve">Baddeley, A. (2012). Working memory: theories, models, and controversies. </w:t>
      </w:r>
      <w:r w:rsidRPr="00271B2E">
        <w:rPr>
          <w:i/>
          <w:iCs/>
        </w:rPr>
        <w:t>Annual Review of Psychology, 63</w:t>
      </w:r>
      <w:r>
        <w:t xml:space="preserve">(1), 1-29. </w:t>
      </w:r>
      <w:hyperlink r:id="rId12" w:history="1">
        <w:r w:rsidRPr="00FA7D3E">
          <w:rPr>
            <w:rStyle w:val="Hyperlink"/>
          </w:rPr>
          <w:t>https://doi.org/10.1146/annurev-psych-120710-100422</w:t>
        </w:r>
      </w:hyperlink>
    </w:p>
    <w:p w14:paraId="1A3F5DC1" w14:textId="77777777" w:rsidR="00B83753" w:rsidRDefault="00B83753" w:rsidP="00B83753">
      <w:pPr>
        <w:spacing w:line="360" w:lineRule="auto"/>
        <w:ind w:left="720" w:hanging="720"/>
      </w:pPr>
      <w:r>
        <w:t xml:space="preserve">Baddeley, A. D., &amp; Hitch, G. J. (2019). The phonological loop as a buffer store: an update. </w:t>
      </w:r>
      <w:r w:rsidRPr="00522D0C">
        <w:rPr>
          <w:i/>
          <w:iCs/>
        </w:rPr>
        <w:t>Cortex, 112</w:t>
      </w:r>
      <w:r>
        <w:t xml:space="preserve">, 91-106. </w:t>
      </w:r>
      <w:hyperlink r:id="rId13" w:history="1">
        <w:r w:rsidRPr="00FA7D3E">
          <w:rPr>
            <w:rStyle w:val="Hyperlink"/>
          </w:rPr>
          <w:t>https://doi.org/10.1016/j.cortex.2018.05.015</w:t>
        </w:r>
      </w:hyperlink>
    </w:p>
    <w:p w14:paraId="0BFC6FEF" w14:textId="77777777" w:rsidR="00B83753" w:rsidRDefault="00B83753" w:rsidP="00B83753">
      <w:pPr>
        <w:spacing w:line="360" w:lineRule="auto"/>
        <w:ind w:left="720" w:hanging="720"/>
      </w:pPr>
      <w:r>
        <w:t xml:space="preserve">Barton, A., Matthews, B., Farmer, E., &amp; Belyavin, A. (1995). Revekain the basic properties of the visuospatial sketchpad: the use of complete spatial arrays. Acta Psychologica, 89(3), 197-216. </w:t>
      </w:r>
      <w:hyperlink r:id="rId14" w:history="1">
        <w:r w:rsidRPr="00CB568A">
          <w:rPr>
            <w:rStyle w:val="Hyperlink"/>
          </w:rPr>
          <w:t>https://doi.org/10.1016/0001-6918(95)98944-Y</w:t>
        </w:r>
      </w:hyperlink>
    </w:p>
    <w:p w14:paraId="6E5EEDDA" w14:textId="77777777" w:rsidR="00B83753" w:rsidRDefault="00B83753" w:rsidP="00B83753">
      <w:pPr>
        <w:spacing w:line="360" w:lineRule="auto"/>
        <w:ind w:left="720" w:hanging="720"/>
      </w:pPr>
      <w:r>
        <w:t xml:space="preserve">Bruyer, R., &amp; Scailquin, J-C. (1998). The visuospatial sketchpad for mental images: testing the multicomponent model of model of working memory. </w:t>
      </w:r>
      <w:r w:rsidRPr="004F6319">
        <w:rPr>
          <w:i/>
          <w:iCs/>
        </w:rPr>
        <w:t>Acta Psychological, 98</w:t>
      </w:r>
      <w:r>
        <w:t xml:space="preserve">(1), 17-36. </w:t>
      </w:r>
      <w:hyperlink r:id="rId15" w:history="1">
        <w:r w:rsidRPr="00FA7D3E">
          <w:rPr>
            <w:rStyle w:val="Hyperlink"/>
          </w:rPr>
          <w:t>https://doi.org/10.1016/S0001-6918(97)00053-X</w:t>
        </w:r>
      </w:hyperlink>
    </w:p>
    <w:p w14:paraId="4AD7AFB8" w14:textId="77777777" w:rsidR="00B83753" w:rsidRDefault="00B83753" w:rsidP="00B83753">
      <w:pPr>
        <w:spacing w:line="360" w:lineRule="auto"/>
        <w:ind w:left="720" w:hanging="720"/>
      </w:pPr>
      <w:r>
        <w:t xml:space="preserve">Carretti, B., Giofre, D., Toffalini, E., Cornoldi, C., Pastore, M., &amp; Lanfranchi, S. (2022). Structure of working memory in children from 3 to 8 years old. </w:t>
      </w:r>
      <w:r w:rsidRPr="00977893">
        <w:rPr>
          <w:i/>
          <w:iCs/>
        </w:rPr>
        <w:t>Developmental Psychology, 58</w:t>
      </w:r>
      <w:r>
        <w:t xml:space="preserve">(9), 1687-1701. </w:t>
      </w:r>
      <w:hyperlink r:id="rId16" w:history="1">
        <w:r w:rsidRPr="00711D35">
          <w:rPr>
            <w:rStyle w:val="Hyperlink"/>
          </w:rPr>
          <w:t>https://psycnet.apa.org/doi/10.1037/dev0001385</w:t>
        </w:r>
      </w:hyperlink>
    </w:p>
    <w:p w14:paraId="4F7CF27F" w14:textId="77777777" w:rsidR="00B83753" w:rsidRDefault="00B83753" w:rsidP="00B83753">
      <w:pPr>
        <w:spacing w:line="360" w:lineRule="auto"/>
        <w:ind w:left="720" w:hanging="720"/>
      </w:pPr>
      <w:r>
        <w:t xml:space="preserve">Chein, J. M., &amp; Fiez, J. A. (2010). Evaluating models of working memory through the effects of concurrent irrelevant information. </w:t>
      </w:r>
      <w:r w:rsidRPr="009D39B3">
        <w:rPr>
          <w:i/>
          <w:iCs/>
        </w:rPr>
        <w:t>Journal of Experimental Psychology</w:t>
      </w:r>
      <w:r>
        <w:rPr>
          <w:i/>
          <w:iCs/>
        </w:rPr>
        <w:t>,</w:t>
      </w:r>
      <w:r w:rsidRPr="009D39B3">
        <w:rPr>
          <w:i/>
          <w:iCs/>
        </w:rPr>
        <w:t xml:space="preserve"> 139</w:t>
      </w:r>
      <w:r>
        <w:t xml:space="preserve">(1), 117-137. </w:t>
      </w:r>
      <w:hyperlink r:id="rId17" w:history="1">
        <w:r w:rsidRPr="00E80751">
          <w:rPr>
            <w:rStyle w:val="Hyperlink"/>
          </w:rPr>
          <w:t>https://doi.org/10.1037/a0018200</w:t>
        </w:r>
      </w:hyperlink>
    </w:p>
    <w:p w14:paraId="076FC503" w14:textId="77777777" w:rsidR="00B83753" w:rsidRDefault="00B83753" w:rsidP="00B83753">
      <w:pPr>
        <w:spacing w:line="360" w:lineRule="auto"/>
        <w:ind w:left="720" w:hanging="720"/>
      </w:pPr>
      <w:r>
        <w:t xml:space="preserve">Collette, F., &amp; Van de Linden, M. (2002). Brain imaging of the central executive component of working memory. </w:t>
      </w:r>
      <w:r w:rsidRPr="002A3E47">
        <w:rPr>
          <w:i/>
          <w:iCs/>
        </w:rPr>
        <w:t>Neuroscience &amp; Biobehavioral Review, 26</w:t>
      </w:r>
      <w:r>
        <w:t xml:space="preserve">(2), 105-125. </w:t>
      </w:r>
      <w:hyperlink r:id="rId18" w:history="1">
        <w:r w:rsidRPr="00FA7D3E">
          <w:rPr>
            <w:rStyle w:val="Hyperlink"/>
          </w:rPr>
          <w:t>https://doi.org/10.1016/S0149-7634(01)00063-X</w:t>
        </w:r>
      </w:hyperlink>
    </w:p>
    <w:p w14:paraId="65E5B384" w14:textId="77777777" w:rsidR="00B83753" w:rsidRDefault="00B83753" w:rsidP="00B83753">
      <w:pPr>
        <w:spacing w:line="360" w:lineRule="auto"/>
        <w:ind w:left="720" w:hanging="720"/>
      </w:pPr>
      <w:r>
        <w:t xml:space="preserve">Elendu, C., Amaechi, D. C., Okatta, A. U., Amaechi, E. C., Elendu, T. C., Ezeh, C. P., &amp; Elendu, I. D. (2024). The impact of simulation-based training in medical education: a review. </w:t>
      </w:r>
      <w:r w:rsidRPr="001F43A0">
        <w:rPr>
          <w:i/>
          <w:iCs/>
        </w:rPr>
        <w:t>Medicine, 103</w:t>
      </w:r>
      <w:r>
        <w:t xml:space="preserve">(27), e38813. </w:t>
      </w:r>
      <w:hyperlink r:id="rId19" w:history="1">
        <w:r w:rsidRPr="00B97098">
          <w:rPr>
            <w:rStyle w:val="Hyperlink"/>
          </w:rPr>
          <w:t>https://doi.org/10.1097/MD.0000000000038813</w:t>
        </w:r>
      </w:hyperlink>
    </w:p>
    <w:p w14:paraId="3824CE55" w14:textId="77777777" w:rsidR="00B83753" w:rsidRDefault="00B83753" w:rsidP="00B83753">
      <w:pPr>
        <w:spacing w:line="360" w:lineRule="auto"/>
        <w:ind w:left="720" w:hanging="720"/>
      </w:pPr>
      <w:r>
        <w:lastRenderedPageBreak/>
        <w:t xml:space="preserve">Fisher, M. E., Teng, J., Gbadeyan, O., &amp; Prakash, R. S. (2023). Using connectome-based models of working memory to predict emotion regulation in older adults. </w:t>
      </w:r>
      <w:r w:rsidRPr="00977893">
        <w:rPr>
          <w:i/>
          <w:iCs/>
        </w:rPr>
        <w:t>Social Cognitive and Affective Neuroscience, 18</w:t>
      </w:r>
      <w:r>
        <w:t xml:space="preserve">(1), nsad036. </w:t>
      </w:r>
      <w:hyperlink r:id="rId20" w:history="1">
        <w:r w:rsidRPr="00711D35">
          <w:rPr>
            <w:rStyle w:val="Hyperlink"/>
          </w:rPr>
          <w:t>https://doi.org/10.1093/scan/nsad036</w:t>
        </w:r>
      </w:hyperlink>
    </w:p>
    <w:p w14:paraId="770C649F" w14:textId="77777777" w:rsidR="00B83753" w:rsidRDefault="00B83753" w:rsidP="00B83753">
      <w:pPr>
        <w:spacing w:line="360" w:lineRule="auto"/>
        <w:ind w:left="720" w:hanging="720"/>
      </w:pPr>
      <w:r>
        <w:t xml:space="preserve">Funahashi, S. (2017). Working memory in the prefrontal cortex. </w:t>
      </w:r>
      <w:r w:rsidRPr="00695299">
        <w:rPr>
          <w:i/>
          <w:iCs/>
        </w:rPr>
        <w:t>Brain Sciences, 7</w:t>
      </w:r>
      <w:r>
        <w:t xml:space="preserve">(5), 49. </w:t>
      </w:r>
      <w:hyperlink r:id="rId21" w:history="1">
        <w:r w:rsidRPr="002A350D">
          <w:rPr>
            <w:rStyle w:val="Hyperlink"/>
          </w:rPr>
          <w:t>https://doi.org/10.3390/brainsci7050049</w:t>
        </w:r>
      </w:hyperlink>
    </w:p>
    <w:p w14:paraId="317D2E7C" w14:textId="77777777" w:rsidR="00B83753" w:rsidRDefault="00B83753" w:rsidP="00B83753">
      <w:pPr>
        <w:spacing w:line="360" w:lineRule="auto"/>
        <w:ind w:left="720" w:hanging="720"/>
      </w:pPr>
      <w:r>
        <w:t xml:space="preserve">Giofre, D., Donolato, E., &amp; Mammarella, I. C. (2018). The differential role of verbal and visuospatial working memory in mathematics and reading. </w:t>
      </w:r>
      <w:r w:rsidRPr="00E151AD">
        <w:rPr>
          <w:i/>
          <w:iCs/>
        </w:rPr>
        <w:t>Trends in Neuroscience and Education, 12</w:t>
      </w:r>
      <w:r>
        <w:t xml:space="preserve">, 1-6. </w:t>
      </w:r>
      <w:hyperlink r:id="rId22" w:history="1">
        <w:r w:rsidRPr="00043438">
          <w:rPr>
            <w:rStyle w:val="Hyperlink"/>
          </w:rPr>
          <w:t>https://doi.org/10.1016/j.tine.2018.07.001</w:t>
        </w:r>
      </w:hyperlink>
    </w:p>
    <w:p w14:paraId="2A6D154D" w14:textId="77777777" w:rsidR="00B83753" w:rsidRDefault="00B83753" w:rsidP="00B83753">
      <w:pPr>
        <w:spacing w:line="360" w:lineRule="auto"/>
        <w:ind w:left="720" w:hanging="720"/>
      </w:pPr>
      <w:r>
        <w:t xml:space="preserve">Girotti, M., Adler, S. M., Bulin, S. E., Fucich, E. A., Paredes, D., &amp; Morilak, D. A. (2018). Prefrontal cortex executive processes affected by stress in health and disease. </w:t>
      </w:r>
      <w:r w:rsidRPr="00B9132C">
        <w:rPr>
          <w:i/>
          <w:iCs/>
        </w:rPr>
        <w:t>Progress in Neuro-Psychopharmacology &amp; Biological Psychiatry, 85</w:t>
      </w:r>
      <w:r>
        <w:t xml:space="preserve">, 161-179. </w:t>
      </w:r>
      <w:hyperlink r:id="rId23" w:history="1">
        <w:r w:rsidRPr="009D0672">
          <w:rPr>
            <w:rStyle w:val="Hyperlink"/>
          </w:rPr>
          <w:t>https://doi.org/10.1016/j.pnpbp.2017.07.004</w:t>
        </w:r>
      </w:hyperlink>
    </w:p>
    <w:p w14:paraId="35D7050A" w14:textId="77777777" w:rsidR="00B83753" w:rsidRDefault="00B83753" w:rsidP="00B83753">
      <w:pPr>
        <w:spacing w:line="360" w:lineRule="auto"/>
        <w:ind w:left="720" w:hanging="720"/>
      </w:pPr>
      <w:r>
        <w:t xml:space="preserve">Groves, N. B., Chan, E. S. M., Marsh, C. L., Gaye, F., Jaisle, E. M., &amp; Kofler, M. J. (2022). Does central executive training and/ or inhibitory control training improve emotion regulation for children with attention-deficit/ hyperactivity disorder? A randomized controlled trial. </w:t>
      </w:r>
      <w:r w:rsidRPr="001469B7">
        <w:rPr>
          <w:i/>
          <w:iCs/>
        </w:rPr>
        <w:t>Frontiers in Psychiatry, 13</w:t>
      </w:r>
      <w:r>
        <w:t xml:space="preserve">, 1034722. </w:t>
      </w:r>
      <w:hyperlink r:id="rId24" w:history="1">
        <w:r w:rsidRPr="00E76DDD">
          <w:rPr>
            <w:rStyle w:val="Hyperlink"/>
          </w:rPr>
          <w:t>https://doi.org/10.3389/fpsyt.2022.1034722</w:t>
        </w:r>
      </w:hyperlink>
    </w:p>
    <w:p w14:paraId="14E910D9" w14:textId="77777777" w:rsidR="00B83753" w:rsidRDefault="00B83753" w:rsidP="00B83753">
      <w:pPr>
        <w:spacing w:line="360" w:lineRule="auto"/>
        <w:ind w:left="720" w:hanging="720"/>
      </w:pPr>
      <w:r>
        <w:t xml:space="preserve">Gruszka, A., &amp; Necka, E. (2017). Limitations of working memory capacity: the cognitive and social consequences. </w:t>
      </w:r>
      <w:r w:rsidRPr="001510D8">
        <w:rPr>
          <w:i/>
          <w:iCs/>
        </w:rPr>
        <w:t>European Management Journal. 35</w:t>
      </w:r>
      <w:r>
        <w:t xml:space="preserve">(6), 776-784. </w:t>
      </w:r>
      <w:hyperlink r:id="rId25" w:history="1">
        <w:r w:rsidRPr="002A350D">
          <w:rPr>
            <w:rStyle w:val="Hyperlink"/>
          </w:rPr>
          <w:t>https://doi.org/10.1016/j.emj.2017.07.001</w:t>
        </w:r>
      </w:hyperlink>
    </w:p>
    <w:p w14:paraId="4C3821DC" w14:textId="77777777" w:rsidR="00B83753" w:rsidRDefault="00B83753" w:rsidP="00B83753">
      <w:pPr>
        <w:spacing w:line="360" w:lineRule="auto"/>
        <w:ind w:left="720" w:hanging="720"/>
      </w:pPr>
      <w:r>
        <w:t xml:space="preserve">Henry, L. A. (2010). The episodic buffer in children with intellectual disabilities: an exploratory study. </w:t>
      </w:r>
      <w:r w:rsidRPr="000B1CC1">
        <w:rPr>
          <w:i/>
          <w:iCs/>
        </w:rPr>
        <w:t>Research in Developmental Disabilities, 31</w:t>
      </w:r>
      <w:r>
        <w:t xml:space="preserve">(6), 1609-1614. </w:t>
      </w:r>
      <w:hyperlink r:id="rId26" w:history="1">
        <w:r w:rsidRPr="00FA7D3E">
          <w:rPr>
            <w:rStyle w:val="Hyperlink"/>
          </w:rPr>
          <w:t>https://doi.org/10.1016/j.ridd.2010.04.025</w:t>
        </w:r>
      </w:hyperlink>
    </w:p>
    <w:p w14:paraId="18E4E289" w14:textId="65F4BDA2" w:rsidR="00AC084C" w:rsidRDefault="00AC084C" w:rsidP="00AC084C">
      <w:pPr>
        <w:spacing w:line="360" w:lineRule="auto"/>
        <w:ind w:left="720" w:hanging="720"/>
      </w:pPr>
      <w:r>
        <w:t xml:space="preserve">Hou, T. Y., &amp; Cai, W. P. (2022). What emotion dimensions can affect working memory performance in healthy adults? A review. </w:t>
      </w:r>
      <w:r w:rsidRPr="00AC084C">
        <w:rPr>
          <w:i/>
          <w:iCs/>
        </w:rPr>
        <w:t>World Journal of Clinical Cases, 10</w:t>
      </w:r>
      <w:r>
        <w:t xml:space="preserve">(2), 401-411. </w:t>
      </w:r>
      <w:hyperlink r:id="rId27" w:history="1">
        <w:r w:rsidRPr="00D30B5D">
          <w:rPr>
            <w:rStyle w:val="Hyperlink"/>
          </w:rPr>
          <w:t>https://doi.org/10.12998/wjcc.v10.i2.401</w:t>
        </w:r>
      </w:hyperlink>
    </w:p>
    <w:p w14:paraId="2077C446" w14:textId="77777777" w:rsidR="00B83753" w:rsidRDefault="00B83753" w:rsidP="00AC084C">
      <w:pPr>
        <w:spacing w:line="360" w:lineRule="auto"/>
        <w:ind w:left="720" w:hanging="720"/>
      </w:pPr>
      <w:r>
        <w:t xml:space="preserve">Howe-Davies, H., Hobson, C., Waters, C., &amp; Van Goozen, S. H. M. (2023). Emotional and social-cognitive processing in young children with symptoms of anxiety. </w:t>
      </w:r>
      <w:r w:rsidRPr="0069729F">
        <w:rPr>
          <w:i/>
          <w:iCs/>
        </w:rPr>
        <w:t>European Child &amp; Adolescent Psychiatry, 32</w:t>
      </w:r>
      <w:r>
        <w:t xml:space="preserve">(10), 2077-2088. </w:t>
      </w:r>
      <w:hyperlink r:id="rId28" w:history="1">
        <w:r w:rsidRPr="002A350D">
          <w:rPr>
            <w:rStyle w:val="Hyperlink"/>
          </w:rPr>
          <w:t>https://doi.org/10.1007/s00787-022-02050-2</w:t>
        </w:r>
      </w:hyperlink>
    </w:p>
    <w:p w14:paraId="2DB1729E" w14:textId="77777777" w:rsidR="00B83753" w:rsidRDefault="00B83753" w:rsidP="00B83753">
      <w:pPr>
        <w:spacing w:line="360" w:lineRule="auto"/>
        <w:ind w:left="720" w:hanging="720"/>
      </w:pPr>
      <w:r>
        <w:t xml:space="preserve">Hughes, R. W. (2024). The phonological store of working memory: a critique and an alternative, perceptual-motor, approach to verbal short-term memory. </w:t>
      </w:r>
      <w:r w:rsidRPr="00940AE5">
        <w:rPr>
          <w:i/>
          <w:iCs/>
        </w:rPr>
        <w:t>Quarterly Journal of Experimental Psychology, 78</w:t>
      </w:r>
      <w:r>
        <w:t xml:space="preserve">(2), 240-263. </w:t>
      </w:r>
      <w:hyperlink r:id="rId29" w:history="1">
        <w:r w:rsidRPr="00FA7D3E">
          <w:rPr>
            <w:rStyle w:val="Hyperlink"/>
          </w:rPr>
          <w:t>https://doi.org/10.1177/17470218241257885</w:t>
        </w:r>
      </w:hyperlink>
    </w:p>
    <w:p w14:paraId="0B86F24A" w14:textId="77777777" w:rsidR="00B83753" w:rsidRDefault="00B83753" w:rsidP="00B83753">
      <w:pPr>
        <w:spacing w:line="360" w:lineRule="auto"/>
        <w:ind w:left="720" w:hanging="720"/>
      </w:pPr>
      <w:r>
        <w:t xml:space="preserve">Jefferson, T. L., &amp; Johannes, T. W. (2016). Using geographic information systems to support decision making in disaster response. </w:t>
      </w:r>
      <w:r w:rsidRPr="003C38FA">
        <w:rPr>
          <w:i/>
          <w:iCs/>
        </w:rPr>
        <w:t>Intelligent Decision Technologies, 10</w:t>
      </w:r>
      <w:r>
        <w:t xml:space="preserve">(2), 193-207. </w:t>
      </w:r>
      <w:hyperlink r:id="rId30" w:history="1">
        <w:r w:rsidRPr="009D0672">
          <w:rPr>
            <w:rStyle w:val="Hyperlink"/>
          </w:rPr>
          <w:t>https://doi.org/10.3233/IDT-160255</w:t>
        </w:r>
      </w:hyperlink>
    </w:p>
    <w:p w14:paraId="5309C105" w14:textId="77777777" w:rsidR="00B83753" w:rsidRDefault="00B83753" w:rsidP="00B83753">
      <w:pPr>
        <w:spacing w:line="360" w:lineRule="auto"/>
        <w:ind w:left="720" w:hanging="720"/>
      </w:pPr>
      <w:r>
        <w:lastRenderedPageBreak/>
        <w:t xml:space="preserve">Lavie, N., Hirst, A., De Fockert, J. W., &amp; Viding, E. (2004). Load theory of selective attention and cognitive control. </w:t>
      </w:r>
      <w:r w:rsidRPr="001931F6">
        <w:rPr>
          <w:i/>
          <w:iCs/>
        </w:rPr>
        <w:t>Journal of Experimental Psychology, 133</w:t>
      </w:r>
      <w:r>
        <w:t xml:space="preserve">(3), 339-354. </w:t>
      </w:r>
      <w:hyperlink r:id="rId31" w:history="1">
        <w:r w:rsidRPr="002A350D">
          <w:rPr>
            <w:rStyle w:val="Hyperlink"/>
          </w:rPr>
          <w:t>https://doi.org/10.1037/0096-3445.133.3.339</w:t>
        </w:r>
      </w:hyperlink>
    </w:p>
    <w:p w14:paraId="383EC93D" w14:textId="4411ECC8" w:rsidR="00B83753" w:rsidRDefault="00B83753" w:rsidP="00B83753">
      <w:pPr>
        <w:spacing w:line="360" w:lineRule="auto"/>
        <w:ind w:left="720" w:hanging="720"/>
      </w:pPr>
      <w:r>
        <w:t xml:space="preserve">Logie, R. H. (2011). The functional organization and capacity limits of working memory. </w:t>
      </w:r>
      <w:r w:rsidRPr="0036160C">
        <w:rPr>
          <w:i/>
          <w:iCs/>
        </w:rPr>
        <w:t>Current Directions in Psychological Science, 20</w:t>
      </w:r>
      <w:r>
        <w:t xml:space="preserve">(4), 240-245. </w:t>
      </w:r>
      <w:hyperlink r:id="rId32" w:history="1">
        <w:r w:rsidRPr="00887306">
          <w:rPr>
            <w:rStyle w:val="Hyperlink"/>
          </w:rPr>
          <w:t>https://doi.org/10.1177/0963721411415340</w:t>
        </w:r>
      </w:hyperlink>
    </w:p>
    <w:p w14:paraId="5BBAFCA1" w14:textId="77777777" w:rsidR="00B83753" w:rsidRDefault="00B83753" w:rsidP="00B83753">
      <w:pPr>
        <w:spacing w:line="360" w:lineRule="auto"/>
        <w:ind w:left="720" w:hanging="720"/>
      </w:pPr>
      <w:r>
        <w:t xml:space="preserve">Luethi, M., Meier, B., &amp; Sandi, C. (2009). Stress effects on working memory, explicit memory, and implicit memory for neutral and emotional stimuli in healthy men. </w:t>
      </w:r>
      <w:r w:rsidRPr="00891742">
        <w:rPr>
          <w:i/>
          <w:iCs/>
        </w:rPr>
        <w:t xml:space="preserve">Frontiers in Behavioral Neuroscience, </w:t>
      </w:r>
      <w:r>
        <w:rPr>
          <w:i/>
          <w:iCs/>
        </w:rPr>
        <w:t>2</w:t>
      </w:r>
      <w:r>
        <w:t xml:space="preserve">, 5. </w:t>
      </w:r>
      <w:hyperlink r:id="rId33" w:history="1">
        <w:r w:rsidRPr="002A350D">
          <w:rPr>
            <w:rStyle w:val="Hyperlink"/>
          </w:rPr>
          <w:t>https://doi.org/10.3389/neuro.08.005.2008</w:t>
        </w:r>
      </w:hyperlink>
    </w:p>
    <w:p w14:paraId="2F7A93AA" w14:textId="77777777" w:rsidR="00B83753" w:rsidRDefault="00B83753" w:rsidP="00B83753">
      <w:pPr>
        <w:spacing w:line="360" w:lineRule="auto"/>
        <w:ind w:left="720" w:hanging="720"/>
      </w:pPr>
      <w:r>
        <w:t xml:space="preserve">McCabe, D. P., Roediger, H. L., McDaniel, M. A., Balota, D. A., &amp; Hambrick, D. Z. (2010). The relationship between working memory capacity and executive functioning: evidence for a common executive attention construct. </w:t>
      </w:r>
      <w:r w:rsidRPr="002A3E47">
        <w:rPr>
          <w:i/>
          <w:iCs/>
        </w:rPr>
        <w:t>Neuropsychology, 24</w:t>
      </w:r>
      <w:r>
        <w:t xml:space="preserve">(2), 222-243. </w:t>
      </w:r>
      <w:hyperlink r:id="rId34" w:history="1">
        <w:r w:rsidRPr="00FA7D3E">
          <w:rPr>
            <w:rStyle w:val="Hyperlink"/>
          </w:rPr>
          <w:t>https://doi.org/10.1037/a0017619</w:t>
        </w:r>
      </w:hyperlink>
    </w:p>
    <w:p w14:paraId="0C7FBF2C" w14:textId="77777777" w:rsidR="00B83753" w:rsidRDefault="00B83753" w:rsidP="00B83753">
      <w:pPr>
        <w:spacing w:line="360" w:lineRule="auto"/>
        <w:ind w:left="720" w:hanging="720"/>
      </w:pPr>
      <w:r>
        <w:t xml:space="preserve">Miller-Cotto, D., &amp; Gordon, R. (2024). Revisiting working memory 50 years after Baddeley and Hitch: a review of field-specific conceptualisations, use, and misuse, and paths forward for studying children. </w:t>
      </w:r>
      <w:r w:rsidRPr="00F4348B">
        <w:rPr>
          <w:i/>
          <w:iCs/>
        </w:rPr>
        <w:t>Quarterly Journal of Experimental Psychology, 78</w:t>
      </w:r>
      <w:r>
        <w:t xml:space="preserve">(2), 425-435. </w:t>
      </w:r>
      <w:hyperlink r:id="rId35" w:history="1">
        <w:r w:rsidRPr="007D2646">
          <w:rPr>
            <w:rStyle w:val="Hyperlink"/>
          </w:rPr>
          <w:t>https://doi.org/10.1177/17470218241301701</w:t>
        </w:r>
      </w:hyperlink>
    </w:p>
    <w:p w14:paraId="165DEA70" w14:textId="26171BC2" w:rsidR="00BB24A7" w:rsidRDefault="00BB24A7" w:rsidP="00B83753">
      <w:pPr>
        <w:spacing w:line="360" w:lineRule="auto"/>
        <w:ind w:left="720" w:hanging="720"/>
      </w:pPr>
      <w:r>
        <w:t xml:space="preserve">Payne, J., Jackson, E., Ryan, L., Hoscheidt, S., Jacobs, J., &amp; Nadel, L. (2006). The impact of stress on neutral and emotional aspects of episodic memory. </w:t>
      </w:r>
      <w:r w:rsidRPr="006969BF">
        <w:rPr>
          <w:i/>
          <w:iCs/>
        </w:rPr>
        <w:t>Memory, 14</w:t>
      </w:r>
      <w:r>
        <w:t xml:space="preserve">(1), 1-16. </w:t>
      </w:r>
      <w:hyperlink r:id="rId36" w:history="1">
        <w:r w:rsidRPr="00D30B5D">
          <w:rPr>
            <w:rStyle w:val="Hyperlink"/>
          </w:rPr>
          <w:t>https://doi.org/10.1080/09658210500139176</w:t>
        </w:r>
      </w:hyperlink>
      <w:r>
        <w:t xml:space="preserve"> </w:t>
      </w:r>
    </w:p>
    <w:p w14:paraId="1BD5A95E" w14:textId="77777777" w:rsidR="00B83753" w:rsidRDefault="00B83753" w:rsidP="00B83753">
      <w:pPr>
        <w:spacing w:line="360" w:lineRule="auto"/>
        <w:ind w:left="720" w:hanging="720"/>
      </w:pPr>
      <w:r>
        <w:t xml:space="preserve">Simon, S. S., Tusch, E. S., Holcomb, P. J., &amp; Daffner, K. R. (2016). Increasing working memory load reduces processing of cross-modal task-irrelevant stimuli even after controlling for task difficulty and executive capacity. </w:t>
      </w:r>
      <w:r w:rsidRPr="00252FCB">
        <w:rPr>
          <w:i/>
          <w:iCs/>
        </w:rPr>
        <w:t>Frontiers in Human Neuroscience, 10</w:t>
      </w:r>
      <w:r>
        <w:t xml:space="preserve">, 380. </w:t>
      </w:r>
      <w:hyperlink r:id="rId37" w:history="1">
        <w:r w:rsidRPr="00CB568A">
          <w:rPr>
            <w:rStyle w:val="Hyperlink"/>
          </w:rPr>
          <w:t>https://doi.org/10.3389/fnhum.2016.00380</w:t>
        </w:r>
      </w:hyperlink>
    </w:p>
    <w:p w14:paraId="6ECF3F55" w14:textId="4AC4CFAF" w:rsidR="00B83753" w:rsidRDefault="00B83753" w:rsidP="00B83753">
      <w:pPr>
        <w:spacing w:line="360" w:lineRule="auto"/>
        <w:ind w:left="720" w:hanging="720"/>
      </w:pPr>
      <w:r>
        <w:t>Sosnowski, M. J., &amp; Brosnan, S. F. (2023). Under pressure: the interaction between high-stakes contexts and individual differences in decision-making in humans and non-human species.</w:t>
      </w:r>
      <w:r w:rsidRPr="00DD3072">
        <w:rPr>
          <w:i/>
          <w:iCs/>
        </w:rPr>
        <w:t>Animal Cognition, 26</w:t>
      </w:r>
      <w:r>
        <w:t xml:space="preserve">(4), 1103-1117. </w:t>
      </w:r>
      <w:hyperlink r:id="rId38" w:history="1">
        <w:r w:rsidRPr="00887306">
          <w:rPr>
            <w:rStyle w:val="Hyperlink"/>
          </w:rPr>
          <w:t>https://doi.org/10.1007/s10071-023-01768-z</w:t>
        </w:r>
      </w:hyperlink>
    </w:p>
    <w:p w14:paraId="1FBD84F6" w14:textId="77777777" w:rsidR="00B83753" w:rsidRDefault="00B83753" w:rsidP="00B83753">
      <w:pPr>
        <w:spacing w:line="360" w:lineRule="auto"/>
        <w:ind w:left="720" w:hanging="720"/>
      </w:pPr>
      <w:r>
        <w:t xml:space="preserve">Wagner, B. T., Shaffer, L. A., Lvanson, O. A., &amp; Jones, J. A. (2021). Assessing working memory capacity through picture span and feature binding with visual-graphic symbols during a visual search task with typical children and adults. </w:t>
      </w:r>
      <w:r w:rsidRPr="009F496C">
        <w:rPr>
          <w:i/>
          <w:iCs/>
        </w:rPr>
        <w:t>Augmentative and Alternative Communication, 37</w:t>
      </w:r>
      <w:r>
        <w:t xml:space="preserve">(1), 39-51. </w:t>
      </w:r>
      <w:hyperlink r:id="rId39" w:history="1">
        <w:r w:rsidRPr="00CB568A">
          <w:rPr>
            <w:rStyle w:val="Hyperlink"/>
          </w:rPr>
          <w:t>https://doi.org/10.1080/07434618.2021.1879932</w:t>
        </w:r>
      </w:hyperlink>
    </w:p>
    <w:p w14:paraId="44A28631" w14:textId="77777777" w:rsidR="00B83753" w:rsidRPr="000F5D55" w:rsidRDefault="00B83753" w:rsidP="00B83753">
      <w:pPr>
        <w:spacing w:line="360" w:lineRule="auto"/>
        <w:ind w:left="720" w:hanging="720"/>
        <w:rPr>
          <w:b/>
          <w:bCs/>
        </w:rPr>
      </w:pPr>
      <w:r>
        <w:t xml:space="preserve">Warrington, E. K., &amp; Shallice, T. (1972). Neuropsychological evidence of visual storage in short-term memory tasks. </w:t>
      </w:r>
      <w:r w:rsidRPr="008107EB">
        <w:rPr>
          <w:i/>
          <w:iCs/>
        </w:rPr>
        <w:t>Quarterly Journal of Experimental Psychology, 24</w:t>
      </w:r>
      <w:r>
        <w:t xml:space="preserve">(1), 30-40. </w:t>
      </w:r>
      <w:r w:rsidRPr="00800C54">
        <w:t>https://doi.org/10.1080/14640747208400265</w:t>
      </w:r>
    </w:p>
    <w:p w14:paraId="2A02E1D0" w14:textId="77777777" w:rsidR="00B83753" w:rsidRDefault="00B83753" w:rsidP="00B83753">
      <w:pPr>
        <w:spacing w:line="360" w:lineRule="auto"/>
        <w:ind w:left="720" w:hanging="720"/>
      </w:pPr>
      <w:r>
        <w:lastRenderedPageBreak/>
        <w:t xml:space="preserve">Yu, R. (2016). Stress potentiates decision biases: a stress induced deliberation-to-intuition (SIDI) model. </w:t>
      </w:r>
      <w:r w:rsidRPr="00F5246E">
        <w:rPr>
          <w:i/>
          <w:iCs/>
        </w:rPr>
        <w:t>Neurobiology of Stress, 3</w:t>
      </w:r>
      <w:r>
        <w:t xml:space="preserve">, 83-95. </w:t>
      </w:r>
      <w:hyperlink r:id="rId40" w:history="1">
        <w:r w:rsidRPr="002A350D">
          <w:rPr>
            <w:rStyle w:val="Hyperlink"/>
          </w:rPr>
          <w:t>https://doi.org/10.1016/j.ynstr.2015.12.006</w:t>
        </w:r>
      </w:hyperlink>
    </w:p>
    <w:p w14:paraId="691BDB33" w14:textId="77777777" w:rsidR="00AE5E44" w:rsidRDefault="00AE5E44" w:rsidP="0098239A">
      <w:pPr>
        <w:pStyle w:val="Heading2"/>
        <w:jc w:val="center"/>
        <w:rPr>
          <w:noProof/>
          <w:lang w:eastAsia="en-AU"/>
        </w:rPr>
      </w:pPr>
    </w:p>
    <w:p w14:paraId="79419BA5" w14:textId="77777777" w:rsidR="00AE5E44" w:rsidRDefault="00AE5E44" w:rsidP="0098239A">
      <w:pPr>
        <w:pStyle w:val="Heading2"/>
        <w:jc w:val="center"/>
        <w:rPr>
          <w:noProof/>
          <w:lang w:eastAsia="en-AU"/>
        </w:rPr>
      </w:pPr>
    </w:p>
    <w:p w14:paraId="2F87DB95" w14:textId="77777777" w:rsidR="00AE5E44" w:rsidRDefault="00AE5E44" w:rsidP="0098239A">
      <w:pPr>
        <w:pStyle w:val="Heading2"/>
        <w:jc w:val="center"/>
        <w:rPr>
          <w:noProof/>
          <w:lang w:eastAsia="en-AU"/>
        </w:rPr>
      </w:pPr>
    </w:p>
    <w:p w14:paraId="0BF5F856" w14:textId="77777777" w:rsidR="00AE5E44" w:rsidRDefault="00AE5E44" w:rsidP="0098239A">
      <w:pPr>
        <w:pStyle w:val="Heading2"/>
        <w:jc w:val="center"/>
        <w:rPr>
          <w:noProof/>
          <w:lang w:eastAsia="en-AU"/>
        </w:rPr>
      </w:pPr>
      <w:r>
        <w:rPr>
          <w:noProof/>
          <w:lang w:eastAsia="en-AU"/>
        </w:rPr>
        <w:t xml:space="preserve">AI Statement </w:t>
      </w:r>
    </w:p>
    <w:p w14:paraId="42AAC921" w14:textId="77777777" w:rsidR="00AE5E44" w:rsidRDefault="00AE5E44" w:rsidP="0098239A">
      <w:pPr>
        <w:pStyle w:val="Heading2"/>
        <w:jc w:val="center"/>
        <w:rPr>
          <w:noProof/>
          <w:lang w:eastAsia="en-AU"/>
        </w:rPr>
      </w:pPr>
    </w:p>
    <w:p w14:paraId="2CF2D5C6" w14:textId="77777777" w:rsidR="00AE5E44" w:rsidRPr="009F489D" w:rsidRDefault="00AE5E44" w:rsidP="00AE5E44">
      <w:pPr>
        <w:rPr>
          <w:rFonts w:ascii="Arial" w:hAnsi="Arial" w:cs="Arial"/>
        </w:rPr>
      </w:pPr>
      <w:r w:rsidRPr="009F489D">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8B7BD7B" w14:textId="7644A63F" w:rsidR="00A81248" w:rsidRPr="003A798E" w:rsidRDefault="0098239A" w:rsidP="00AE5E44">
      <w:pPr>
        <w:pStyle w:val="Heading2"/>
      </w:pPr>
      <w:r w:rsidRPr="003A798E">
        <w:rPr>
          <w:noProof/>
          <w:lang w:eastAsia="en-AU"/>
        </w:rPr>
        <w:t xml:space="preserve"> </w:t>
      </w:r>
    </w:p>
    <w:sectPr w:rsidR="00A81248" w:rsidRPr="003A798E" w:rsidSect="00A24793">
      <w:footerReference w:type="even" r:id="rId41"/>
      <w:footerReference w:type="default" r:id="rId42"/>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0C8BD" w14:textId="77777777" w:rsidR="00886BE3" w:rsidRDefault="00886BE3" w:rsidP="001205A1">
      <w:r>
        <w:separator/>
      </w:r>
    </w:p>
  </w:endnote>
  <w:endnote w:type="continuationSeparator" w:id="0">
    <w:p w14:paraId="11DCF279" w14:textId="77777777" w:rsidR="00886BE3" w:rsidRDefault="00886BE3"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198F700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14:paraId="31DC9860"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76CE729D" w14:textId="77777777" w:rsidR="001205A1" w:rsidRPr="001205A1" w:rsidRDefault="00000000" w:rsidP="00C66528">
          <w:pPr>
            <w:pStyle w:val="Footer"/>
          </w:pPr>
          <w:sdt>
            <w:sdtPr>
              <w:rPr>
                <w:color w:val="7F7F7F" w:themeColor="text1" w:themeTint="80"/>
              </w:rPr>
              <w:id w:val="-94713725"/>
              <w:placeholder>
                <w:docPart w:val="46792151FACB47B5915EE665BA0D783F"/>
              </w:placeholder>
              <w:temporary/>
              <w:showingPlcHdr/>
              <w15:appearance w15:val="hidden"/>
            </w:sdtPr>
            <w:sdtContent>
              <w:r w:rsidR="00C66528" w:rsidRPr="00FC49AE">
                <w:t>REPORT TITLE</w:t>
              </w:r>
            </w:sdtContent>
          </w:sdt>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FCC0F" w14:textId="77777777" w:rsidR="00886BE3" w:rsidRDefault="00886BE3" w:rsidP="001205A1">
      <w:r>
        <w:separator/>
      </w:r>
    </w:p>
  </w:footnote>
  <w:footnote w:type="continuationSeparator" w:id="0">
    <w:p w14:paraId="3298DAB3" w14:textId="77777777" w:rsidR="00886BE3" w:rsidRDefault="00886BE3"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130C5"/>
    <w:rsid w:val="00026877"/>
    <w:rsid w:val="00080D32"/>
    <w:rsid w:val="000B0A4E"/>
    <w:rsid w:val="000C2398"/>
    <w:rsid w:val="000C4ED1"/>
    <w:rsid w:val="000D5641"/>
    <w:rsid w:val="000E131D"/>
    <w:rsid w:val="001205A1"/>
    <w:rsid w:val="00135B5A"/>
    <w:rsid w:val="00181BA1"/>
    <w:rsid w:val="00234A99"/>
    <w:rsid w:val="002803FF"/>
    <w:rsid w:val="00281620"/>
    <w:rsid w:val="002877E8"/>
    <w:rsid w:val="002A50A7"/>
    <w:rsid w:val="002E7C4E"/>
    <w:rsid w:val="0031055C"/>
    <w:rsid w:val="0034143E"/>
    <w:rsid w:val="00356039"/>
    <w:rsid w:val="00371EE1"/>
    <w:rsid w:val="00387389"/>
    <w:rsid w:val="00391E5D"/>
    <w:rsid w:val="003A798E"/>
    <w:rsid w:val="00425A99"/>
    <w:rsid w:val="00450684"/>
    <w:rsid w:val="004B185C"/>
    <w:rsid w:val="005228C0"/>
    <w:rsid w:val="00540AEE"/>
    <w:rsid w:val="00582255"/>
    <w:rsid w:val="005E6B25"/>
    <w:rsid w:val="005F4F46"/>
    <w:rsid w:val="00695A86"/>
    <w:rsid w:val="006969BF"/>
    <w:rsid w:val="006B2F4E"/>
    <w:rsid w:val="006B7872"/>
    <w:rsid w:val="006C60E6"/>
    <w:rsid w:val="0072442F"/>
    <w:rsid w:val="0074496A"/>
    <w:rsid w:val="00763E24"/>
    <w:rsid w:val="00766C02"/>
    <w:rsid w:val="007B0740"/>
    <w:rsid w:val="007C1BAB"/>
    <w:rsid w:val="007F3F7D"/>
    <w:rsid w:val="008077DC"/>
    <w:rsid w:val="00871889"/>
    <w:rsid w:val="00886BE3"/>
    <w:rsid w:val="008F65AE"/>
    <w:rsid w:val="00913380"/>
    <w:rsid w:val="00975EAA"/>
    <w:rsid w:val="0098239A"/>
    <w:rsid w:val="009A5EB7"/>
    <w:rsid w:val="009B4F9A"/>
    <w:rsid w:val="009E2D94"/>
    <w:rsid w:val="00A15CF7"/>
    <w:rsid w:val="00A24793"/>
    <w:rsid w:val="00A65495"/>
    <w:rsid w:val="00A81248"/>
    <w:rsid w:val="00A856E9"/>
    <w:rsid w:val="00AB1151"/>
    <w:rsid w:val="00AC084C"/>
    <w:rsid w:val="00AE5E44"/>
    <w:rsid w:val="00B83753"/>
    <w:rsid w:val="00BB24A7"/>
    <w:rsid w:val="00C66528"/>
    <w:rsid w:val="00C915F0"/>
    <w:rsid w:val="00D720ED"/>
    <w:rsid w:val="00D903DF"/>
    <w:rsid w:val="00E07275"/>
    <w:rsid w:val="00E330F8"/>
    <w:rsid w:val="00E904C6"/>
    <w:rsid w:val="00E90514"/>
    <w:rsid w:val="00ED2DC4"/>
    <w:rsid w:val="00F00899"/>
    <w:rsid w:val="00F21281"/>
    <w:rsid w:val="00F72E3E"/>
    <w:rsid w:val="00F87A87"/>
    <w:rsid w:val="00FA38A4"/>
    <w:rsid w:val="00FB65B8"/>
    <w:rsid w:val="00FC3CDC"/>
    <w:rsid w:val="00FC49AE"/>
    <w:rsid w:val="00FD2FC3"/>
    <w:rsid w:val="00FF2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15:docId w15:val="{FD8D507C-62D7-4283-8446-52C030D3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unhideWhenUsed/>
    <w:rsid w:val="00B83753"/>
    <w:rPr>
      <w:color w:val="0000FF" w:themeColor="hyperlink"/>
      <w:u w:val="single"/>
    </w:rPr>
  </w:style>
  <w:style w:type="character" w:styleId="UnresolvedMention">
    <w:name w:val="Unresolved Mention"/>
    <w:basedOn w:val="DefaultParagraphFont"/>
    <w:uiPriority w:val="99"/>
    <w:semiHidden/>
    <w:unhideWhenUsed/>
    <w:rsid w:val="00AC0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ortex.2018.05.015" TargetMode="External"/><Relationship Id="rId18" Type="http://schemas.openxmlformats.org/officeDocument/2006/relationships/hyperlink" Target="https://doi.org/10.1016/S0149-7634(01)00063-X" TargetMode="External"/><Relationship Id="rId26" Type="http://schemas.openxmlformats.org/officeDocument/2006/relationships/hyperlink" Target="https://doi.org/10.1016/j.ridd.2010.04.025" TargetMode="External"/><Relationship Id="rId39" Type="http://schemas.openxmlformats.org/officeDocument/2006/relationships/hyperlink" Target="https://doi.org/10.1080/07434618.2021.1879932" TargetMode="External"/><Relationship Id="rId21" Type="http://schemas.openxmlformats.org/officeDocument/2006/relationships/hyperlink" Target="https://doi.org/10.3390/brainsci7050049" TargetMode="External"/><Relationship Id="rId34" Type="http://schemas.openxmlformats.org/officeDocument/2006/relationships/hyperlink" Target="https://doi.org/10.1037/a0017619" TargetMode="Externa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psycnet.apa.org/doi/10.1037/dev0001385" TargetMode="External"/><Relationship Id="rId29" Type="http://schemas.openxmlformats.org/officeDocument/2006/relationships/hyperlink" Target="https://doi.org/10.1177/1747021824125788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cub.2009.12.014" TargetMode="External"/><Relationship Id="rId24" Type="http://schemas.openxmlformats.org/officeDocument/2006/relationships/hyperlink" Target="https://doi.org/10.3389/fpsyt.2022.1034722" TargetMode="External"/><Relationship Id="rId32" Type="http://schemas.openxmlformats.org/officeDocument/2006/relationships/hyperlink" Target="https://doi.org/10.1177/0963721411415340" TargetMode="External"/><Relationship Id="rId37" Type="http://schemas.openxmlformats.org/officeDocument/2006/relationships/hyperlink" Target="https://doi.org/10.3389/fnhum.2016.00380" TargetMode="External"/><Relationship Id="rId40" Type="http://schemas.openxmlformats.org/officeDocument/2006/relationships/hyperlink" Target="https://doi.org/10.1016/j.ynstr.2015.12.006"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16/S0001-6918(97)00053-X" TargetMode="External"/><Relationship Id="rId23" Type="http://schemas.openxmlformats.org/officeDocument/2006/relationships/hyperlink" Target="https://doi.org/10.1016/j.pnpbp.2017.07.004" TargetMode="External"/><Relationship Id="rId28" Type="http://schemas.openxmlformats.org/officeDocument/2006/relationships/hyperlink" Target="https://doi.org/10.1007/s00787-022-02050-2" TargetMode="External"/><Relationship Id="rId36" Type="http://schemas.openxmlformats.org/officeDocument/2006/relationships/hyperlink" Target="https://doi.org/10.1080/09658210500139176" TargetMode="External"/><Relationship Id="rId10" Type="http://schemas.openxmlformats.org/officeDocument/2006/relationships/hyperlink" Target="https://doi.org/10.1016/S0959-4388(98)80145-1" TargetMode="External"/><Relationship Id="rId19" Type="http://schemas.openxmlformats.org/officeDocument/2006/relationships/hyperlink" Target="https://doi.org/10.1097/MD.0000000000038813" TargetMode="External"/><Relationship Id="rId31" Type="http://schemas.openxmlformats.org/officeDocument/2006/relationships/hyperlink" Target="https://doi.org/10.1037/0096-3445.133.3.339"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doi.org/10.1007/s11292-024-09644-7" TargetMode="External"/><Relationship Id="rId14" Type="http://schemas.openxmlformats.org/officeDocument/2006/relationships/hyperlink" Target="https://doi.org/10.1016/0001-6918(95)98944-Y" TargetMode="External"/><Relationship Id="rId22" Type="http://schemas.openxmlformats.org/officeDocument/2006/relationships/hyperlink" Target="https://doi.org/10.1016/j.tine.2018.07.001" TargetMode="External"/><Relationship Id="rId27" Type="http://schemas.openxmlformats.org/officeDocument/2006/relationships/hyperlink" Target="https://doi.org/10.12998/wjcc.v10.i2.401" TargetMode="External"/><Relationship Id="rId30" Type="http://schemas.openxmlformats.org/officeDocument/2006/relationships/hyperlink" Target="https://doi.org/10.3233/IDT-160255" TargetMode="External"/><Relationship Id="rId35" Type="http://schemas.openxmlformats.org/officeDocument/2006/relationships/hyperlink" Target="https://doi.org/10.1177/17470218241301701"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doi.org/10.1146/annurev-psych-120710-100422" TargetMode="External"/><Relationship Id="rId17" Type="http://schemas.openxmlformats.org/officeDocument/2006/relationships/hyperlink" Target="https://doi.org/10.1037/a0018200" TargetMode="External"/><Relationship Id="rId25" Type="http://schemas.openxmlformats.org/officeDocument/2006/relationships/hyperlink" Target="https://doi.org/10.1016/j.emj.2017.07.001" TargetMode="External"/><Relationship Id="rId33" Type="http://schemas.openxmlformats.org/officeDocument/2006/relationships/hyperlink" Target="https://doi.org/10.3389/neuro.08.005.2008" TargetMode="External"/><Relationship Id="rId38" Type="http://schemas.openxmlformats.org/officeDocument/2006/relationships/hyperlink" Target="https://doi.org/10.1007/s10071-023-01768-z" TargetMode="External"/><Relationship Id="rId20" Type="http://schemas.openxmlformats.org/officeDocument/2006/relationships/hyperlink" Target="https://doi.org/10.1093/scan/nsad036" TargetMode="External"/><Relationship Id="rId41"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792151FACB47B5915EE665BA0D783F"/>
        <w:category>
          <w:name w:val="General"/>
          <w:gallery w:val="placeholder"/>
        </w:category>
        <w:types>
          <w:type w:val="bbPlcHdr"/>
        </w:types>
        <w:behaviors>
          <w:behavior w:val="content"/>
        </w:behaviors>
        <w:guid w:val="{66D57DAD-5EF7-4AA9-8C90-F910B0E82F11}"/>
      </w:docPartPr>
      <w:docPartBody>
        <w:p w:rsidR="005F6076" w:rsidRDefault="003C0142" w:rsidP="003C0142">
          <w:pPr>
            <w:pStyle w:val="46792151FACB47B5915EE665BA0D783F"/>
          </w:pPr>
          <w:r w:rsidRPr="003A798E">
            <w:t>INSTRUCTIONS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142"/>
    <w:rsid w:val="0007594C"/>
    <w:rsid w:val="00080D32"/>
    <w:rsid w:val="00234A99"/>
    <w:rsid w:val="00302756"/>
    <w:rsid w:val="003C0142"/>
    <w:rsid w:val="005F6076"/>
    <w:rsid w:val="0072442F"/>
    <w:rsid w:val="00763E24"/>
    <w:rsid w:val="00843DB9"/>
    <w:rsid w:val="00B66D0F"/>
    <w:rsid w:val="00D14785"/>
    <w:rsid w:val="00F212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qFormat/>
    <w:rsid w:val="003C0142"/>
    <w:pPr>
      <w:keepNext/>
      <w:keepLines/>
      <w:spacing w:after="0" w:line="240" w:lineRule="auto"/>
      <w:outlineLvl w:val="3"/>
    </w:pPr>
    <w:rPr>
      <w:rFonts w:eastAsiaTheme="majorEastAsia" w:cstheme="majorBidi"/>
      <w:i/>
      <w:iCs/>
      <w:color w:val="000000" w:themeColor="text1"/>
      <w:sz w:val="3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3"/>
    <w:rsid w:val="003C0142"/>
    <w:rPr>
      <w:rFonts w:eastAsiaTheme="majorEastAsia" w:cstheme="majorBidi"/>
      <w:i/>
      <w:iCs/>
      <w:color w:val="000000" w:themeColor="text1"/>
      <w:sz w:val="32"/>
      <w:szCs w:val="24"/>
      <w:lang w:val="en-US" w:eastAsia="en-US"/>
    </w:rPr>
  </w:style>
  <w:style w:type="character" w:styleId="Emphasis">
    <w:name w:val="Emphasis"/>
    <w:basedOn w:val="DefaultParagraphFont"/>
    <w:uiPriority w:val="20"/>
    <w:qFormat/>
    <w:rPr>
      <w:i w:val="0"/>
      <w:iCs/>
      <w:color w:val="E97132" w:themeColor="accent2"/>
    </w:rPr>
  </w:style>
  <w:style w:type="paragraph" w:styleId="Quote">
    <w:name w:val="Quote"/>
    <w:basedOn w:val="Normal"/>
    <w:next w:val="Normal"/>
    <w:link w:val="QuoteChar"/>
    <w:uiPriority w:val="29"/>
    <w:qFormat/>
    <w:pPr>
      <w:spacing w:after="0" w:line="192" w:lineRule="auto"/>
      <w:jc w:val="center"/>
    </w:pPr>
    <w:rPr>
      <w:rFonts w:asciiTheme="majorHAnsi" w:eastAsiaTheme="minorHAnsi" w:hAnsiTheme="majorHAnsi"/>
      <w:iCs/>
      <w:color w:val="156082" w:themeColor="accent1"/>
      <w:sz w:val="76"/>
      <w:szCs w:val="24"/>
      <w:lang w:val="en-US" w:eastAsia="en-US"/>
    </w:rPr>
  </w:style>
  <w:style w:type="character" w:customStyle="1" w:styleId="QuoteChar">
    <w:name w:val="Quote Char"/>
    <w:basedOn w:val="DefaultParagraphFont"/>
    <w:link w:val="Quote"/>
    <w:uiPriority w:val="29"/>
    <w:rPr>
      <w:rFonts w:asciiTheme="majorHAnsi" w:eastAsiaTheme="minorHAnsi" w:hAnsiTheme="majorHAnsi"/>
      <w:iCs/>
      <w:color w:val="156082" w:themeColor="accent1"/>
      <w:sz w:val="76"/>
      <w:szCs w:val="24"/>
      <w:lang w:val="en-US" w:eastAsia="en-US"/>
    </w:rPr>
  </w:style>
  <w:style w:type="paragraph" w:customStyle="1" w:styleId="46792151FACB47B5915EE665BA0D783F">
    <w:name w:val="46792151FACB47B5915EE665BA0D783F"/>
    <w:rsid w:val="003C01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71</TotalTime>
  <Pages>16</Pages>
  <Words>4092</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Afsana Begum (2204410)</cp:lastModifiedBy>
  <cp:revision>37</cp:revision>
  <dcterms:created xsi:type="dcterms:W3CDTF">2025-04-24T14:20:00Z</dcterms:created>
  <dcterms:modified xsi:type="dcterms:W3CDTF">2025-05-09T16:19:00Z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