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6212636"/>
        <w:docPartObj>
          <w:docPartGallery w:val="Cover Pages"/>
          <w:docPartUnique/>
        </w:docPartObj>
      </w:sdtPr>
      <w:sdtEndPr>
        <w:rPr>
          <w:sz w:val="32"/>
          <w:szCs w:val="32"/>
        </w:rPr>
      </w:sdtEndPr>
      <w:sdtContent>
        <w:p w14:paraId="0D641B52" w14:textId="77777777" w:rsidR="00C03121" w:rsidRDefault="00C03121" w:rsidP="00C03121">
          <w:pPr>
            <w:rPr>
              <w:rFonts w:ascii="Times New Roman" w:hAnsi="Times New Roman" w:cs="Times New Roman"/>
              <w:szCs w:val="24"/>
            </w:rPr>
          </w:pPr>
          <w:r>
            <w:rPr>
              <w:rFonts w:ascii="Times New Roman" w:hAnsi="Times New Roman" w:cs="Times New Roman"/>
              <w:noProof/>
              <w:szCs w:val="24"/>
              <w:lang w:val="en-US"/>
            </w:rPr>
            <w:drawing>
              <wp:anchor distT="0" distB="0" distL="114300" distR="114300" simplePos="0" relativeHeight="251659264" behindDoc="0" locked="0" layoutInCell="1" allowOverlap="1" wp14:anchorId="1162B5D9" wp14:editId="12E6F0EB">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5478BE8D" w14:textId="77777777" w:rsidR="00C03121" w:rsidRDefault="00C03121" w:rsidP="00C03121">
          <w:pPr>
            <w:rPr>
              <w:rFonts w:ascii="Times New Roman" w:hAnsi="Times New Roman" w:cs="Times New Roman"/>
              <w:szCs w:val="24"/>
            </w:rPr>
          </w:pPr>
        </w:p>
        <w:p w14:paraId="3733160B" w14:textId="77777777" w:rsidR="00C03121" w:rsidRDefault="00C03121" w:rsidP="00C03121">
          <w:pPr>
            <w:rPr>
              <w:rFonts w:ascii="Times New Roman" w:hAnsi="Times New Roman" w:cs="Times New Roman"/>
              <w:szCs w:val="24"/>
            </w:rPr>
          </w:pPr>
        </w:p>
        <w:p w14:paraId="3DE17046" w14:textId="77777777" w:rsidR="00C03121" w:rsidRDefault="00C03121" w:rsidP="00C03121">
          <w:pPr>
            <w:rPr>
              <w:rFonts w:ascii="Times New Roman" w:hAnsi="Times New Roman" w:cs="Times New Roman"/>
              <w:szCs w:val="24"/>
            </w:rPr>
          </w:pPr>
        </w:p>
        <w:p w14:paraId="0C9D03D3" w14:textId="77777777" w:rsidR="00C03121" w:rsidRDefault="00C03121" w:rsidP="00C03121">
          <w:pPr>
            <w:tabs>
              <w:tab w:val="left" w:pos="6540"/>
            </w:tabs>
            <w:rPr>
              <w:rFonts w:ascii="Times New Roman" w:hAnsi="Times New Roman" w:cs="Times New Roman"/>
              <w:sz w:val="28"/>
              <w:szCs w:val="28"/>
            </w:rPr>
          </w:pPr>
        </w:p>
        <w:p w14:paraId="7EA879AF" w14:textId="77777777" w:rsidR="00C03121" w:rsidRDefault="00C03121" w:rsidP="00C03121">
          <w:pPr>
            <w:tabs>
              <w:tab w:val="left" w:pos="6540"/>
            </w:tabs>
            <w:rPr>
              <w:rFonts w:ascii="Times New Roman" w:hAnsi="Times New Roman" w:cs="Times New Roman"/>
              <w:sz w:val="28"/>
              <w:szCs w:val="28"/>
            </w:rPr>
          </w:pPr>
          <w:bookmarkStart w:id="0" w:name="_Hlk119323191"/>
          <w:r>
            <w:rPr>
              <w:rFonts w:ascii="Times New Roman" w:hAnsi="Times New Roman" w:cs="Times New Roman"/>
              <w:b/>
              <w:bCs/>
              <w:sz w:val="28"/>
              <w:szCs w:val="28"/>
            </w:rPr>
            <w:t>Student name</w:t>
          </w:r>
          <w:r>
            <w:rPr>
              <w:rFonts w:ascii="Times New Roman" w:hAnsi="Times New Roman" w:cs="Times New Roman"/>
              <w:sz w:val="28"/>
              <w:szCs w:val="28"/>
            </w:rPr>
            <w:t xml:space="preserve">: </w:t>
          </w:r>
          <w:r w:rsidRPr="00964A48">
            <w:rPr>
              <w:rFonts w:cs="Arial"/>
              <w:sz w:val="28"/>
              <w:szCs w:val="28"/>
            </w:rPr>
            <w:t>Francis Egbeonu</w:t>
          </w:r>
        </w:p>
        <w:p w14:paraId="20512C15" w14:textId="77777777" w:rsidR="00C03121" w:rsidRPr="00964A48" w:rsidRDefault="00C03121" w:rsidP="00C03121">
          <w:pPr>
            <w:tabs>
              <w:tab w:val="left" w:pos="6540"/>
            </w:tabs>
            <w:rPr>
              <w:rFonts w:ascii="Times New Roman" w:hAnsi="Times New Roman" w:cs="Times New Roman"/>
              <w:sz w:val="28"/>
              <w:szCs w:val="28"/>
              <w:lang w:val="nl-NL"/>
            </w:rPr>
          </w:pPr>
          <w:r>
            <w:rPr>
              <w:rFonts w:ascii="Times New Roman" w:hAnsi="Times New Roman" w:cs="Times New Roman"/>
              <w:b/>
              <w:bCs/>
              <w:sz w:val="28"/>
              <w:szCs w:val="28"/>
              <w:lang w:val="nl-NL"/>
            </w:rPr>
            <w:t>Student ID</w:t>
          </w:r>
          <w:r>
            <w:rPr>
              <w:rFonts w:ascii="Times New Roman" w:hAnsi="Times New Roman" w:cs="Times New Roman"/>
              <w:sz w:val="28"/>
              <w:szCs w:val="28"/>
              <w:lang w:val="nl-NL"/>
            </w:rPr>
            <w:t>: 2438118</w:t>
          </w:r>
        </w:p>
        <w:p w14:paraId="6514DEB2" w14:textId="0EA2963C" w:rsidR="00C03121" w:rsidRDefault="00C03121" w:rsidP="00C03121">
          <w:pPr>
            <w:tabs>
              <w:tab w:val="left" w:pos="6540"/>
            </w:tabs>
            <w:rPr>
              <w:rFonts w:ascii="Times New Roman" w:hAnsi="Times New Roman" w:cs="Times New Roman"/>
              <w:sz w:val="28"/>
              <w:szCs w:val="28"/>
              <w:lang w:val="nl-NL"/>
            </w:rPr>
          </w:pPr>
          <w:r>
            <w:rPr>
              <w:rFonts w:ascii="Times New Roman" w:hAnsi="Times New Roman" w:cs="Times New Roman"/>
              <w:b/>
              <w:bCs/>
              <w:sz w:val="28"/>
              <w:szCs w:val="28"/>
              <w:lang w:val="nl-NL"/>
            </w:rPr>
            <w:t>Module name</w:t>
          </w:r>
          <w:r>
            <w:rPr>
              <w:rFonts w:ascii="Times New Roman" w:hAnsi="Times New Roman" w:cs="Times New Roman"/>
              <w:sz w:val="28"/>
              <w:szCs w:val="28"/>
              <w:lang w:val="nl-NL"/>
            </w:rPr>
            <w:t xml:space="preserve">: </w:t>
          </w:r>
          <w:r w:rsidR="00F46093">
            <w:rPr>
              <w:rFonts w:ascii="Times New Roman" w:hAnsi="Times New Roman" w:cs="Times New Roman"/>
              <w:sz w:val="28"/>
              <w:szCs w:val="28"/>
              <w:lang w:val="nl-NL"/>
            </w:rPr>
            <w:t>Psyc</w:t>
          </w:r>
          <w:r w:rsidR="003D3778">
            <w:rPr>
              <w:rFonts w:ascii="Times New Roman" w:hAnsi="Times New Roman" w:cs="Times New Roman"/>
              <w:sz w:val="28"/>
              <w:szCs w:val="28"/>
              <w:lang w:val="nl-NL"/>
            </w:rPr>
            <w:t>hology in Health and Social Care</w:t>
          </w:r>
        </w:p>
        <w:p w14:paraId="6CB02DED" w14:textId="231DE64B" w:rsidR="00C03121" w:rsidRPr="004E6674" w:rsidRDefault="00C03121" w:rsidP="00C03121">
          <w:pPr>
            <w:tabs>
              <w:tab w:val="left" w:pos="6540"/>
            </w:tabs>
            <w:rPr>
              <w:rFonts w:ascii="Times New Roman" w:hAnsi="Times New Roman" w:cs="Times New Roman"/>
              <w:sz w:val="28"/>
              <w:szCs w:val="28"/>
            </w:rPr>
          </w:pPr>
          <w:r>
            <w:rPr>
              <w:rFonts w:ascii="Times New Roman" w:hAnsi="Times New Roman" w:cs="Times New Roman"/>
              <w:b/>
              <w:bCs/>
              <w:sz w:val="28"/>
              <w:szCs w:val="28"/>
            </w:rPr>
            <w:t>Module code</w:t>
          </w:r>
          <w:r>
            <w:rPr>
              <w:rFonts w:ascii="Times New Roman" w:hAnsi="Times New Roman" w:cs="Times New Roman"/>
              <w:sz w:val="28"/>
              <w:szCs w:val="28"/>
            </w:rPr>
            <w:t xml:space="preserve">: </w:t>
          </w:r>
          <w:r w:rsidR="008B37C4">
            <w:rPr>
              <w:sz w:val="32"/>
              <w:szCs w:val="32"/>
            </w:rPr>
            <w:t xml:space="preserve"> </w:t>
          </w:r>
          <w:r w:rsidR="008B37C4" w:rsidRPr="004E6674">
            <w:rPr>
              <w:sz w:val="28"/>
              <w:szCs w:val="28"/>
            </w:rPr>
            <w:t>L</w:t>
          </w:r>
          <w:r w:rsidR="004E6674" w:rsidRPr="004E6674">
            <w:rPr>
              <w:sz w:val="28"/>
              <w:szCs w:val="28"/>
            </w:rPr>
            <w:t>CHS 4010</w:t>
          </w:r>
        </w:p>
        <w:p w14:paraId="70E63E2F" w14:textId="16E553BD" w:rsidR="00C03121" w:rsidRDefault="00C03121" w:rsidP="00C03121">
          <w:pPr>
            <w:rPr>
              <w:rFonts w:cs="Arial"/>
              <w:sz w:val="28"/>
              <w:szCs w:val="28"/>
            </w:rPr>
          </w:pPr>
          <w:r>
            <w:rPr>
              <w:rFonts w:ascii="Times New Roman" w:hAnsi="Times New Roman" w:cs="Times New Roman"/>
              <w:b/>
              <w:bCs/>
              <w:sz w:val="28"/>
              <w:szCs w:val="28"/>
            </w:rPr>
            <w:t>Lecturer name</w:t>
          </w:r>
          <w:bookmarkEnd w:id="0"/>
          <w:r w:rsidRPr="00D80E8F">
            <w:rPr>
              <w:rFonts w:ascii="Times New Roman" w:hAnsi="Times New Roman" w:cs="Times New Roman"/>
              <w:sz w:val="28"/>
              <w:szCs w:val="28"/>
            </w:rPr>
            <w:t xml:space="preserve">: </w:t>
          </w:r>
          <w:r w:rsidR="003748BD">
            <w:rPr>
              <w:rFonts w:ascii="Times New Roman" w:hAnsi="Times New Roman" w:cs="Times New Roman"/>
              <w:sz w:val="28"/>
              <w:szCs w:val="28"/>
            </w:rPr>
            <w:t>Dr</w:t>
          </w:r>
          <w:r w:rsidR="00BB3B8F">
            <w:rPr>
              <w:rFonts w:cs="Arial"/>
              <w:sz w:val="28"/>
              <w:szCs w:val="28"/>
            </w:rPr>
            <w:t xml:space="preserve"> Farah Wiita</w:t>
          </w:r>
        </w:p>
        <w:p w14:paraId="4E713866" w14:textId="77777777" w:rsidR="003B738A" w:rsidRDefault="003B738A" w:rsidP="00C03121">
          <w:pPr>
            <w:rPr>
              <w:rFonts w:cs="Arial"/>
              <w:sz w:val="28"/>
              <w:szCs w:val="28"/>
            </w:rPr>
          </w:pPr>
        </w:p>
        <w:p w14:paraId="72495677" w14:textId="77777777" w:rsidR="00DE7ABD" w:rsidRPr="00DB52F6" w:rsidRDefault="00DE7ABD" w:rsidP="00DE7ABD">
          <w:pPr>
            <w:spacing w:line="720" w:lineRule="auto"/>
            <w:rPr>
              <w:sz w:val="32"/>
              <w:szCs w:val="32"/>
            </w:rPr>
          </w:pPr>
        </w:p>
        <w:p w14:paraId="4CC54C4E" w14:textId="77777777" w:rsidR="00630B99" w:rsidRDefault="00630B99" w:rsidP="00DE087E">
          <w:pPr>
            <w:spacing w:line="720" w:lineRule="auto"/>
            <w:rPr>
              <w:sz w:val="32"/>
              <w:szCs w:val="32"/>
            </w:rPr>
          </w:pPr>
        </w:p>
        <w:p w14:paraId="3D390A1B" w14:textId="77777777" w:rsidR="00630B99" w:rsidRDefault="00630B99" w:rsidP="00DE087E">
          <w:pPr>
            <w:spacing w:line="720" w:lineRule="auto"/>
            <w:rPr>
              <w:sz w:val="32"/>
              <w:szCs w:val="32"/>
            </w:rPr>
          </w:pPr>
        </w:p>
        <w:p w14:paraId="134161B5" w14:textId="77777777" w:rsidR="00630B99" w:rsidRDefault="00630B99" w:rsidP="00DE087E">
          <w:pPr>
            <w:spacing w:line="720" w:lineRule="auto"/>
            <w:rPr>
              <w:sz w:val="32"/>
              <w:szCs w:val="32"/>
            </w:rPr>
          </w:pPr>
        </w:p>
        <w:p w14:paraId="3DDEC014" w14:textId="01BE8218" w:rsidR="003B738A" w:rsidRPr="00DE087E" w:rsidRDefault="00DE7ABD" w:rsidP="00DE087E">
          <w:pPr>
            <w:spacing w:line="720" w:lineRule="auto"/>
            <w:rPr>
              <w:sz w:val="32"/>
              <w:szCs w:val="32"/>
            </w:rPr>
            <w:sectPr w:rsidR="003B738A" w:rsidRPr="00DE087E" w:rsidSect="00C03121">
              <w:headerReference w:type="default" r:id="rId8"/>
              <w:footerReference w:type="default" r:id="rId9"/>
              <w:pgSz w:w="11906" w:h="16838"/>
              <w:pgMar w:top="1440" w:right="1440" w:bottom="1440" w:left="1440" w:header="708" w:footer="708" w:gutter="0"/>
              <w:cols w:space="708"/>
              <w:docGrid w:linePitch="360"/>
            </w:sectPr>
          </w:pPr>
          <w:r w:rsidRPr="00DB52F6">
            <w:rPr>
              <w:sz w:val="32"/>
              <w:szCs w:val="32"/>
            </w:rPr>
            <w:lastRenderedPageBreak/>
            <w:t>Assignment Title:</w:t>
          </w:r>
          <w:r>
            <w:rPr>
              <w:sz w:val="32"/>
              <w:szCs w:val="32"/>
            </w:rPr>
            <w:tab/>
          </w:r>
          <w:r w:rsidRPr="00001824">
            <w:rPr>
              <w:sz w:val="32"/>
              <w:szCs w:val="32"/>
            </w:rPr>
            <w:t>Assessment 2: Bibliography</w:t>
          </w:r>
        </w:p>
      </w:sdtContent>
    </w:sdt>
    <w:p w14:paraId="46EC6900" w14:textId="77777777" w:rsidR="00BC6208" w:rsidRPr="005A1E33" w:rsidRDefault="00BC6208" w:rsidP="00BC6208">
      <w:pPr>
        <w:pStyle w:val="Title"/>
        <w:rPr>
          <w:sz w:val="36"/>
          <w:szCs w:val="36"/>
        </w:rPr>
      </w:pPr>
      <w:r w:rsidRPr="005A1E33">
        <w:rPr>
          <w:sz w:val="36"/>
          <w:szCs w:val="36"/>
        </w:rPr>
        <w:lastRenderedPageBreak/>
        <w:t>ASSIGNMENT 2:</w:t>
      </w:r>
    </w:p>
    <w:p w14:paraId="7684FA57" w14:textId="77777777" w:rsidR="00BC6208" w:rsidRDefault="00BC6208" w:rsidP="00BC6208">
      <w:pPr>
        <w:pStyle w:val="Title"/>
      </w:pPr>
      <w:r w:rsidRPr="005A1E33">
        <w:rPr>
          <w:sz w:val="36"/>
          <w:szCs w:val="36"/>
        </w:rPr>
        <w:t>BIBLIOGRAPHY AND REPORT</w:t>
      </w:r>
    </w:p>
    <w:p w14:paraId="6684D789" w14:textId="77777777" w:rsidR="00BC6208" w:rsidRDefault="00BC6208" w:rsidP="00BC6208">
      <w:pPr>
        <w:pStyle w:val="Heading1"/>
      </w:pPr>
      <w:r>
        <w:t>PART A: Annotated Bibliography</w:t>
      </w:r>
    </w:p>
    <w:p w14:paraId="114D8D65" w14:textId="77777777" w:rsidR="00BC6208" w:rsidRDefault="00BC6208" w:rsidP="00BC6208">
      <w:r>
        <w:t>This section presents a list of four academic sources that examine psychological theories of adult growth and well-being in the context of health and social care.</w:t>
      </w:r>
    </w:p>
    <w:p w14:paraId="6736215F" w14:textId="77777777" w:rsidR="00BC6208" w:rsidRDefault="00BC6208" w:rsidP="00BC6208">
      <w:pPr>
        <w:pStyle w:val="Heading2"/>
      </w:pPr>
      <w:r w:rsidRPr="001964DB">
        <w:t>Erikson’s Psychosocial Stages</w:t>
      </w:r>
    </w:p>
    <w:p w14:paraId="22AB36DE" w14:textId="77777777" w:rsidR="00BC6208" w:rsidRPr="00EB2D6D" w:rsidRDefault="00BC6208" w:rsidP="00BC6208">
      <w:pPr>
        <w:pStyle w:val="Heading3"/>
        <w:rPr>
          <w:b/>
          <w:bCs/>
        </w:rPr>
      </w:pPr>
      <w:r>
        <w:rPr>
          <w:b/>
          <w:bCs/>
        </w:rPr>
        <w:t>Journal Article: Malone et al.</w:t>
      </w:r>
      <w:r w:rsidRPr="00EB2D6D">
        <w:rPr>
          <w:b/>
          <w:bCs/>
        </w:rPr>
        <w:t xml:space="preserve"> (20</w:t>
      </w:r>
      <w:r>
        <w:rPr>
          <w:b/>
          <w:bCs/>
        </w:rPr>
        <w:t>15</w:t>
      </w:r>
      <w:r w:rsidRPr="00EB2D6D">
        <w:rPr>
          <w:b/>
          <w:bCs/>
        </w:rPr>
        <w:t>)</w:t>
      </w:r>
    </w:p>
    <w:p w14:paraId="1D64B812" w14:textId="77777777" w:rsidR="00BC6208" w:rsidRPr="00B9020C" w:rsidRDefault="00BC6208" w:rsidP="00BC6208">
      <w:pPr>
        <w:rPr>
          <w:b/>
          <w:bCs/>
        </w:rPr>
      </w:pPr>
      <w:r w:rsidRPr="00B9020C">
        <w:rPr>
          <w:b/>
          <w:bCs/>
        </w:rPr>
        <w:t>Summary</w:t>
      </w:r>
    </w:p>
    <w:p w14:paraId="3BF640B6" w14:textId="77777777" w:rsidR="00BC6208" w:rsidRPr="004B07F4" w:rsidRDefault="00BC6208" w:rsidP="00BC6208">
      <w:r>
        <w:t>Malone et al. (2015)</w:t>
      </w:r>
      <w:r w:rsidRPr="004B07F4">
        <w:t xml:space="preserve"> </w:t>
      </w:r>
      <w:r>
        <w:t>investigate</w:t>
      </w:r>
      <w:r w:rsidRPr="004B07F4">
        <w:t xml:space="preserve"> how well the resolution of Erikson's psychological stages in midlife predicts well-being later in life. The authors examined data from a 75-year study of adult development and found that people with higher levels of generativity, intimacy, and identity coherence in midlife had better cognitive performance and lower depression in old age. The research also discovered that depression in later life acted as a go-between for the link between earlier psychosocial development and cognitive results.</w:t>
      </w:r>
    </w:p>
    <w:p w14:paraId="711D6C77" w14:textId="77777777" w:rsidR="00BC6208" w:rsidRPr="00B9020C" w:rsidRDefault="00BC6208" w:rsidP="00BC6208">
      <w:pPr>
        <w:rPr>
          <w:b/>
          <w:bCs/>
        </w:rPr>
      </w:pPr>
      <w:r w:rsidRPr="00B9020C">
        <w:rPr>
          <w:b/>
          <w:bCs/>
        </w:rPr>
        <w:t>Critical relevance to supporting older adults</w:t>
      </w:r>
    </w:p>
    <w:p w14:paraId="10D71615" w14:textId="77777777" w:rsidR="00BC6208" w:rsidRPr="00B9020C" w:rsidRDefault="00BC6208" w:rsidP="00BC6208">
      <w:r w:rsidRPr="00B9020C">
        <w:t>This paper emphasises the importance of psychosocial growth for long-term outcomes as people age. The results show that health and social care professionals need to do more to help older people feel they have a sense of meaning in life and to improve their emotional health. Reminiscence therapy, life-story work, and community involvement are some ways that can help older people maintain their sense of self and reduce their sadness, both of which have been shown to affect cognitive health.</w:t>
      </w:r>
    </w:p>
    <w:p w14:paraId="2676D90E" w14:textId="77777777" w:rsidR="00BC6208" w:rsidRDefault="00BC6208" w:rsidP="00BC6208">
      <w:pPr>
        <w:spacing w:line="480" w:lineRule="auto"/>
        <w:rPr>
          <w:rFonts w:eastAsiaTheme="majorEastAsia" w:cstheme="majorBidi"/>
          <w:b/>
          <w:bCs/>
          <w:sz w:val="26"/>
          <w:szCs w:val="28"/>
          <w:u w:val="single"/>
        </w:rPr>
      </w:pPr>
      <w:r>
        <w:rPr>
          <w:b/>
          <w:bCs/>
        </w:rPr>
        <w:br w:type="page"/>
      </w:r>
    </w:p>
    <w:p w14:paraId="3871B51E" w14:textId="77777777" w:rsidR="00BC6208" w:rsidRPr="005A119F" w:rsidRDefault="00BC6208" w:rsidP="00BC6208">
      <w:pPr>
        <w:pStyle w:val="Heading3"/>
        <w:rPr>
          <w:b/>
          <w:bCs/>
        </w:rPr>
      </w:pPr>
      <w:r w:rsidRPr="005A119F">
        <w:rPr>
          <w:b/>
          <w:bCs/>
        </w:rPr>
        <w:lastRenderedPageBreak/>
        <w:t>Book Chapter – Salkind (2004)</w:t>
      </w:r>
    </w:p>
    <w:p w14:paraId="7D3E213A" w14:textId="77777777" w:rsidR="00BC6208" w:rsidRPr="009B5E43" w:rsidRDefault="00BC6208" w:rsidP="00BC6208">
      <w:pPr>
        <w:rPr>
          <w:b/>
          <w:bCs/>
        </w:rPr>
      </w:pPr>
      <w:r w:rsidRPr="009B5E43">
        <w:rPr>
          <w:b/>
          <w:bCs/>
        </w:rPr>
        <w:t>Summary</w:t>
      </w:r>
    </w:p>
    <w:p w14:paraId="538DAC66" w14:textId="77777777" w:rsidR="00BC6208" w:rsidRDefault="00BC6208" w:rsidP="00BC6208">
      <w:r>
        <w:t>Salkind's (2004) clear and organised summary of Erikson's eight-stage model of psychosocial development emphasises that each stage has a core conflict that shapes personality and well-being. Salkind elaborates on Erikson's idea that development occurs throughout a person's life and that earlier stages shape how they age, maintain their personality, and look back on their life. This chapter also discusses how social relationships, cultural background, and meaningful roles can affect mental and social outcomes throughout a person's life.</w:t>
      </w:r>
    </w:p>
    <w:p w14:paraId="7D1BA87B" w14:textId="77777777" w:rsidR="00BC6208" w:rsidRPr="004156B7" w:rsidRDefault="00BC6208" w:rsidP="00BC6208">
      <w:pPr>
        <w:rPr>
          <w:b/>
          <w:bCs/>
        </w:rPr>
      </w:pPr>
      <w:r w:rsidRPr="004156B7">
        <w:rPr>
          <w:b/>
          <w:bCs/>
        </w:rPr>
        <w:t>Critical relevance to supporting older adults in health and social care</w:t>
      </w:r>
    </w:p>
    <w:p w14:paraId="291B7850" w14:textId="77777777" w:rsidR="00BC6208" w:rsidRDefault="00BC6208" w:rsidP="00BC6208">
      <w:r>
        <w:t>Salkind's (2004) study of Erikson is very useful for professionals who work with older people because it underscores the importance of helping people navigate the processes of reviewing their lives, maintaining their identities, and creating new ones. Healthcare providers can better understand why older people may reflect on their lives, feel sorrow, or seek emotional closure by recognising the conflict between integrity and despair. Salkind (2004) highlights cultural factors, but it still assumes a straight line of growth, which may not reflect the lives of people whose lives are interrupted, those with chronic illnesses, or those on the outside. Even with this flaw, the chapter remains a good theoretical basis for understanding psychosocial needs as people age.</w:t>
      </w:r>
    </w:p>
    <w:p w14:paraId="1DE351D5" w14:textId="77777777" w:rsidR="00BC6208" w:rsidRDefault="00BC6208" w:rsidP="00BC6208">
      <w:pPr>
        <w:pStyle w:val="Heading2"/>
      </w:pPr>
      <w:r w:rsidRPr="00E21CBA">
        <w:t>Havighurst’s Activity Theory</w:t>
      </w:r>
    </w:p>
    <w:p w14:paraId="34C717C5" w14:textId="77777777" w:rsidR="00BC6208" w:rsidRPr="003D2367" w:rsidRDefault="00BC6208" w:rsidP="00BC6208">
      <w:pPr>
        <w:pStyle w:val="Heading3"/>
        <w:rPr>
          <w:b/>
          <w:bCs/>
        </w:rPr>
      </w:pPr>
      <w:r w:rsidRPr="003D2367">
        <w:rPr>
          <w:b/>
          <w:bCs/>
        </w:rPr>
        <w:t>Journal Article: Gonot Schoupinsky et al. (2022)</w:t>
      </w:r>
    </w:p>
    <w:p w14:paraId="54E7ADAB" w14:textId="77777777" w:rsidR="00BC6208" w:rsidRPr="000377AB" w:rsidRDefault="00BC6208" w:rsidP="00BC6208">
      <w:pPr>
        <w:rPr>
          <w:b/>
          <w:bCs/>
        </w:rPr>
      </w:pPr>
      <w:r w:rsidRPr="000377AB">
        <w:rPr>
          <w:b/>
          <w:bCs/>
        </w:rPr>
        <w:t>Summary</w:t>
      </w:r>
    </w:p>
    <w:p w14:paraId="56FE4F70" w14:textId="77777777" w:rsidR="00BC6208" w:rsidRDefault="00BC6208" w:rsidP="00BC6208">
      <w:r w:rsidRPr="004C243E">
        <w:t>Gonot Schoupinsky et al. (2022)</w:t>
      </w:r>
      <w:r>
        <w:t xml:space="preserve"> proposed a new theory that builds on Havighurst's Activity Theory. Activity Theory often emphasises the importance of staying socially and physically active. However, the authors suggest that these expectations may not fully meet the needs of people aged 85 and up. The authors point out that getting older means having changing abilities and priorities, with older people needing to act differently. Their model says that being active and having the ability to choose when to stop demanding roles and activities are both important for maintaining well-being in old age.</w:t>
      </w:r>
    </w:p>
    <w:p w14:paraId="753A5F1D" w14:textId="77777777" w:rsidR="00BC6208" w:rsidRPr="000377AB" w:rsidRDefault="00BC6208" w:rsidP="00BC6208">
      <w:pPr>
        <w:rPr>
          <w:b/>
          <w:bCs/>
        </w:rPr>
      </w:pPr>
      <w:r w:rsidRPr="000377AB">
        <w:rPr>
          <w:b/>
          <w:bCs/>
        </w:rPr>
        <w:lastRenderedPageBreak/>
        <w:t>Critical relevance to supporting older adults in health and social care</w:t>
      </w:r>
    </w:p>
    <w:p w14:paraId="5B5FDD29" w14:textId="77777777" w:rsidR="00BC6208" w:rsidRDefault="00BC6208" w:rsidP="00BC6208">
      <w:r>
        <w:t>This paper is very important because it questions the idea, which comes from Havighurst's Activity Theory, that being more active always makes you age better. The Engage-Disengage Model offers professionals a more complex and practical way to support older people, especially those who are weak or have difficulty thinking clearly. The model also shows that rest, independence, and selective withdrawal can help older people feel less stressed and keep their pride. The model is limited by its reliance on a small qualitative sample, which may make it harder to apply in other contexts.</w:t>
      </w:r>
    </w:p>
    <w:p w14:paraId="07B45107" w14:textId="77777777" w:rsidR="00BC6208" w:rsidRPr="00CA1A81" w:rsidRDefault="00BC6208" w:rsidP="00BC6208">
      <w:pPr>
        <w:pStyle w:val="Heading3"/>
      </w:pPr>
      <w:r w:rsidRPr="00511800">
        <w:t>Book Chapter – Teles and Ribeiro (2019</w:t>
      </w:r>
      <w:r>
        <w:t>)</w:t>
      </w:r>
    </w:p>
    <w:p w14:paraId="2B9538EF" w14:textId="77777777" w:rsidR="00BC6208" w:rsidRPr="0062775C" w:rsidRDefault="00BC6208" w:rsidP="00BC6208">
      <w:pPr>
        <w:rPr>
          <w:b/>
          <w:bCs/>
        </w:rPr>
      </w:pPr>
      <w:r w:rsidRPr="0062775C">
        <w:rPr>
          <w:b/>
          <w:bCs/>
        </w:rPr>
        <w:t>Summary</w:t>
      </w:r>
    </w:p>
    <w:p w14:paraId="16B5F5EE" w14:textId="77777777" w:rsidR="00BC6208" w:rsidRDefault="00BC6208" w:rsidP="00BC6208">
      <w:r>
        <w:t>From a social gerontological perspective, Teles and Ribeiro (2019) provide a comprehensive account of Havighurst's Activity Theory. The main idea behind the theory is explained in this chapter, highlighting that continuing to engage in social, mental, and physical activities makes life more satisfying and helps you age well. The authors discuss how the theory emerged and how it responded to the disengagement theory. The chapter talks about modern criticisms and admits that Activity Theory might not fully explain the variety of ageing experiences, especially for people who have a long-term illness, a disability, or few social resources.</w:t>
      </w:r>
    </w:p>
    <w:p w14:paraId="5DA85B6A" w14:textId="77777777" w:rsidR="00BC6208" w:rsidRPr="0062775C" w:rsidRDefault="00BC6208" w:rsidP="00BC6208">
      <w:pPr>
        <w:rPr>
          <w:b/>
          <w:bCs/>
        </w:rPr>
      </w:pPr>
      <w:r w:rsidRPr="0062775C">
        <w:rPr>
          <w:b/>
          <w:bCs/>
        </w:rPr>
        <w:t>Critical relevance to supporting older adults in health and social care</w:t>
      </w:r>
    </w:p>
    <w:p w14:paraId="1EC7D4F1" w14:textId="77777777" w:rsidR="00BC6208" w:rsidRDefault="00BC6208" w:rsidP="00BC6208">
      <w:r>
        <w:t>This chapter is very useful for professionals because it shows how important it is to involve and engage older people. Activity Theory is a useful framework for understanding how to implement interventions in health and social care settings, such as group activities, neighbourhood programmes, and personalised activity plans. The argument by Teles and Ribeiro (2019) underscores the importance of flexibility and adaptation to each person's needs. This subtlety is important in modern person-centred care, where workers need to encourage action while also honouring the person's right to privacy, cultural background, and physical limitations.</w:t>
      </w:r>
    </w:p>
    <w:p w14:paraId="7340D673" w14:textId="77777777" w:rsidR="00BC6208" w:rsidRDefault="00BC6208" w:rsidP="00BC6208"/>
    <w:p w14:paraId="196FDCC3" w14:textId="77777777" w:rsidR="00BC6208" w:rsidRDefault="00BC6208" w:rsidP="00BC6208">
      <w:pPr>
        <w:spacing w:line="480" w:lineRule="auto"/>
      </w:pPr>
      <w:r>
        <w:br w:type="page"/>
      </w:r>
    </w:p>
    <w:p w14:paraId="7374D65D" w14:textId="77777777" w:rsidR="00BC6208" w:rsidRDefault="00BC6208" w:rsidP="00BC6208">
      <w:pPr>
        <w:pStyle w:val="Heading1"/>
      </w:pPr>
      <w:r>
        <w:lastRenderedPageBreak/>
        <w:t xml:space="preserve">PART B: </w:t>
      </w:r>
      <w:r w:rsidRPr="00BA14BE">
        <w:t>Applying Erikson’s Psychosocial Theory to Improve Psychological Well</w:t>
      </w:r>
      <w:r>
        <w:t>-</w:t>
      </w:r>
      <w:r w:rsidRPr="00BA14BE">
        <w:t>being in Residential Care</w:t>
      </w:r>
    </w:p>
    <w:p w14:paraId="6450B075" w14:textId="77777777" w:rsidR="00BC6208" w:rsidRDefault="00BC6208" w:rsidP="00BC6208">
      <w:pPr>
        <w:pStyle w:val="Heading2"/>
      </w:pPr>
      <w:r>
        <w:t>Introduction</w:t>
      </w:r>
    </w:p>
    <w:p w14:paraId="068E7051" w14:textId="77777777" w:rsidR="00BC6208" w:rsidRDefault="00BC6208" w:rsidP="00BC6208">
      <w:r>
        <w:t>Supporting mental health in older adults living in care homes needs approaches that consider the emotional, social, and life changes that come with getting older. Erikson’s Psychosocial Theory provides a useful way to understand these needs, especially through the last stage, ego integrity versus despair (Erikson, 1968). Erikson proposed that older adults look back on their lives to find meaning and value in their experiences (Salkind, 2004). Successfully completing this stage leads to ego integrity, as shown by acceptance, satisfaction, and inner peace, whereas unresolved regrets or feelings of failure can lead to despair, hopelessness, and lower well-being (McLean and Syed, 2015). This emotional struggle is very important for care home residents, many of whom face big changes like losing independence, grief, worsening health and moving to a new place. Using Erikson’s theory in care homes can help residents adjust emotionally and improve their overall well-being.</w:t>
      </w:r>
    </w:p>
    <w:p w14:paraId="217797EA" w14:textId="77777777" w:rsidR="00BC6208" w:rsidRDefault="00BC6208" w:rsidP="00BC6208">
      <w:r>
        <w:t>One of the most effective ways to apply Erikson’s theory in residential care is through structured life</w:t>
      </w:r>
      <w:r>
        <w:rPr>
          <w:rFonts w:ascii="Cambria Math" w:hAnsi="Cambria Math" w:cs="Cambria Math"/>
        </w:rPr>
        <w:t>‑</w:t>
      </w:r>
      <w:r>
        <w:t>review and reminiscence-based interventions. Many studies show that reminiscence therapy lowers depression, increases life satisfaction and improves mental strength in older adults, including those living in care homes (</w:t>
      </w:r>
      <w:proofErr w:type="spellStart"/>
      <w:r>
        <w:t>Pinquart</w:t>
      </w:r>
      <w:proofErr w:type="spellEnd"/>
      <w:r>
        <w:t xml:space="preserve"> and </w:t>
      </w:r>
      <w:proofErr w:type="spellStart"/>
      <w:r>
        <w:t>Forstmeier</w:t>
      </w:r>
      <w:proofErr w:type="spellEnd"/>
      <w:r>
        <w:t xml:space="preserve">, 2012; Westerhof and </w:t>
      </w:r>
      <w:proofErr w:type="spellStart"/>
      <w:r>
        <w:t>Bohlmeijer</w:t>
      </w:r>
      <w:proofErr w:type="spellEnd"/>
      <w:r>
        <w:t>, 2014). These activities help residents see their personal strengths, change how they view negative experiences and build a more positive sense of self. Practices that support identity, like personalised care plans, respect for cultural background, and recognition of past roles, help maintain a connection between earlier life stages and the present, aligning with Erikson’s focus on identity development throughout life. Although giving back is often associated with middle age, research shows that older adults still benefit from opportunities to help others, which improve well-being and social connection (Villar, 2012). These practices help residents move toward ego integrity by encouraging connection, meaning and emotional expression.</w:t>
      </w:r>
    </w:p>
    <w:p w14:paraId="040BA03D" w14:textId="77777777" w:rsidR="00BC6208" w:rsidRDefault="00BC6208" w:rsidP="00BC6208">
      <w:r>
        <w:t xml:space="preserve">A clear example of this approach is Mrs A (pseudonym), an 87-year-old resident who recently moved into a care home after a fall. At first, Mrs A felt sad about “not achieving enough” in life and often said she was a burden to her family. She stopped joining group activities and spent a lot of </w:t>
      </w:r>
      <w:r>
        <w:lastRenderedPageBreak/>
        <w:t>time alone, showing signs of despair as Erikson described. Seeing this, the care team started a personalised life-review programme. A staff member met with her weekly to discuss various life topics, helping her create a Life Story Book with photos, written reflections, and important memories. Through this, Mrs A began to remember positive experiences she had missed before, like raising her children alone and volunteering in her community. Staff encouraged her to share her stories in group sessions, where other residents showed interest and admiration. This boosted her sense of identity and belonging, and over time, she joined more social activities and said she felt “more at peace” with her life. This example shows how Erikson’s theory can guide ways to improve emotional well-being and help resolve the struggle between integrity and despair (Salkind, 2004).</w:t>
      </w:r>
    </w:p>
    <w:p w14:paraId="4D0EE86D" w14:textId="77777777" w:rsidR="00BC6208" w:rsidRDefault="00BC6208" w:rsidP="00BC6208">
      <w:r>
        <w:t>Despite its benefits, using Erikson’s theory in care homes has challenges. One big problem is that life-review activities can bring up painful memories, unresolved trauma or deep regret. For some residents, thinking about past experiences may cause emotional upset, leading them to withdraw or feel more anxious. This risk is especially true for people with difficult life histories, limited coping skills or memory problems. Research shows that unstructured reminiscence can sometimes increase distress when residents do not receive sufficient support (Haight, 1992). If not handled carefully, a life review may make despair worse rather than better.</w:t>
      </w:r>
    </w:p>
    <w:p w14:paraId="4FF77424" w14:textId="77777777" w:rsidR="00BC6208" w:rsidRDefault="00BC6208" w:rsidP="00BC6208">
      <w:r>
        <w:t>A proven way to address this challenge is to use planned, strengths-focused memory-sharing therapy. This method focuses on positive memories, coping skills and personal achievements while still allowing space to notice difficult feelings. Strengths-focused memory-sharing has been shown to lower depression, build mental strength and improve overall well-being in older adults (Subramaniam and Woods, 2016). Staff can be trained to guide talks gently, helping residents move away from strong distress toward feelings of pride, connection and success. Using photos, music, or personal items can help bring up positive memories, and working with mental health professionals ensures deeper emotional issues are handled properly.</w:t>
      </w:r>
    </w:p>
    <w:p w14:paraId="632F5B0C" w14:textId="77777777" w:rsidR="00BC6208" w:rsidRDefault="00BC6208" w:rsidP="00BC6208">
      <w:pPr>
        <w:pStyle w:val="Heading2"/>
      </w:pPr>
      <w:r>
        <w:t>Conclusion</w:t>
      </w:r>
    </w:p>
    <w:p w14:paraId="2AC4D0A0" w14:textId="77777777" w:rsidR="00BC6208" w:rsidRPr="00BA14BE" w:rsidRDefault="00BC6208" w:rsidP="00BC6208">
      <w:r>
        <w:t>In conclusion, Erikson’s Psychosocial Theory offers a strong and meaningful framework for supporting mental well-being among older adults living in care homes. By helping with life review, supporting identity and encouraging emotional expression, care staff can help residents feel a sense of integrity and satisfaction in later life.</w:t>
      </w:r>
    </w:p>
    <w:p w14:paraId="5B8447DD" w14:textId="77777777" w:rsidR="00BC6208" w:rsidRPr="00BA14BE" w:rsidRDefault="00BC6208" w:rsidP="00BC6208"/>
    <w:p w14:paraId="7CC5DCE5" w14:textId="77777777" w:rsidR="00BC6208" w:rsidRDefault="00BC6208" w:rsidP="00BC6208">
      <w:pPr>
        <w:pStyle w:val="Heading1"/>
      </w:pPr>
      <w:r>
        <w:t>References</w:t>
      </w:r>
    </w:p>
    <w:p w14:paraId="4DB847CF" w14:textId="77777777" w:rsidR="00BC6208" w:rsidRDefault="00BC6208" w:rsidP="00BC6208">
      <w:pPr>
        <w:spacing w:line="240" w:lineRule="auto"/>
        <w:jc w:val="left"/>
      </w:pPr>
      <w:r w:rsidRPr="00806E5B">
        <w:t>Erikson, E</w:t>
      </w:r>
      <w:r>
        <w:t>.</w:t>
      </w:r>
      <w:r w:rsidRPr="00806E5B">
        <w:t xml:space="preserve"> (1968) </w:t>
      </w:r>
      <w:r w:rsidRPr="00806E5B">
        <w:rPr>
          <w:i/>
          <w:iCs/>
        </w:rPr>
        <w:t>Identity: Youth and Crisis</w:t>
      </w:r>
      <w:r w:rsidRPr="00806E5B">
        <w:t>. W.W. Norton and Company</w:t>
      </w:r>
      <w:r>
        <w:t xml:space="preserve"> (</w:t>
      </w:r>
      <w:r w:rsidRPr="00806E5B">
        <w:t>p. 92</w:t>
      </w:r>
      <w:r>
        <w:t>).</w:t>
      </w:r>
    </w:p>
    <w:p w14:paraId="31A7AB8A" w14:textId="77777777" w:rsidR="00BC6208" w:rsidRPr="0074261E" w:rsidRDefault="00BC6208" w:rsidP="00BC6208">
      <w:pPr>
        <w:spacing w:line="240" w:lineRule="auto"/>
        <w:jc w:val="left"/>
      </w:pPr>
      <w:r w:rsidRPr="0074261E">
        <w:t>Gonot</w:t>
      </w:r>
      <w:r w:rsidRPr="0074261E">
        <w:noBreakHyphen/>
        <w:t>Schoupinsky, F., Garip, G. and Sheffield, D. (2022) ‘The Engage</w:t>
      </w:r>
      <w:r w:rsidRPr="0074261E">
        <w:noBreakHyphen/>
        <w:t>Disengage Model as an inclusive model for the promotion of healthy and successful ageing in the oldest</w:t>
      </w:r>
      <w:r w:rsidRPr="0074261E">
        <w:noBreakHyphen/>
        <w:t xml:space="preserve">old’, </w:t>
      </w:r>
      <w:r w:rsidRPr="0074261E">
        <w:rPr>
          <w:i/>
          <w:iCs/>
        </w:rPr>
        <w:t>Activities, Adaptation &amp; Ageing</w:t>
      </w:r>
      <w:r w:rsidRPr="0074261E">
        <w:t xml:space="preserve">, 46(2), pp. 159–181. </w:t>
      </w:r>
      <w:proofErr w:type="spellStart"/>
      <w:r w:rsidRPr="0074261E">
        <w:t>doi</w:t>
      </w:r>
      <w:proofErr w:type="spellEnd"/>
      <w:r w:rsidRPr="0074261E">
        <w:t>: 10.1080/01924788.2021.1970892.</w:t>
      </w:r>
    </w:p>
    <w:p w14:paraId="086C90B9" w14:textId="77777777" w:rsidR="00BC6208" w:rsidRDefault="00BC6208" w:rsidP="00BC6208">
      <w:pPr>
        <w:spacing w:line="240" w:lineRule="auto"/>
        <w:jc w:val="left"/>
      </w:pPr>
      <w:r w:rsidRPr="004B73ED">
        <w:t xml:space="preserve">Haight, B.K. (1992) ‘Long-term effects of a structured life review process’, </w:t>
      </w:r>
      <w:r w:rsidRPr="004B73ED">
        <w:rPr>
          <w:i/>
          <w:iCs/>
        </w:rPr>
        <w:t>Journal of Gerontological Nursing</w:t>
      </w:r>
      <w:r w:rsidRPr="004B73ED">
        <w:t>, 18(7), pp. 15–22.</w:t>
      </w:r>
    </w:p>
    <w:p w14:paraId="47F8B68A" w14:textId="77777777" w:rsidR="00BC6208" w:rsidRDefault="00BC6208" w:rsidP="00BC6208">
      <w:pPr>
        <w:spacing w:line="240" w:lineRule="auto"/>
        <w:jc w:val="left"/>
      </w:pPr>
      <w:r w:rsidRPr="00CA1A81">
        <w:t xml:space="preserve">Malone, J.C., Liu, S.R., Vaillant, G.E., Rentz, D.M. and Waldinger, R.J. (2015) ‘Midlife </w:t>
      </w:r>
      <w:proofErr w:type="spellStart"/>
      <w:r w:rsidRPr="00CA1A81">
        <w:t>Eriksonian</w:t>
      </w:r>
      <w:proofErr w:type="spellEnd"/>
      <w:r w:rsidRPr="00CA1A81">
        <w:t xml:space="preserve"> Psychosocial Development: Setting the Stage for Cognitive and Emotional Health in Late Life’, </w:t>
      </w:r>
      <w:r w:rsidRPr="00CA1A81">
        <w:rPr>
          <w:i/>
          <w:iCs/>
        </w:rPr>
        <w:t>Developmental Psychology</w:t>
      </w:r>
      <w:r w:rsidRPr="00CA1A81">
        <w:t xml:space="preserve">, 52(3), 496. </w:t>
      </w:r>
      <w:hyperlink r:id="rId10" w:history="1">
        <w:r w:rsidRPr="00CA1A81">
          <w:rPr>
            <w:rStyle w:val="Hyperlink"/>
          </w:rPr>
          <w:t>https://doi.org/10.1037/a0039875</w:t>
        </w:r>
      </w:hyperlink>
      <w:r w:rsidRPr="00CA1A81">
        <w:t xml:space="preserve"> </w:t>
      </w:r>
    </w:p>
    <w:p w14:paraId="2B7FA1DA" w14:textId="77777777" w:rsidR="00BC6208" w:rsidRDefault="00BC6208" w:rsidP="00BC6208">
      <w:pPr>
        <w:spacing w:line="240" w:lineRule="auto"/>
        <w:jc w:val="left"/>
      </w:pPr>
      <w:r w:rsidRPr="00F4458A">
        <w:t>McLean, K. C.</w:t>
      </w:r>
      <w:r>
        <w:t xml:space="preserve"> and</w:t>
      </w:r>
      <w:r w:rsidRPr="00F4458A">
        <w:t xml:space="preserve"> Syed, M. (2015). Personal, master, and alternative narratives: An integrative framework for understanding identity development in context. Human Development, 58, 318- 349.</w:t>
      </w:r>
    </w:p>
    <w:p w14:paraId="5A70FA3E" w14:textId="77777777" w:rsidR="00BC6208" w:rsidRDefault="00BC6208" w:rsidP="00BC6208">
      <w:pPr>
        <w:spacing w:line="240" w:lineRule="auto"/>
        <w:jc w:val="left"/>
        <w:rPr>
          <w:lang w:val="en-US"/>
        </w:rPr>
      </w:pPr>
      <w:r w:rsidRPr="00516C19">
        <w:rPr>
          <w:lang w:val="en-US"/>
        </w:rPr>
        <w:t>Nimrod, G.</w:t>
      </w:r>
      <w:r>
        <w:rPr>
          <w:lang w:val="en-US"/>
        </w:rPr>
        <w:t xml:space="preserve"> and </w:t>
      </w:r>
      <w:r w:rsidRPr="00516C19">
        <w:rPr>
          <w:lang w:val="en-US"/>
        </w:rPr>
        <w:t>Shrira, A. (</w:t>
      </w:r>
      <w:proofErr w:type="gramStart"/>
      <w:r w:rsidRPr="00516C19">
        <w:rPr>
          <w:lang w:val="en-US"/>
        </w:rPr>
        <w:t>2014)</w:t>
      </w:r>
      <w:r>
        <w:rPr>
          <w:lang w:val="en-US"/>
        </w:rPr>
        <w:t xml:space="preserve"> ‘</w:t>
      </w:r>
      <w:proofErr w:type="gramEnd"/>
      <w:r w:rsidRPr="00516C19">
        <w:rPr>
          <w:lang w:val="en-US"/>
        </w:rPr>
        <w:t>The Paradox of Leisure in Later Life</w:t>
      </w:r>
      <w:r>
        <w:rPr>
          <w:lang w:val="en-US"/>
        </w:rPr>
        <w:t>’,</w:t>
      </w:r>
      <w:r w:rsidRPr="00516C19">
        <w:rPr>
          <w:lang w:val="en-US"/>
        </w:rPr>
        <w:t xml:space="preserve"> </w:t>
      </w:r>
      <w:r w:rsidRPr="00516C19">
        <w:rPr>
          <w:i/>
          <w:iCs/>
          <w:lang w:val="en-US"/>
        </w:rPr>
        <w:t>The Journals of Gerontology Series B: Psychological Sciences and Social Sciences</w:t>
      </w:r>
      <w:r w:rsidRPr="00516C19">
        <w:rPr>
          <w:lang w:val="en-US"/>
        </w:rPr>
        <w:t xml:space="preserve">, </w:t>
      </w:r>
      <w:r w:rsidRPr="00516C19">
        <w:rPr>
          <w:i/>
          <w:iCs/>
          <w:lang w:val="en-US"/>
        </w:rPr>
        <w:t>71</w:t>
      </w:r>
      <w:r w:rsidRPr="00516C19">
        <w:rPr>
          <w:lang w:val="en-US"/>
        </w:rPr>
        <w:t xml:space="preserve">(1), 106. </w:t>
      </w:r>
      <w:hyperlink r:id="rId11" w:history="1">
        <w:r w:rsidRPr="00516C19">
          <w:rPr>
            <w:rStyle w:val="Hyperlink"/>
            <w:lang w:val="en-US"/>
          </w:rPr>
          <w:t>https://doi.org/10.1093/geronb/gbu143</w:t>
        </w:r>
      </w:hyperlink>
    </w:p>
    <w:p w14:paraId="3B3CF264" w14:textId="77777777" w:rsidR="00BC6208" w:rsidRDefault="00BC6208" w:rsidP="00BC6208">
      <w:pPr>
        <w:spacing w:line="240" w:lineRule="auto"/>
        <w:jc w:val="left"/>
      </w:pPr>
      <w:proofErr w:type="spellStart"/>
      <w:r w:rsidRPr="004B73ED">
        <w:t>Pinquart</w:t>
      </w:r>
      <w:proofErr w:type="spellEnd"/>
      <w:r w:rsidRPr="004B73ED">
        <w:t xml:space="preserve">, M. and </w:t>
      </w:r>
      <w:proofErr w:type="spellStart"/>
      <w:r w:rsidRPr="004B73ED">
        <w:t>Forstmeier</w:t>
      </w:r>
      <w:proofErr w:type="spellEnd"/>
      <w:r w:rsidRPr="004B73ED">
        <w:t xml:space="preserve">, S. (2012) ‘Effects of reminiscence interventions on psychosocial outcomes: A meta-analysis’, </w:t>
      </w:r>
      <w:r w:rsidRPr="004B73ED">
        <w:rPr>
          <w:i/>
          <w:iCs/>
        </w:rPr>
        <w:t>Aging &amp; Mental Health</w:t>
      </w:r>
      <w:r w:rsidRPr="004B73ED">
        <w:t>, 16(5), pp. 541–558.</w:t>
      </w:r>
    </w:p>
    <w:p w14:paraId="2C2BC650" w14:textId="77777777" w:rsidR="00BC6208" w:rsidRPr="002B6D9B" w:rsidRDefault="00BC6208" w:rsidP="00BC6208">
      <w:pPr>
        <w:spacing w:line="240" w:lineRule="auto"/>
        <w:jc w:val="left"/>
      </w:pPr>
      <w:r w:rsidRPr="002B6D9B">
        <w:t xml:space="preserve">Salkind, N.J. (2004) ‘Erik Erikson’s focus on psychosocial development’, in </w:t>
      </w:r>
      <w:r w:rsidRPr="002B6D9B">
        <w:rPr>
          <w:i/>
          <w:iCs/>
        </w:rPr>
        <w:t>An Introduction to Theories of Human Development</w:t>
      </w:r>
      <w:r w:rsidRPr="002B6D9B">
        <w:t>. Thousand Oaks, CA: SAGE Publications, Inc., pp. 139–156.</w:t>
      </w:r>
    </w:p>
    <w:p w14:paraId="2663B8B1" w14:textId="77777777" w:rsidR="00BC6208" w:rsidRDefault="00BC6208" w:rsidP="00BC6208">
      <w:pPr>
        <w:spacing w:line="240" w:lineRule="auto"/>
        <w:jc w:val="left"/>
      </w:pPr>
      <w:r w:rsidRPr="004B73ED">
        <w:t xml:space="preserve">Subramaniam, P. and Woods, B. (2016) ‘The impact of individual reminiscence therapy on cognition, mood and quality of life’, </w:t>
      </w:r>
      <w:r w:rsidRPr="004B73ED">
        <w:rPr>
          <w:i/>
          <w:iCs/>
        </w:rPr>
        <w:t>Aging &amp; Mental Health</w:t>
      </w:r>
      <w:r w:rsidRPr="004B73ED">
        <w:t>, 20(2), pp. 123–131.</w:t>
      </w:r>
    </w:p>
    <w:p w14:paraId="5AB118AB" w14:textId="77777777" w:rsidR="00BC6208" w:rsidRPr="00CA1A81" w:rsidRDefault="00BC6208" w:rsidP="00BC6208">
      <w:pPr>
        <w:spacing w:line="240" w:lineRule="auto"/>
        <w:jc w:val="left"/>
      </w:pPr>
      <w:r w:rsidRPr="00CA1A81">
        <w:t xml:space="preserve">Teles, S. and Ribeiro, O. (2019) ‘Activity Theory’, in Gu, D. and Dupre, M. (eds) </w:t>
      </w:r>
      <w:proofErr w:type="spellStart"/>
      <w:r w:rsidRPr="00CA1A81">
        <w:t>Encyclopedia</w:t>
      </w:r>
      <w:proofErr w:type="spellEnd"/>
      <w:r w:rsidRPr="00CA1A81">
        <w:t xml:space="preserve"> of Gerontology and Population Ageing. Cham: Springer. </w:t>
      </w:r>
      <w:hyperlink r:id="rId12" w:history="1">
        <w:r w:rsidRPr="00CA1A81">
          <w:rPr>
            <w:rStyle w:val="Hyperlink"/>
          </w:rPr>
          <w:t>https://doi.org/10.1007/978-3-319-69892-2_748-1</w:t>
        </w:r>
      </w:hyperlink>
      <w:r w:rsidRPr="00CA1A81">
        <w:t>.</w:t>
      </w:r>
    </w:p>
    <w:p w14:paraId="570C4511" w14:textId="77777777" w:rsidR="00BC6208" w:rsidRDefault="00BC6208" w:rsidP="00BC6208">
      <w:pPr>
        <w:spacing w:line="240" w:lineRule="auto"/>
        <w:jc w:val="left"/>
      </w:pPr>
      <w:r w:rsidRPr="004B73ED">
        <w:t xml:space="preserve">Villar, F. (2012) ‘Successful ageing and development: The contribution of generativity in older age’, </w:t>
      </w:r>
      <w:r w:rsidRPr="004B73ED">
        <w:rPr>
          <w:i/>
          <w:iCs/>
        </w:rPr>
        <w:t>Ageing &amp; Society</w:t>
      </w:r>
      <w:r w:rsidRPr="004B73ED">
        <w:t>, 32(7), pp. 1087–1105.</w:t>
      </w:r>
    </w:p>
    <w:p w14:paraId="0CC27B10" w14:textId="77777777" w:rsidR="00BC6208" w:rsidRPr="00CA1A81" w:rsidRDefault="00BC6208" w:rsidP="00BC6208">
      <w:pPr>
        <w:spacing w:line="240" w:lineRule="auto"/>
        <w:jc w:val="left"/>
      </w:pPr>
      <w:r w:rsidRPr="004B73ED">
        <w:t xml:space="preserve">Westerhof, G.J. and </w:t>
      </w:r>
      <w:proofErr w:type="spellStart"/>
      <w:r w:rsidRPr="004B73ED">
        <w:t>Bohlmeijer</w:t>
      </w:r>
      <w:proofErr w:type="spellEnd"/>
      <w:r w:rsidRPr="004B73ED">
        <w:t xml:space="preserve">, E. (2014) ‘Celebrating fifty years of research and applications in reminiscence and life review’, </w:t>
      </w:r>
      <w:r w:rsidRPr="004B73ED">
        <w:rPr>
          <w:i/>
          <w:iCs/>
        </w:rPr>
        <w:t>Journal of Aging Studies</w:t>
      </w:r>
      <w:r w:rsidRPr="004B73ED">
        <w:t>, 29, pp. 107–114.</w:t>
      </w:r>
    </w:p>
    <w:p w14:paraId="055A2B9F" w14:textId="77777777" w:rsidR="005D095C" w:rsidRDefault="005D095C"/>
    <w:sectPr w:rsidR="005D095C" w:rsidSect="00BC620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F25C4" w14:textId="77777777" w:rsidR="00184856" w:rsidRDefault="00184856">
      <w:pPr>
        <w:spacing w:before="0" w:after="0" w:line="240" w:lineRule="auto"/>
      </w:pPr>
      <w:r>
        <w:separator/>
      </w:r>
    </w:p>
  </w:endnote>
  <w:endnote w:type="continuationSeparator" w:id="0">
    <w:p w14:paraId="739C7BFE" w14:textId="77777777" w:rsidR="00184856" w:rsidRDefault="001848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B8D15" w14:textId="77777777" w:rsidR="00C03121" w:rsidRDefault="00C03121">
    <w:pPr>
      <w:pStyle w:val="Footer"/>
      <w:jc w:val="right"/>
    </w:pPr>
  </w:p>
  <w:p w14:paraId="51A04BE0" w14:textId="77777777" w:rsidR="00C03121" w:rsidRDefault="00C031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459293"/>
      <w:docPartObj>
        <w:docPartGallery w:val="Page Numbers (Bottom of Page)"/>
        <w:docPartUnique/>
      </w:docPartObj>
    </w:sdtPr>
    <w:sdtEndPr>
      <w:rPr>
        <w:noProof/>
      </w:rPr>
    </w:sdtEndPr>
    <w:sdtContent>
      <w:p w14:paraId="1BF7DF25" w14:textId="77777777" w:rsidR="00BC6208" w:rsidRDefault="00BC62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38491D" w14:textId="77777777" w:rsidR="00BC6208" w:rsidRDefault="00BC6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203C" w14:textId="77777777" w:rsidR="00184856" w:rsidRDefault="00184856">
      <w:pPr>
        <w:spacing w:before="0" w:after="0" w:line="240" w:lineRule="auto"/>
      </w:pPr>
      <w:r>
        <w:separator/>
      </w:r>
    </w:p>
  </w:footnote>
  <w:footnote w:type="continuationSeparator" w:id="0">
    <w:p w14:paraId="0FD3280B" w14:textId="77777777" w:rsidR="00184856" w:rsidRDefault="0018485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52BDB" w14:textId="77777777" w:rsidR="00C03121" w:rsidRDefault="00C03121">
    <w:pPr>
      <w:pStyle w:val="Header"/>
      <w:ind w:left="11520"/>
    </w:pPr>
    <w:r>
      <w:rPr>
        <w:noProof/>
        <w:lang w:val="en-US" w:eastAsia="en-US"/>
      </w:rPr>
      <w:drawing>
        <wp:inline distT="0" distB="0" distL="0" distR="0" wp14:anchorId="662FBB6E" wp14:editId="503667DE">
          <wp:extent cx="2181225" cy="436245"/>
          <wp:effectExtent l="0" t="0" r="9525" b="1905"/>
          <wp:docPr id="980757168" name="Picture 98075716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08"/>
    <w:rsid w:val="00000D55"/>
    <w:rsid w:val="00036D73"/>
    <w:rsid w:val="000A1EBD"/>
    <w:rsid w:val="00154A86"/>
    <w:rsid w:val="00184856"/>
    <w:rsid w:val="002746B9"/>
    <w:rsid w:val="003748BD"/>
    <w:rsid w:val="003B738A"/>
    <w:rsid w:val="003D3778"/>
    <w:rsid w:val="004E6674"/>
    <w:rsid w:val="005A1E33"/>
    <w:rsid w:val="005A5F38"/>
    <w:rsid w:val="005D095C"/>
    <w:rsid w:val="00630B99"/>
    <w:rsid w:val="0069340B"/>
    <w:rsid w:val="00707F7C"/>
    <w:rsid w:val="00820503"/>
    <w:rsid w:val="008B37C4"/>
    <w:rsid w:val="00966CD8"/>
    <w:rsid w:val="009F5A07"/>
    <w:rsid w:val="00A123A8"/>
    <w:rsid w:val="00A63F64"/>
    <w:rsid w:val="00BB3B8F"/>
    <w:rsid w:val="00BC6208"/>
    <w:rsid w:val="00C03121"/>
    <w:rsid w:val="00CD4ED9"/>
    <w:rsid w:val="00D423DE"/>
    <w:rsid w:val="00D95F17"/>
    <w:rsid w:val="00DE087E"/>
    <w:rsid w:val="00DE7ABD"/>
    <w:rsid w:val="00F417DF"/>
    <w:rsid w:val="00F46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31DF"/>
  <w15:chartTrackingRefBased/>
  <w15:docId w15:val="{AFD1F44E-1BB4-4DE2-B231-D708C529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208"/>
    <w:pPr>
      <w:spacing w:before="100" w:beforeAutospacing="1" w:after="100" w:afterAutospacing="1" w:line="360" w:lineRule="auto"/>
      <w:jc w:val="both"/>
    </w:pPr>
    <w:rPr>
      <w:rFonts w:ascii="Arial" w:hAnsi="Arial"/>
      <w:sz w:val="22"/>
      <w:szCs w:val="22"/>
    </w:rPr>
  </w:style>
  <w:style w:type="paragraph" w:styleId="Heading1">
    <w:name w:val="heading 1"/>
    <w:basedOn w:val="Normal"/>
    <w:next w:val="Normal"/>
    <w:link w:val="Heading1Char"/>
    <w:uiPriority w:val="9"/>
    <w:qFormat/>
    <w:rsid w:val="00BC6208"/>
    <w:pPr>
      <w:keepNext/>
      <w:keepLines/>
      <w:spacing w:before="360" w:beforeAutospacing="0" w:after="80" w:afterAutospacing="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208"/>
    <w:pPr>
      <w:keepNext/>
      <w:keepLines/>
      <w:spacing w:before="160" w:beforeAutospacing="0" w:after="80" w:afterAutospacing="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208"/>
    <w:pPr>
      <w:keepNext/>
      <w:keepLines/>
      <w:spacing w:before="160" w:beforeAutospacing="0" w:after="80" w:afterAutospacing="0" w:line="278"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208"/>
    <w:pPr>
      <w:keepNext/>
      <w:keepLines/>
      <w:spacing w:before="80" w:beforeAutospacing="0" w:after="40" w:afterAutospacing="0" w:line="278" w:lineRule="auto"/>
      <w:jc w:val="left"/>
      <w:outlineLvl w:val="3"/>
    </w:pPr>
    <w:rPr>
      <w:rFonts w:asciiTheme="minorHAnsi" w:eastAsiaTheme="majorEastAsia" w:hAnsiTheme="minorHAnsi"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BC6208"/>
    <w:pPr>
      <w:keepNext/>
      <w:keepLines/>
      <w:spacing w:before="80" w:beforeAutospacing="0" w:after="40" w:afterAutospacing="0" w:line="278" w:lineRule="auto"/>
      <w:jc w:val="left"/>
      <w:outlineLvl w:val="4"/>
    </w:pPr>
    <w:rPr>
      <w:rFonts w:asciiTheme="minorHAnsi" w:eastAsiaTheme="majorEastAsia" w:hAnsiTheme="minorHAnsi"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BC6208"/>
    <w:pPr>
      <w:keepNext/>
      <w:keepLines/>
      <w:spacing w:before="40" w:beforeAutospacing="0" w:after="0" w:afterAutospacing="0" w:line="278" w:lineRule="auto"/>
      <w:jc w:val="left"/>
      <w:outlineLvl w:val="5"/>
    </w:pPr>
    <w:rPr>
      <w:rFonts w:asciiTheme="minorHAnsi" w:eastAsiaTheme="majorEastAsia" w:hAnsiTheme="minorHAnsi"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BC6208"/>
    <w:pPr>
      <w:keepNext/>
      <w:keepLines/>
      <w:spacing w:before="40" w:beforeAutospacing="0" w:after="0" w:afterAutospacing="0" w:line="278" w:lineRule="auto"/>
      <w:jc w:val="left"/>
      <w:outlineLvl w:val="6"/>
    </w:pPr>
    <w:rPr>
      <w:rFonts w:asciiTheme="minorHAnsi" w:eastAsiaTheme="majorEastAsia" w:hAnsiTheme="min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BC6208"/>
    <w:pPr>
      <w:keepNext/>
      <w:keepLines/>
      <w:spacing w:before="0" w:beforeAutospacing="0" w:after="0" w:afterAutospacing="0" w:line="278" w:lineRule="auto"/>
      <w:jc w:val="left"/>
      <w:outlineLvl w:val="7"/>
    </w:pPr>
    <w:rPr>
      <w:rFonts w:asciiTheme="minorHAnsi" w:eastAsiaTheme="majorEastAsia" w:hAnsiTheme="minorHAnsi"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BC6208"/>
    <w:pPr>
      <w:keepNext/>
      <w:keepLines/>
      <w:spacing w:before="0" w:beforeAutospacing="0" w:after="0" w:afterAutospacing="0" w:line="278" w:lineRule="auto"/>
      <w:jc w:val="left"/>
      <w:outlineLvl w:val="8"/>
    </w:pPr>
    <w:rPr>
      <w:rFonts w:asciiTheme="minorHAnsi" w:eastAsiaTheme="majorEastAsia" w:hAnsiTheme="minorHAnsi"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2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2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2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2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2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2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2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2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208"/>
    <w:rPr>
      <w:rFonts w:eastAsiaTheme="majorEastAsia" w:cstheme="majorBidi"/>
      <w:color w:val="272727" w:themeColor="text1" w:themeTint="D8"/>
    </w:rPr>
  </w:style>
  <w:style w:type="paragraph" w:styleId="Title">
    <w:name w:val="Title"/>
    <w:basedOn w:val="Normal"/>
    <w:next w:val="Normal"/>
    <w:link w:val="TitleChar"/>
    <w:uiPriority w:val="10"/>
    <w:qFormat/>
    <w:rsid w:val="00BC6208"/>
    <w:pPr>
      <w:spacing w:before="0" w:beforeAutospacing="0" w:after="80" w:afterAutospacing="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2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208"/>
    <w:pPr>
      <w:numPr>
        <w:ilvl w:val="1"/>
      </w:numPr>
      <w:spacing w:before="0" w:beforeAutospacing="0" w:after="160" w:afterAutospacing="0"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2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208"/>
    <w:pPr>
      <w:spacing w:before="160" w:beforeAutospacing="0" w:after="160" w:afterAutospacing="0" w:line="278" w:lineRule="auto"/>
      <w:jc w:val="center"/>
    </w:pPr>
    <w:rPr>
      <w:rFonts w:asciiTheme="minorHAnsi" w:hAnsiTheme="minorHAnsi"/>
      <w:i/>
      <w:iCs/>
      <w:color w:val="404040" w:themeColor="text1" w:themeTint="BF"/>
      <w:sz w:val="24"/>
      <w:szCs w:val="24"/>
    </w:rPr>
  </w:style>
  <w:style w:type="character" w:customStyle="1" w:styleId="QuoteChar">
    <w:name w:val="Quote Char"/>
    <w:basedOn w:val="DefaultParagraphFont"/>
    <w:link w:val="Quote"/>
    <w:uiPriority w:val="29"/>
    <w:rsid w:val="00BC6208"/>
    <w:rPr>
      <w:i/>
      <w:iCs/>
      <w:color w:val="404040" w:themeColor="text1" w:themeTint="BF"/>
    </w:rPr>
  </w:style>
  <w:style w:type="paragraph" w:styleId="ListParagraph">
    <w:name w:val="List Paragraph"/>
    <w:basedOn w:val="Normal"/>
    <w:uiPriority w:val="34"/>
    <w:qFormat/>
    <w:rsid w:val="00BC6208"/>
    <w:pPr>
      <w:spacing w:before="0" w:beforeAutospacing="0" w:after="160" w:afterAutospacing="0" w:line="278" w:lineRule="auto"/>
      <w:ind w:left="720"/>
      <w:contextualSpacing/>
      <w:jc w:val="left"/>
    </w:pPr>
    <w:rPr>
      <w:rFonts w:asciiTheme="minorHAnsi" w:hAnsiTheme="minorHAnsi"/>
      <w:sz w:val="24"/>
      <w:szCs w:val="24"/>
    </w:rPr>
  </w:style>
  <w:style w:type="character" w:styleId="IntenseEmphasis">
    <w:name w:val="Intense Emphasis"/>
    <w:basedOn w:val="DefaultParagraphFont"/>
    <w:uiPriority w:val="21"/>
    <w:qFormat/>
    <w:rsid w:val="00BC6208"/>
    <w:rPr>
      <w:i/>
      <w:iCs/>
      <w:color w:val="0F4761" w:themeColor="accent1" w:themeShade="BF"/>
    </w:rPr>
  </w:style>
  <w:style w:type="paragraph" w:styleId="IntenseQuote">
    <w:name w:val="Intense Quote"/>
    <w:basedOn w:val="Normal"/>
    <w:next w:val="Normal"/>
    <w:link w:val="IntenseQuoteChar"/>
    <w:uiPriority w:val="30"/>
    <w:qFormat/>
    <w:rsid w:val="00BC6208"/>
    <w:pPr>
      <w:pBdr>
        <w:top w:val="single" w:sz="4" w:space="10" w:color="0F4761" w:themeColor="accent1" w:themeShade="BF"/>
        <w:bottom w:val="single" w:sz="4" w:space="10" w:color="0F4761" w:themeColor="accent1" w:themeShade="BF"/>
      </w:pBdr>
      <w:spacing w:before="360" w:beforeAutospacing="0" w:after="360" w:afterAutospacing="0" w:line="278" w:lineRule="auto"/>
      <w:ind w:left="864" w:right="864"/>
      <w:jc w:val="center"/>
    </w:pPr>
    <w:rPr>
      <w:rFonts w:asciiTheme="minorHAnsi" w:hAnsiTheme="minorHAnsi"/>
      <w:i/>
      <w:iCs/>
      <w:color w:val="0F4761" w:themeColor="accent1" w:themeShade="BF"/>
      <w:sz w:val="24"/>
      <w:szCs w:val="24"/>
    </w:rPr>
  </w:style>
  <w:style w:type="character" w:customStyle="1" w:styleId="IntenseQuoteChar">
    <w:name w:val="Intense Quote Char"/>
    <w:basedOn w:val="DefaultParagraphFont"/>
    <w:link w:val="IntenseQuote"/>
    <w:uiPriority w:val="30"/>
    <w:rsid w:val="00BC6208"/>
    <w:rPr>
      <w:i/>
      <w:iCs/>
      <w:color w:val="0F4761" w:themeColor="accent1" w:themeShade="BF"/>
    </w:rPr>
  </w:style>
  <w:style w:type="character" w:styleId="IntenseReference">
    <w:name w:val="Intense Reference"/>
    <w:basedOn w:val="DefaultParagraphFont"/>
    <w:uiPriority w:val="32"/>
    <w:qFormat/>
    <w:rsid w:val="00BC6208"/>
    <w:rPr>
      <w:b/>
      <w:bCs/>
      <w:smallCaps/>
      <w:color w:val="0F4761" w:themeColor="accent1" w:themeShade="BF"/>
      <w:spacing w:val="5"/>
    </w:rPr>
  </w:style>
  <w:style w:type="paragraph" w:styleId="Footer">
    <w:name w:val="footer"/>
    <w:basedOn w:val="Normal"/>
    <w:link w:val="FooterChar"/>
    <w:uiPriority w:val="99"/>
    <w:unhideWhenUsed/>
    <w:rsid w:val="00BC620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C6208"/>
    <w:rPr>
      <w:rFonts w:ascii="Arial" w:hAnsi="Arial"/>
      <w:sz w:val="22"/>
      <w:szCs w:val="22"/>
    </w:rPr>
  </w:style>
  <w:style w:type="character" w:styleId="Hyperlink">
    <w:name w:val="Hyperlink"/>
    <w:basedOn w:val="DefaultParagraphFont"/>
    <w:uiPriority w:val="99"/>
    <w:unhideWhenUsed/>
    <w:rsid w:val="00BC6208"/>
    <w:rPr>
      <w:color w:val="467886" w:themeColor="hyperlink"/>
      <w:u w:val="single"/>
    </w:rPr>
  </w:style>
  <w:style w:type="paragraph" w:styleId="Header">
    <w:name w:val="header"/>
    <w:basedOn w:val="Normal"/>
    <w:link w:val="HeaderChar"/>
    <w:uiPriority w:val="99"/>
    <w:unhideWhenUsed/>
    <w:rsid w:val="00C03121"/>
    <w:pPr>
      <w:tabs>
        <w:tab w:val="center" w:pos="4513"/>
        <w:tab w:val="right" w:pos="9026"/>
      </w:tabs>
      <w:spacing w:before="0" w:beforeAutospacing="0" w:after="0" w:afterAutospacing="0" w:line="240" w:lineRule="auto"/>
      <w:jc w:val="left"/>
    </w:pPr>
    <w:rPr>
      <w:rFonts w:asciiTheme="minorHAnsi" w:eastAsiaTheme="minorEastAsia" w:hAnsiTheme="minorHAnsi"/>
      <w:kern w:val="0"/>
      <w:lang w:eastAsia="zh-CN"/>
      <w14:ligatures w14:val="none"/>
    </w:rPr>
  </w:style>
  <w:style w:type="character" w:customStyle="1" w:styleId="HeaderChar">
    <w:name w:val="Header Char"/>
    <w:basedOn w:val="DefaultParagraphFont"/>
    <w:link w:val="Header"/>
    <w:uiPriority w:val="99"/>
    <w:rsid w:val="00C03121"/>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doi.org/10.1007/978-3-319-69892-2_74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93/geronb/gbu14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037/a0039875"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1974</Words>
  <Characters>11257</Characters>
  <Application>Microsoft Office Word</Application>
  <DocSecurity>0</DocSecurity>
  <Lines>93</Lines>
  <Paragraphs>26</Paragraphs>
  <ScaleCrop>false</ScaleCrop>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francisegbeonu@yahoo.com</dc:creator>
  <cp:keywords/>
  <dc:description/>
  <cp:lastModifiedBy>francisegbeonu@yahoo.com</cp:lastModifiedBy>
  <cp:revision>24</cp:revision>
  <dcterms:created xsi:type="dcterms:W3CDTF">2026-04-16T11:37:00Z</dcterms:created>
  <dcterms:modified xsi:type="dcterms:W3CDTF">2026-04-18T14:04:00Z</dcterms:modified>
</cp:coreProperties>
</file>