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EDC16" w14:textId="77777777" w:rsidR="006301CA" w:rsidRDefault="006301CA" w:rsidP="00057DE5">
      <w:pPr>
        <w:pStyle w:val="Heading1"/>
      </w:pPr>
      <w:r>
        <w:t>THURS 14/05 – CLASS 3 Ethical Methods &amp; Anthropological Controversies</w:t>
      </w:r>
    </w:p>
    <w:p w14:paraId="4C7DF1B0" w14:textId="77777777" w:rsidR="006301CA" w:rsidRDefault="00FA7235" w:rsidP="006301CA">
      <w:pPr>
        <w:jc w:val="both"/>
      </w:pPr>
      <w:r>
        <w:pict w14:anchorId="69A0C672">
          <v:rect id="_x0000_i1025" style="width:0;height:1.5pt" o:hralign="center" o:hrstd="t" o:hr="t" fillcolor="#a0a0a0" stroked="f"/>
        </w:pict>
      </w:r>
    </w:p>
    <w:p w14:paraId="16ADC189" w14:textId="68AD4AE6" w:rsidR="006301CA" w:rsidRDefault="00057DE5" w:rsidP="00057DE5">
      <w:pPr>
        <w:pStyle w:val="Heading2"/>
      </w:pPr>
      <w:r>
        <w:t>0:00–0:</w:t>
      </w:r>
      <w:r w:rsidR="000E6EF3">
        <w:t>2</w:t>
      </w:r>
      <w:r>
        <w:t xml:space="preserve">0: </w:t>
      </w:r>
      <w:r w:rsidR="006301CA">
        <w:t xml:space="preserve">PART </w:t>
      </w:r>
      <w:r>
        <w:t>1</w:t>
      </w:r>
      <w:r w:rsidR="006301CA">
        <w:t xml:space="preserve"> — ANTHROPOLOGY, EMPIRE &amp; REPRESENTATION</w:t>
      </w:r>
    </w:p>
    <w:p w14:paraId="22E65B05" w14:textId="5CEE59AE" w:rsidR="006301CA" w:rsidRDefault="00FA7235" w:rsidP="00057DE5">
      <w:pPr>
        <w:pStyle w:val="Heading3"/>
      </w:pPr>
      <w:r>
        <w:pict w14:anchorId="57E9F468">
          <v:rect id="_x0000_i1026" style="width:0;height:1.5pt" o:hralign="center" o:hrstd="t" o:hr="t" fillcolor="#a0a0a0" stroked="f"/>
        </w:pict>
      </w:r>
      <w:r w:rsidR="00057DE5">
        <w:t>1.</w:t>
      </w:r>
      <w:r w:rsidR="006301CA">
        <w:t xml:space="preserve"> Framing the Ethical Problem</w:t>
      </w:r>
    </w:p>
    <w:p w14:paraId="6B9A9124" w14:textId="77777777" w:rsidR="00032484" w:rsidRDefault="00032484" w:rsidP="00032484">
      <w:pPr>
        <w:jc w:val="both"/>
      </w:pPr>
      <w:r w:rsidRPr="00032484">
        <w:t>Anthropology has always claimed a distinctive seriousness about human life. It asks how people inhabit worlds not of their own making, how power is lived, how inequality becomes ordinary, and how values are made real in practice. But anthropology does not only describe those worlds. It selects, translates, orders, names, and publishes them. It turns encounters into knowledge. The ethical problem begins with that transformation.</w:t>
      </w:r>
    </w:p>
    <w:p w14:paraId="643556B6" w14:textId="77777777" w:rsidR="00032484" w:rsidRPr="00032484" w:rsidRDefault="00032484" w:rsidP="00032484">
      <w:pPr>
        <w:jc w:val="both"/>
      </w:pPr>
    </w:p>
    <w:p w14:paraId="23BF06F8" w14:textId="77777777" w:rsidR="00032484" w:rsidRDefault="00032484" w:rsidP="00032484">
      <w:pPr>
        <w:jc w:val="both"/>
      </w:pPr>
      <w:r w:rsidRPr="00032484">
        <w:t>The first question is not whether anthropologists are personally decent people. It is who grants the authority to speak about others in the first place. Ethnographic writing often carries authority because it appears to rest on closeness: the anthropologist was there, listened, stayed, learned the language, and observed ordinary life in detail. Yet proximity does not remove power. To describe another social world is also to frame it, and framing shapes what readers are able to see.</w:t>
      </w:r>
    </w:p>
    <w:p w14:paraId="33991980" w14:textId="59B19211" w:rsidR="00032484" w:rsidRDefault="00032484" w:rsidP="00032484">
      <w:pPr>
        <w:jc w:val="both"/>
      </w:pPr>
      <w:r>
        <w:t>CHANGE SLIDE</w:t>
      </w:r>
    </w:p>
    <w:p w14:paraId="2AFF46A3" w14:textId="77777777" w:rsidR="00032484" w:rsidRPr="00032484" w:rsidRDefault="00032484" w:rsidP="00032484">
      <w:pPr>
        <w:jc w:val="both"/>
      </w:pPr>
    </w:p>
    <w:p w14:paraId="727B195B" w14:textId="77777777" w:rsidR="00032484" w:rsidRDefault="00032484" w:rsidP="00032484">
      <w:pPr>
        <w:jc w:val="both"/>
      </w:pPr>
      <w:r w:rsidRPr="00032484">
        <w:t>Anthropological knowledge travels beyond the encounters from which it emerged. A description offered as explanation can enter journalism, policy, law, activism, development, security, and public common sense. Communities can be reduced to a trait, a custom, a conflict, a pathology, or a belief. Analysis can harden into reputation. Abu-Lughod’s critique of cultural generalisation addresses exactly this danger: people can be enclosed within a falsely coherent “culture”, as though contradiction, movement, disagreement, and history could be tidied away in a single descriptive frame (Abu-Lughod, 1991).</w:t>
      </w:r>
    </w:p>
    <w:p w14:paraId="48671C16" w14:textId="77777777" w:rsidR="00032484" w:rsidRPr="00032484" w:rsidRDefault="00032484" w:rsidP="00032484">
      <w:pPr>
        <w:jc w:val="both"/>
      </w:pPr>
    </w:p>
    <w:p w14:paraId="778899E9" w14:textId="77777777" w:rsidR="00032484" w:rsidRDefault="00032484" w:rsidP="00032484">
      <w:pPr>
        <w:jc w:val="both"/>
      </w:pPr>
      <w:r w:rsidRPr="00032484">
        <w:t>Representation is therefore not a mirror of social life. It is an intervention into how social life becomes knowable. Consent forms, anonymity protocols, and institutional approval matter, but they do not exhaust ethics. They are procedural protections. The deeper issue is that anthropological knowledge is produced within unequal worlds and can reproduce inequality while making it visible. Asad showed that anthropology’s objects, concepts, and institutional authority were shaped within unequal historical conditions (Asad, 1973). Said showed, in a wider register, how knowledge about others can become entangled with domination, classification, and the power to define reality on someone else’s behalf (Said, 1978).</w:t>
      </w:r>
    </w:p>
    <w:p w14:paraId="3ED4DA3B" w14:textId="77777777" w:rsidR="00032484" w:rsidRPr="00032484" w:rsidRDefault="00032484" w:rsidP="00032484">
      <w:pPr>
        <w:jc w:val="both"/>
      </w:pPr>
    </w:p>
    <w:p w14:paraId="4E85888A" w14:textId="77777777" w:rsidR="00032484" w:rsidRPr="00032484" w:rsidRDefault="00032484" w:rsidP="00032484">
      <w:pPr>
        <w:jc w:val="both"/>
      </w:pPr>
      <w:r w:rsidRPr="00032484">
        <w:t>Ethics in anthropology is therefore structural before it is procedural. It concerns the organisation of knowledge, the history of disciplinary authority, and the unequal conditions under which some people are studied while others do the studying. It concerns not only what happens in the field, but what kinds of persons and societies become legible through anthropological description. The question is never simply, “Was the research done correctly?” It is also, “What kind of truth is being produced here, under what conditions, and for whom?”</w:t>
      </w:r>
    </w:p>
    <w:p w14:paraId="7D5EC9D2" w14:textId="77777777" w:rsidR="00057DE5" w:rsidRDefault="00057DE5" w:rsidP="006301CA">
      <w:pPr>
        <w:jc w:val="both"/>
      </w:pPr>
    </w:p>
    <w:p w14:paraId="505C1DCA" w14:textId="6FB4BCED" w:rsidR="006301CA" w:rsidRDefault="00FA7235" w:rsidP="002505FE">
      <w:pPr>
        <w:pStyle w:val="Heading3"/>
      </w:pPr>
      <w:r>
        <w:pict w14:anchorId="45521053">
          <v:rect id="_x0000_i1027" style="width:0;height:1.5pt" o:hralign="center" o:hrstd="t" o:hr="t" fillcolor="#a0a0a0" stroked="f"/>
        </w:pict>
      </w:r>
      <w:r w:rsidR="008E015A">
        <w:t>2.</w:t>
      </w:r>
      <w:r w:rsidR="006301CA">
        <w:t xml:space="preserve"> Anthropology &amp; Colonial Entanglement</w:t>
      </w:r>
    </w:p>
    <w:p w14:paraId="640550A1" w14:textId="77777777" w:rsidR="002772EF" w:rsidRDefault="002772EF" w:rsidP="002772EF">
      <w:pPr>
        <w:jc w:val="both"/>
      </w:pPr>
      <w:r w:rsidRPr="002772EF">
        <w:t>Colonial entanglement changes the ethical question from individual misconduct to disciplinary authority. The issue is not simply whether particular anthropologists behaved badly in colonial settings. It is that anthropology’s authority to describe others developed in a world structured by empire, racial hierarchy, unequal sovereignty, and administrative classification. Fieldwork did not take place outside those conditions. The categories through which anthropologists made people intelligible were shaped by them. Asad’s point is that anthropology’s objects, questions, and claims to expertise were formed within colonial relations, not in a neutral space of detached observation (Asad, 1973). That history makes it impossible to treat ethnographic authority as innocent simply because the anthropologist was present, careful, or well-intentioned.</w:t>
      </w:r>
    </w:p>
    <w:p w14:paraId="099002D7" w14:textId="77777777" w:rsidR="002772EF" w:rsidRPr="002772EF" w:rsidRDefault="002772EF" w:rsidP="002772EF">
      <w:pPr>
        <w:jc w:val="both"/>
      </w:pPr>
    </w:p>
    <w:p w14:paraId="3AF316D7" w14:textId="77777777" w:rsidR="002772EF" w:rsidRDefault="002772EF" w:rsidP="002772EF">
      <w:pPr>
        <w:jc w:val="both"/>
      </w:pPr>
      <w:r w:rsidRPr="002772EF">
        <w:t>Colonial knowledge worked by making people legible to others. Populations were named as “tribes”, “cultures”, “traditions”, “customary systems”, or bounded communities, often for audiences located elsewhere and already positioned unequally. Those terms could organise real features of social life, but they could also make people appear stable, coherent, and available for expert explanation. Said’s critique of Orientalism is useful because it identifies representation as a form of power: the authority to describe others through recurring categories that make them knowable, culturally summarised, and politically manageable (Said, 1978). Tuhiwai Smith makes the same problem unavoidable for research itself. For many Indigenous peoples, research has not appeared as neutral inquiry but as a practice through which outsiders named, extracted, classified, and spoke on their behalf (Tuhiwai Smith, 1999).</w:t>
      </w:r>
    </w:p>
    <w:p w14:paraId="763B5E4C" w14:textId="77777777" w:rsidR="002772EF" w:rsidRPr="002772EF" w:rsidRDefault="002772EF" w:rsidP="002772EF">
      <w:pPr>
        <w:jc w:val="both"/>
      </w:pPr>
    </w:p>
    <w:p w14:paraId="1AC01498" w14:textId="77777777" w:rsidR="002772EF" w:rsidRPr="002772EF" w:rsidRDefault="002772EF" w:rsidP="002772EF">
      <w:pPr>
        <w:jc w:val="both"/>
      </w:pPr>
      <w:r w:rsidRPr="002772EF">
        <w:t>That inheritance persists when contemporary anthropology reproduces older habits of description. A project may secure consent, anonymise participants, and pass institutional review while still writing people as timeless, bounded, coherent, or available for translation to an outside audience. It may protect individuals while leaving intact the larger inequality between those who explain and those who are explained. Ethics therefore cannot mean only proper conduct in the field. It has to include the authority of representation itself: who gets to describe whom, in what language, for which audiences, and with what effects. This leads directly into writing, because ethnographic description is where social worlds are selected, ordered, simplified, and made public.</w:t>
      </w:r>
    </w:p>
    <w:p w14:paraId="72DA39DB" w14:textId="77777777" w:rsidR="008E015A" w:rsidRDefault="008E015A" w:rsidP="006301CA">
      <w:pPr>
        <w:jc w:val="both"/>
      </w:pPr>
    </w:p>
    <w:p w14:paraId="1DF8BF84" w14:textId="4E8A9D47" w:rsidR="006301CA" w:rsidRDefault="00FA7235" w:rsidP="002505FE">
      <w:pPr>
        <w:pStyle w:val="Heading3"/>
      </w:pPr>
      <w:r>
        <w:pict w14:anchorId="7849121F">
          <v:rect id="_x0000_i1028" style="width:0;height:1.5pt" o:hralign="center" o:hrstd="t" o:hr="t" fillcolor="#a0a0a0" stroked="f"/>
        </w:pict>
      </w:r>
      <w:r w:rsidR="00D82FD2">
        <w:t>3.</w:t>
      </w:r>
      <w:r w:rsidR="006301CA">
        <w:t xml:space="preserve"> Writing, Culture &amp; Authority</w:t>
      </w:r>
    </w:p>
    <w:p w14:paraId="576D4B68" w14:textId="77777777" w:rsidR="00B84453" w:rsidRDefault="00B84453" w:rsidP="00B84453">
      <w:pPr>
        <w:jc w:val="both"/>
      </w:pPr>
      <w:r w:rsidRPr="00B84453">
        <w:t>Ethnography does not simply gather material and then report it. It composes a world for readers. Fieldnotes, interviews, memories, scenes, conversations, silences, gestures, and conflicts have to be selected and arranged before they become an account. Writing decides what comes first, which voices are quoted, what counts as background, what counts as event, and what kind of pattern the reader is invited to see. The ethical problem is not only whether fieldwork was careful. It is how lived complexity is turned into a written form that others will treat as knowledge.</w:t>
      </w:r>
    </w:p>
    <w:p w14:paraId="5EC63435" w14:textId="77777777" w:rsidR="004267F7" w:rsidRPr="00B84453" w:rsidRDefault="004267F7" w:rsidP="00B84453">
      <w:pPr>
        <w:jc w:val="both"/>
      </w:pPr>
    </w:p>
    <w:p w14:paraId="16F2B571" w14:textId="77777777" w:rsidR="00B84453" w:rsidRDefault="00B84453" w:rsidP="00B84453">
      <w:pPr>
        <w:jc w:val="both"/>
      </w:pPr>
      <w:r w:rsidRPr="00B84453">
        <w:t>The language of “culture” has been one of anthropology’s most powerful tools, but it also carries a risk. Used carefully, it helps show that social life is made rather than natural. Values, habits, obligations, classifications, and ways of seeing are learned, shared, disputed, and reproduced historically. Used carelessly, culture becomes a container. It can make a group appear to have clear boundaries, a single logic, and an internally consistent way of life. Contradiction, improvisation, movement, class difference, gendered conflict, generational tension, and ordinary disagreement can then disappear so that the account reads as stable and whole.</w:t>
      </w:r>
    </w:p>
    <w:p w14:paraId="11C2FD65" w14:textId="3B240784" w:rsidR="004267F7" w:rsidRDefault="004267F7" w:rsidP="00B84453">
      <w:pPr>
        <w:jc w:val="both"/>
      </w:pPr>
      <w:r>
        <w:t>CHANGE SLIDE</w:t>
      </w:r>
    </w:p>
    <w:p w14:paraId="0D1E736A" w14:textId="77777777" w:rsidR="004267F7" w:rsidRPr="00B84453" w:rsidRDefault="004267F7" w:rsidP="00B84453">
      <w:pPr>
        <w:jc w:val="both"/>
      </w:pPr>
    </w:p>
    <w:p w14:paraId="78276FA9" w14:textId="77777777" w:rsidR="00B84453" w:rsidRDefault="00B84453" w:rsidP="00B84453">
      <w:pPr>
        <w:jc w:val="both"/>
      </w:pPr>
      <w:r w:rsidRPr="00B84453">
        <w:t>Abu-Lughod’s argument against writing “culture” in this totalising way is not an argument against describing collective life. It is an argument against turning collective life into essence. When an ethnographic text implies “this is how these people think”, “this is what their culture values”, or “this is their worldview”, it risks turning a heterogeneous social field into a settled object with clean edges (Abu-Lughod, 1991). Clifford’s account of ethnographic “partial truths” presses the same issue from another angle. Ethnographic accounts are not raw transcriptions of reality. They are situated, selective, and rhetorically organised forms of truth whose authority has to be examined rather than simply accepted (Clifford, 1986). The ethical issue is that these partial accounts can travel as if they were complete ones.</w:t>
      </w:r>
    </w:p>
    <w:p w14:paraId="4ADA9AAE" w14:textId="77777777" w:rsidR="004267F7" w:rsidRPr="00B84453" w:rsidRDefault="004267F7" w:rsidP="00B84453">
      <w:pPr>
        <w:jc w:val="both"/>
      </w:pPr>
    </w:p>
    <w:p w14:paraId="1BF89DD4" w14:textId="77777777" w:rsidR="004267F7" w:rsidRDefault="00B84453" w:rsidP="004267F7">
      <w:pPr>
        <w:jc w:val="both"/>
      </w:pPr>
      <w:r w:rsidRPr="00B84453">
        <w:t>Once published, ethnography can become one of the ways a population is known by strangers. It can shape expectations before any encounter has taken place. It can help decide whether a group appears traditional or modern, violent or peaceful, oppressed or resistant, closed or adaptable, culturally rich or culturally deficient. Even sympathetic writing can fix people in place if it presents them mainly as bearers of an intact tradition rather than as participants in historical worlds marked by mobility, argument, aspiration, compromise, and unequal power. A description does not need to be hostile in order to be enclosing.</w:t>
      </w:r>
    </w:p>
    <w:p w14:paraId="0BFEDD3E" w14:textId="7FD7FC57" w:rsidR="004267F7" w:rsidRDefault="004267F7" w:rsidP="004267F7">
      <w:pPr>
        <w:jc w:val="both"/>
      </w:pPr>
      <w:r>
        <w:t>CHANGE SLIDE</w:t>
      </w:r>
    </w:p>
    <w:p w14:paraId="03625066" w14:textId="77777777" w:rsidR="00B84453" w:rsidRPr="00B84453" w:rsidRDefault="00B84453" w:rsidP="00B84453">
      <w:pPr>
        <w:jc w:val="both"/>
      </w:pPr>
    </w:p>
    <w:p w14:paraId="6E845F28" w14:textId="77777777" w:rsidR="00B84453" w:rsidRDefault="00B84453" w:rsidP="00B84453">
      <w:pPr>
        <w:jc w:val="both"/>
      </w:pPr>
      <w:r w:rsidRPr="00B84453">
        <w:t xml:space="preserve">Time is one of the most common ways this enclosure happens. Anthropological writing has often placed the people it studies in a different historical tense from the reader. Fabian called this the denial of </w:t>
      </w:r>
      <w:proofErr w:type="spellStart"/>
      <w:r w:rsidRPr="00B84453">
        <w:t>coevalness</w:t>
      </w:r>
      <w:proofErr w:type="spellEnd"/>
      <w:r w:rsidRPr="00B84453">
        <w:t>: people described by anthropology were treated as though they lived in an earlier stage of social life, even though anthropologist and interlocutor shared the same historical present (Fabian, 1983). This does not require openly evolutionary language. It can appear in respectful writing whenever people are represented as timeless, unchanged, or suspended inside “their culture”, while the writer and reader occupy the position of movement, history, and modernity.</w:t>
      </w:r>
    </w:p>
    <w:p w14:paraId="3A810172" w14:textId="77777777" w:rsidR="004267F7" w:rsidRPr="00B84453" w:rsidRDefault="004267F7" w:rsidP="00B84453">
      <w:pPr>
        <w:jc w:val="both"/>
      </w:pPr>
    </w:p>
    <w:p w14:paraId="67436615" w14:textId="77777777" w:rsidR="00B84453" w:rsidRDefault="00B84453" w:rsidP="00B84453">
      <w:pPr>
        <w:jc w:val="both"/>
      </w:pPr>
      <w:r w:rsidRPr="00B84453">
        <w:t>Writing against that habit requires more than a few reflexive sentences about positionality. A text can acknowledge its own partiality and still simplify the people it describes. The harder task is to write in ways that resist enclosure. That means showing disagreement rather than forcing consensus, showing history rather than presenting a social world as self-contained, and refusing to let “culture” explain everything. It also means writing closer to situated lives, particular relationships, and partial perspectives rather than asking one person, one ritual, or one scene to stand for an entire people. People become harder to consume as cultural types when they are written as historically located and internally differentiated.</w:t>
      </w:r>
    </w:p>
    <w:p w14:paraId="02344F60" w14:textId="77777777" w:rsidR="004267F7" w:rsidRDefault="004267F7" w:rsidP="004267F7">
      <w:pPr>
        <w:jc w:val="both"/>
      </w:pPr>
      <w:r>
        <w:t>CHANGE SLIDE</w:t>
      </w:r>
    </w:p>
    <w:p w14:paraId="4FBF8A95" w14:textId="77777777" w:rsidR="004267F7" w:rsidRPr="00B84453" w:rsidRDefault="004267F7" w:rsidP="00B84453">
      <w:pPr>
        <w:jc w:val="both"/>
      </w:pPr>
    </w:p>
    <w:p w14:paraId="1FB02AD8" w14:textId="77777777" w:rsidR="00B84453" w:rsidRDefault="00B84453" w:rsidP="00B84453">
      <w:pPr>
        <w:jc w:val="both"/>
      </w:pPr>
      <w:r w:rsidRPr="00B84453">
        <w:t>Ethnographic authority is therefore not only a question of accuracy. An account may be factually careful and still produce a damaging form. It may describe real practices while arranging them in a way that exaggerates coherence, distance, strangeness, or timelessness. It may make a community legible to outsiders while reducing the range of ways its members can later be imagined. The ethical question is not only whether the account is vivid, persuasive, or well evidenced. It is whether the writing produces closure where social life is open, coherence where it is fractured, or distance where there is shared historical time.</w:t>
      </w:r>
    </w:p>
    <w:p w14:paraId="6D231D42" w14:textId="77777777" w:rsidR="004267F7" w:rsidRPr="00B84453" w:rsidRDefault="004267F7" w:rsidP="00B84453">
      <w:pPr>
        <w:jc w:val="both"/>
      </w:pPr>
    </w:p>
    <w:p w14:paraId="292E2248" w14:textId="7B9D86A0" w:rsidR="00D82FD2" w:rsidRPr="00D82FD2" w:rsidRDefault="00B84453" w:rsidP="00D82FD2">
      <w:pPr>
        <w:jc w:val="both"/>
      </w:pPr>
      <w:r w:rsidRPr="00B84453">
        <w:t>This is why representation so easily becomes controversy. Ethnographic writing makes others public. Once it circulates, it can be challenged by the people described, disputed by other researchers, or taken up by journalists, courts, NGOs, teachers, policymakers, and hostile publics in ways the author cannot control. The next case turns on exactly that problem: what happens when one powerful ethnographic representation becomes the dominant way a people are known, and when the authority of that representation is itself placed on trial</w:t>
      </w:r>
      <w:r w:rsidR="00D82FD2" w:rsidRPr="00D82FD2">
        <w:t>.</w:t>
      </w:r>
    </w:p>
    <w:p w14:paraId="7956F35D" w14:textId="77777777" w:rsidR="00D82FD2" w:rsidRDefault="00D82FD2" w:rsidP="006301CA">
      <w:pPr>
        <w:jc w:val="both"/>
      </w:pPr>
    </w:p>
    <w:p w14:paraId="3CD7E1A6" w14:textId="3985C963" w:rsidR="002505FE" w:rsidRPr="002505FE" w:rsidRDefault="00FA7235" w:rsidP="002505FE">
      <w:r>
        <w:pict w14:anchorId="40F869CF">
          <v:rect id="_x0000_i1030" style="width:0;height:1.5pt" o:hralign="center" o:hrstd="t" o:hr="t" fillcolor="#a0a0a0" stroked="f"/>
        </w:pict>
      </w:r>
    </w:p>
    <w:p w14:paraId="56B5ABA8" w14:textId="356AE36F" w:rsidR="006301CA" w:rsidRDefault="002505FE" w:rsidP="002505FE">
      <w:pPr>
        <w:pStyle w:val="Heading2"/>
      </w:pPr>
      <w:r>
        <w:t>0:</w:t>
      </w:r>
      <w:r w:rsidR="000E6EF3">
        <w:t>20</w:t>
      </w:r>
      <w:r>
        <w:t>–</w:t>
      </w:r>
      <w:r w:rsidR="0057204C">
        <w:t>0</w:t>
      </w:r>
      <w:r>
        <w:t>:</w:t>
      </w:r>
      <w:r w:rsidR="0057204C">
        <w:t>45</w:t>
      </w:r>
      <w:r>
        <w:t xml:space="preserve">: </w:t>
      </w:r>
      <w:r w:rsidR="006301CA">
        <w:t xml:space="preserve">PART </w:t>
      </w:r>
      <w:r>
        <w:t>2</w:t>
      </w:r>
      <w:r w:rsidR="006301CA">
        <w:t xml:space="preserve"> — THE YANOMAMI CONTROVERSY</w:t>
      </w:r>
    </w:p>
    <w:p w14:paraId="128723ED" w14:textId="5F6B7A37" w:rsidR="006301CA" w:rsidRDefault="00FA7235" w:rsidP="002505FE">
      <w:pPr>
        <w:pStyle w:val="Heading3"/>
      </w:pPr>
      <w:r>
        <w:pict w14:anchorId="5F0B0CDB">
          <v:rect id="_x0000_i1031" style="width:0;height:1.5pt" o:hralign="center" o:hrstd="t" o:hr="t" fillcolor="#a0a0a0" stroked="f"/>
        </w:pict>
      </w:r>
      <w:r w:rsidR="006A0DFD">
        <w:t>1.</w:t>
      </w:r>
      <w:r w:rsidR="006301CA">
        <w:t xml:space="preserve"> The Controversy</w:t>
      </w:r>
    </w:p>
    <w:p w14:paraId="0BE5CEAF" w14:textId="77777777" w:rsidR="009B5547" w:rsidRDefault="009B5547" w:rsidP="009B5547">
      <w:pPr>
        <w:jc w:val="both"/>
      </w:pPr>
      <w:r w:rsidRPr="009B5547">
        <w:t>The Yanomami are an Indigenous people living in the forested region across northern Brazil and southern Venezuela. Their social worlds have been organised through forest cultivation, hunting, gathering, village residence, kinship, marriage alliance, visiting, exchange, ritual practice, shamanism, conflict, and relations with neighbouring communities. They have also lived through missionisation, epidemic disease, military and governmental intrusion, illegal gold mining, river pollution, environmental destruction, and territorial invasion. The controversy over Yanomami anthropology concerned the public reduction of this historically pressured world to a narrow image of violence.</w:t>
      </w:r>
    </w:p>
    <w:p w14:paraId="1ED3BDD5" w14:textId="77777777" w:rsidR="009B5547" w:rsidRPr="009B5547" w:rsidRDefault="009B5547" w:rsidP="009B5547">
      <w:pPr>
        <w:jc w:val="both"/>
      </w:pPr>
    </w:p>
    <w:p w14:paraId="0A36B784" w14:textId="77777777" w:rsidR="009B5547" w:rsidRDefault="009B5547" w:rsidP="009B5547">
      <w:pPr>
        <w:jc w:val="both"/>
      </w:pPr>
      <w:r w:rsidRPr="009B5547">
        <w:t xml:space="preserve">Napoleon Chagnon’s </w:t>
      </w:r>
      <w:proofErr w:type="spellStart"/>
      <w:r w:rsidRPr="009B5547">
        <w:rPr>
          <w:i/>
          <w:iCs/>
        </w:rPr>
        <w:t>Yanomamö</w:t>
      </w:r>
      <w:proofErr w:type="spellEnd"/>
      <w:r w:rsidRPr="009B5547">
        <w:rPr>
          <w:i/>
          <w:iCs/>
        </w:rPr>
        <w:t>: The Fierce People</w:t>
      </w:r>
      <w:r w:rsidRPr="009B5547">
        <w:t xml:space="preserve"> became one of the best-known ethnographies in twentieth-century anthropology (Chagnon, 1983). The title made aggression the reader’s first interpretive frame. Chagnon described raiding, revenge, village fission, male competition, marriage disputes, alliances, and homicide. He did not invent conflict, but his account gave conflict unusual explanatory weight. Gardens, settlements, kinship obligations, ritual practice, illness, shamanism, trade, mission contact, and territorial pressure became secondary to the image of Yanomami men as violent competitors. A selected element of social life became the dominant public frame for a people.</w:t>
      </w:r>
    </w:p>
    <w:p w14:paraId="27C41E83" w14:textId="5CDF3673" w:rsidR="009B5547" w:rsidRDefault="0022419B" w:rsidP="009B5547">
      <w:pPr>
        <w:jc w:val="both"/>
      </w:pPr>
      <w:r>
        <w:t>CHANGE SLIDE</w:t>
      </w:r>
    </w:p>
    <w:p w14:paraId="6BD6CB80" w14:textId="77777777" w:rsidR="0022419B" w:rsidRPr="009B5547" w:rsidRDefault="0022419B" w:rsidP="009B5547">
      <w:pPr>
        <w:jc w:val="both"/>
      </w:pPr>
    </w:p>
    <w:p w14:paraId="702B064D" w14:textId="7E80D051" w:rsidR="009B5547" w:rsidRDefault="009B5547" w:rsidP="009B5547">
      <w:pPr>
        <w:jc w:val="both"/>
      </w:pPr>
      <w:r w:rsidRPr="009B5547">
        <w:t>Yanomami settlements were organised through residence, kinship, gardens, food sharing, visiting, marriage negotiation, ritual obligation, and relations with neighbouring villages. Some communities lived in large collective houses</w:t>
      </w:r>
      <w:r w:rsidR="00F9753B">
        <w:t xml:space="preserve"> </w:t>
      </w:r>
      <w:r w:rsidRPr="009B5547">
        <w:t>with related households arranged around a shared central space. Political influence did not rest on formal office. It depended on kin support, reputation, seniority, speech, generosity, ritual standing, alliance, and the ability to manage tension inside and beyond the village. Village fission could follow fear, accusation, marriage tension, rivalry, death, or conflict. Violence formed part of this wider organisation of residence, obligation, memory, and vulnerability.</w:t>
      </w:r>
    </w:p>
    <w:p w14:paraId="35430F10" w14:textId="77777777" w:rsidR="0022419B" w:rsidRPr="009B5547" w:rsidRDefault="0022419B" w:rsidP="009B5547">
      <w:pPr>
        <w:jc w:val="both"/>
      </w:pPr>
    </w:p>
    <w:p w14:paraId="3D9DB43B" w14:textId="69C40C41" w:rsidR="009B5547" w:rsidRDefault="00C126A8" w:rsidP="009B5547">
      <w:pPr>
        <w:jc w:val="both"/>
      </w:pPr>
      <w:r w:rsidRPr="00C126A8">
        <w:t>Raiding and revenge involved retaliation for injury, grief after death, fear of future attack, marriage dispute, accusation, alliance obligation, and masculine status</w:t>
      </w:r>
      <w:r w:rsidR="009B5547" w:rsidRPr="009B5547">
        <w:t>. A raid could involve retaliation for injury, grief after death, fear of future attack, marriage dispute, accusation, alliance obligation, or masculine status. These acts did not occur in a sealed social world. Mission settlements altered residence, mobility, translation, health care, and dependence on external institutions. Epidemic disease killed large numbers and intensified fear. Miners brought disease, mercury pollution, violence, prostitution, alcohol, weapons, and land invasion. Soldiers, officials, researchers, missionaries, traders, and health workers all entered Yanomami territory under unequal conditions. An account that foregrounds internal violence while treating these pressures as background makes Yanomami suffering appear culturally self-generated.</w:t>
      </w:r>
    </w:p>
    <w:p w14:paraId="0F9FF7C0" w14:textId="77777777" w:rsidR="0022419B" w:rsidRDefault="0022419B" w:rsidP="0022419B">
      <w:pPr>
        <w:jc w:val="both"/>
      </w:pPr>
      <w:r>
        <w:t>CHANGE SLIDE</w:t>
      </w:r>
    </w:p>
    <w:p w14:paraId="384D7C22" w14:textId="77777777" w:rsidR="0022419B" w:rsidRPr="009B5547" w:rsidRDefault="0022419B" w:rsidP="009B5547">
      <w:pPr>
        <w:jc w:val="both"/>
      </w:pPr>
    </w:p>
    <w:p w14:paraId="661822E8" w14:textId="4B06A56B" w:rsidR="009B5547" w:rsidRDefault="000E26EF" w:rsidP="009B5547">
      <w:pPr>
        <w:jc w:val="both"/>
      </w:pPr>
      <w:r w:rsidRPr="000E26EF">
        <w:t>Chagnon’s ethnography moved from Amazonian case study into debates about warfare, male status, reproductive advantage, and evolutionary explanations of aggression</w:t>
      </w:r>
      <w:r w:rsidR="009B5547" w:rsidRPr="009B5547">
        <w:t>. Yanomami life was used in debates about warfare, male status, reproductive advantage, and evolutionary explanations of aggression. One Indigenous people were made to support general claims about humanity. That move from ethnographic case to universal theory creates analytical and ethical risk. A narrow account of one people can become evidence for a broad theory of violence. If the ethnographic frame overemphasises aggression, the theory built from it repeats that distortion at a larger scale.</w:t>
      </w:r>
    </w:p>
    <w:p w14:paraId="55A3891E" w14:textId="77777777" w:rsidR="0022419B" w:rsidRPr="009B5547" w:rsidRDefault="0022419B" w:rsidP="009B5547">
      <w:pPr>
        <w:jc w:val="both"/>
      </w:pPr>
    </w:p>
    <w:p w14:paraId="47001890" w14:textId="77777777" w:rsidR="009B5547" w:rsidRDefault="009B5547" w:rsidP="009B5547">
      <w:pPr>
        <w:jc w:val="both"/>
      </w:pPr>
      <w:r w:rsidRPr="009B5547">
        <w:t xml:space="preserve">Davi Kopenawa and Bruce Albert present a radically different account of danger, knowledge, and history. </w:t>
      </w:r>
      <w:r w:rsidRPr="009B5547">
        <w:rPr>
          <w:i/>
          <w:iCs/>
        </w:rPr>
        <w:t>The Falling Sky</w:t>
      </w:r>
      <w:r w:rsidRPr="009B5547">
        <w:t xml:space="preserve"> gives sustained attention to shamanic knowledge, forest life, spirits, illness, miners, missionaries, epidemics, commodities, and the destructive appetite of outsiders (</w:t>
      </w:r>
      <w:proofErr w:type="spellStart"/>
      <w:r w:rsidRPr="009B5547">
        <w:t>Kopenawa</w:t>
      </w:r>
      <w:proofErr w:type="spellEnd"/>
      <w:r w:rsidRPr="009B5547">
        <w:t xml:space="preserve"> and Albert, 2013). Shamanism appears as a disciplined way of knowing relations among spirits, bodies, forest beings, disease, and collective survival. Mining appears as invasion. Land is opened, rivers are poisoned, disease spreads, and the living forest is attacked. </w:t>
      </w:r>
      <w:proofErr w:type="spellStart"/>
      <w:r w:rsidRPr="009B5547">
        <w:t>Kopenawa</w:t>
      </w:r>
      <w:proofErr w:type="spellEnd"/>
      <w:r w:rsidRPr="009B5547">
        <w:t xml:space="preserve"> does not present Yanomami life as an example of primordial aggression. He analyses the violence of outsiders who convert, mine, study, administer, and exploit the forest while claiming authority over those who live there.</w:t>
      </w:r>
    </w:p>
    <w:p w14:paraId="73771DBF" w14:textId="77777777" w:rsidR="0022419B" w:rsidRDefault="0022419B" w:rsidP="0022419B">
      <w:pPr>
        <w:jc w:val="both"/>
      </w:pPr>
      <w:r>
        <w:t>CHANGE SLIDE</w:t>
      </w:r>
    </w:p>
    <w:p w14:paraId="3719CA6A" w14:textId="77777777" w:rsidR="0022419B" w:rsidRPr="009B5547" w:rsidRDefault="0022419B" w:rsidP="009B5547">
      <w:pPr>
        <w:jc w:val="both"/>
      </w:pPr>
    </w:p>
    <w:p w14:paraId="69BB36EF" w14:textId="77777777" w:rsidR="009B5547" w:rsidRDefault="009B5547" w:rsidP="009B5547">
      <w:pPr>
        <w:jc w:val="both"/>
      </w:pPr>
      <w:proofErr w:type="spellStart"/>
      <w:r w:rsidRPr="009B5547">
        <w:t>Kopenawa’s</w:t>
      </w:r>
      <w:proofErr w:type="spellEnd"/>
      <w:r w:rsidRPr="009B5547">
        <w:t xml:space="preserve"> account changes the location of violence. Chagnon’s best-known public framing directs attention toward raiding, revenge, male aggression, and reproductive competition within Yanomami society. </w:t>
      </w:r>
      <w:proofErr w:type="spellStart"/>
      <w:r w:rsidRPr="009B5547">
        <w:t>Kopenawa</w:t>
      </w:r>
      <w:proofErr w:type="spellEnd"/>
      <w:r w:rsidRPr="009B5547">
        <w:t xml:space="preserve"> directs attention toward miners who tear open the forest, missionaries who condemn shamanic knowledge, officials who fail to protect territory, and white people whose desire for goods produces smoke, epidemics, pollution, and death (</w:t>
      </w:r>
      <w:proofErr w:type="spellStart"/>
      <w:r w:rsidRPr="009B5547">
        <w:t>Kopenawa</w:t>
      </w:r>
      <w:proofErr w:type="spellEnd"/>
      <w:r w:rsidRPr="009B5547">
        <w:t xml:space="preserve"> and Albert, 2013). The contrast is not a simple opposition between outsider anthropology and Indigenous testimony. It is a contrast between two explanatory frames: one that made Yanomami violence publicly dominant, and one that treats external destruction as the central threat to Yanomami life.</w:t>
      </w:r>
    </w:p>
    <w:p w14:paraId="3C349975" w14:textId="77777777" w:rsidR="0022419B" w:rsidRPr="009B5547" w:rsidRDefault="0022419B" w:rsidP="009B5547">
      <w:pPr>
        <w:jc w:val="both"/>
      </w:pPr>
    </w:p>
    <w:p w14:paraId="4E375ADF" w14:textId="77777777" w:rsidR="009B5547" w:rsidRDefault="009B5547" w:rsidP="009B5547">
      <w:pPr>
        <w:jc w:val="both"/>
      </w:pPr>
      <w:r w:rsidRPr="009B5547">
        <w:t xml:space="preserve">Patrick Tierney’s </w:t>
      </w:r>
      <w:r w:rsidRPr="009B5547">
        <w:rPr>
          <w:i/>
          <w:iCs/>
        </w:rPr>
        <w:t>Darkness in El Dorado</w:t>
      </w:r>
      <w:r w:rsidRPr="009B5547">
        <w:t xml:space="preserve"> transformed the dispute by accusing Chagnon, the geneticist James Neel, and other researchers of serious misconduct among the Yanomami (Tierney, 2000). Some accusations were later challenged, qualified, or rejected. The book cannot be treated as a settled account of the facts. Its publication nevertheless changed the scale of the controversy. Disagreement over interpretation became a public crisis over evidence, research practice, medical intervention, documentary exposure, professional ambition, and harm. Anthropology had to confront the possibility that careers, theories, films, books, and reputations could be built from communities who had little control over the circulation of their image.</w:t>
      </w:r>
    </w:p>
    <w:p w14:paraId="39D0F28E" w14:textId="77777777" w:rsidR="0022419B" w:rsidRPr="009B5547" w:rsidRDefault="0022419B" w:rsidP="009B5547">
      <w:pPr>
        <w:jc w:val="both"/>
      </w:pPr>
    </w:p>
    <w:p w14:paraId="3CA5F401" w14:textId="4279F571" w:rsidR="009B5547" w:rsidRDefault="000E26EF" w:rsidP="009B5547">
      <w:pPr>
        <w:jc w:val="both"/>
      </w:pPr>
      <w:r w:rsidRPr="000E26EF">
        <w:t>Tierney’s critique reproduced a second form of objectification</w:t>
      </w:r>
      <w:r w:rsidR="009B5547" w:rsidRPr="009B5547">
        <w:t>. The Yanomami again became the ground on which outsiders fought over evidence, scandal, institutional authority, and professional reputation. Anthropologists, journalists, scientists, editors, professional associations, ethics committees, and public commentators argued over what had happened and what the controversy revealed about anthropology. The people at the centre of the dispute often appeared as objects of competing claims rather than as political subjects with their own analyses of invasion, illness, research, land, and survival.</w:t>
      </w:r>
    </w:p>
    <w:p w14:paraId="4FFB73DD" w14:textId="77777777" w:rsidR="000E64F8" w:rsidRDefault="000E64F8" w:rsidP="000E64F8">
      <w:pPr>
        <w:jc w:val="both"/>
      </w:pPr>
      <w:r>
        <w:t>CHANGE SLIDE</w:t>
      </w:r>
    </w:p>
    <w:p w14:paraId="2220F42E" w14:textId="77777777" w:rsidR="0022419B" w:rsidRPr="009B5547" w:rsidRDefault="0022419B" w:rsidP="009B5547">
      <w:pPr>
        <w:jc w:val="both"/>
      </w:pPr>
    </w:p>
    <w:p w14:paraId="458E9FC8" w14:textId="77777777" w:rsidR="009B5547" w:rsidRDefault="009B5547" w:rsidP="009B5547">
      <w:pPr>
        <w:jc w:val="both"/>
      </w:pPr>
      <w:r w:rsidRPr="009B5547">
        <w:t xml:space="preserve">Borofsky treats the affair as a disciplinary problem about evidence, authority, representation, and responsibility rather than a simple trial of innocence or guilt (Borofsky, 2005). Fieldwork gave Chagnon credibility. Publication gave his interpretation reach. Teaching and popular circulation made the image durable. Tierney’s accusations then turned the earlier representation into a public crisis for anthropology itself. Ethnographic authority moved beyond the </w:t>
      </w:r>
      <w:proofErr w:type="spellStart"/>
      <w:r w:rsidRPr="009B5547">
        <w:t>fieldsite</w:t>
      </w:r>
      <w:proofErr w:type="spellEnd"/>
      <w:r w:rsidRPr="009B5547">
        <w:t xml:space="preserve"> through books, classrooms, films, journalism, public science, activism, professional associations, and disciplinary memory.</w:t>
      </w:r>
    </w:p>
    <w:p w14:paraId="05BA4FA1" w14:textId="77777777" w:rsidR="0022419B" w:rsidRPr="009B5547" w:rsidRDefault="0022419B" w:rsidP="009B5547">
      <w:pPr>
        <w:jc w:val="both"/>
      </w:pPr>
    </w:p>
    <w:p w14:paraId="0B949832" w14:textId="77777777" w:rsidR="009B5547" w:rsidRPr="009B5547" w:rsidRDefault="009B5547" w:rsidP="009B5547">
      <w:pPr>
        <w:jc w:val="both"/>
      </w:pPr>
      <w:r w:rsidRPr="009B5547">
        <w:t>The Yanomami controversy leaves three questions for anthropological ethics. What happens when an ethnographic frame becomes a public identity? “The fierce people” shows how a selective emphasis can harden into reputation. What happens when one people are used to support general theories of violence and human nature? The case shows how ethnographic evidence can become theoretically overburdened. What happens when controversy becomes another way of speaking about people? The dispute shows how exposure of possible harm can still turn Indigenous lives into material for external argument. These questions lead directly into institutional ethics: consent, professional codes, review procedures, and formal responsibility emerged with greater force because cases like this exposed the limits of fieldwork authority, professional standing, and personal intention.</w:t>
      </w:r>
    </w:p>
    <w:p w14:paraId="0A30550D" w14:textId="77777777" w:rsidR="00502251" w:rsidRDefault="00502251" w:rsidP="006301CA">
      <w:pPr>
        <w:jc w:val="both"/>
      </w:pPr>
    </w:p>
    <w:p w14:paraId="79570415" w14:textId="40424078" w:rsidR="006301CA" w:rsidRDefault="00FA7235" w:rsidP="002505FE">
      <w:pPr>
        <w:pStyle w:val="Heading3"/>
      </w:pPr>
      <w:r>
        <w:pict w14:anchorId="45F92824">
          <v:rect id="_x0000_i1032" style="width:0;height:1.5pt" o:hralign="center" o:hrstd="t" o:hr="t" fillcolor="#a0a0a0" stroked="f"/>
        </w:pict>
      </w:r>
      <w:r w:rsidR="006A0DFD">
        <w:t>2.</w:t>
      </w:r>
      <w:r w:rsidR="006301CA">
        <w:t xml:space="preserve"> From Scandal to Institutional Ethics</w:t>
      </w:r>
    </w:p>
    <w:p w14:paraId="682E89B1" w14:textId="77777777" w:rsidR="00D6663A" w:rsidRDefault="00D6663A" w:rsidP="00D6663A">
      <w:pPr>
        <w:jc w:val="both"/>
      </w:pPr>
      <w:r w:rsidRPr="00D6663A">
        <w:t>Public scandals made informal ethical judgement harder to defend. Anthropologists had long debated responsibility, harm, and obligation, but responsibility was often treated as something carried by the individual fieldworker: conscience, experience, professional judgement, and ordinary decency. The Yanomami controversy exposed the weakness of that model. Fieldwork experience did not guarantee ethical authority. Professional reputation did not protect communities from harm. Good intentions did not settle questions about evidence, representation, medical intervention, public circulation, or the afterlife of research.</w:t>
      </w:r>
    </w:p>
    <w:p w14:paraId="0D307FEA" w14:textId="77777777" w:rsidR="00D6663A" w:rsidRPr="00D6663A" w:rsidRDefault="00D6663A" w:rsidP="00D6663A">
      <w:pPr>
        <w:jc w:val="both"/>
      </w:pPr>
    </w:p>
    <w:p w14:paraId="5C65473B" w14:textId="77777777" w:rsidR="00D6663A" w:rsidRDefault="00D6663A" w:rsidP="00D6663A">
      <w:pPr>
        <w:jc w:val="both"/>
      </w:pPr>
      <w:r w:rsidRPr="00D6663A">
        <w:t>Professional codes developed from this longer history of ambiguity. Pels argues that anthropological ethics was shaped by “duplexity”: anthropologists often worked between scientific ambition, colonial administration, missionary authority, professional self-regulation, and obligations to the people they studied (Pels, 1999). Ethical codes therefore responded to a structural problem. Anthropologists entered unequal relations, produced authoritative descriptions, controlled publication, and often benefited professionally from knowledge given by others. Codification made those obligations explicit rather than leaving them inside the presumed character of the ethnographer.</w:t>
      </w:r>
    </w:p>
    <w:p w14:paraId="7A406A8C" w14:textId="59F68B28" w:rsidR="00D6663A" w:rsidRDefault="00D6663A" w:rsidP="00D6663A">
      <w:pPr>
        <w:jc w:val="both"/>
      </w:pPr>
      <w:r>
        <w:t>CHANGE SLIDE</w:t>
      </w:r>
    </w:p>
    <w:p w14:paraId="1D65D8F3" w14:textId="77777777" w:rsidR="00D6663A" w:rsidRPr="00D6663A" w:rsidRDefault="00D6663A" w:rsidP="00D6663A">
      <w:pPr>
        <w:jc w:val="both"/>
      </w:pPr>
    </w:p>
    <w:p w14:paraId="346A8CE8" w14:textId="77777777" w:rsidR="00D6663A" w:rsidRDefault="00D6663A" w:rsidP="00D6663A">
      <w:pPr>
        <w:jc w:val="both"/>
      </w:pPr>
      <w:r w:rsidRPr="00D6663A">
        <w:t xml:space="preserve">The American Anthropological Association’s Principles of Professional Responsibility gives this shift a formal shape. The AAA identifies duties around honesty, openness, informed consent, competing obligations, and the avoidance of harm (AAA, 2012). Informed consent means ongoing permission based on an understandable account of the research, </w:t>
      </w:r>
      <w:proofErr w:type="spellStart"/>
      <w:r w:rsidRPr="00D6663A">
        <w:t>its</w:t>
      </w:r>
      <w:proofErr w:type="spellEnd"/>
      <w:r w:rsidRPr="00D6663A">
        <w:t xml:space="preserve"> possible uses, and its possible risks. It is not only a signed form. Consent can change as relationships deepen, projects shift, publications appear, or political conditions alter the risks of being identified.</w:t>
      </w:r>
    </w:p>
    <w:p w14:paraId="6CD1A8E4" w14:textId="77777777" w:rsidR="00D6663A" w:rsidRPr="00D6663A" w:rsidRDefault="00D6663A" w:rsidP="00D6663A">
      <w:pPr>
        <w:jc w:val="both"/>
      </w:pPr>
    </w:p>
    <w:p w14:paraId="76AC7E63" w14:textId="77777777" w:rsidR="00D6663A" w:rsidRDefault="00D6663A" w:rsidP="00D6663A">
      <w:pPr>
        <w:jc w:val="both"/>
      </w:pPr>
      <w:r w:rsidRPr="00D6663A">
        <w:t>Anonymity also requires judgement. Anonymity protects participants by concealing names, locations, or identifying details from public authorities, employers, neighbours, armed actors, journalists, or hostile publics. It can also erase agency when participants want to be named as witnesses, activists, land defenders, experts, authors, or political subjects. Ethical concealment therefore cannot be automatic. The researcher has to ask whether anonymity protects people, silences them, or takes control over how they are allowed to appear.</w:t>
      </w:r>
    </w:p>
    <w:p w14:paraId="13F07D64" w14:textId="77777777" w:rsidR="00D6663A" w:rsidRDefault="00D6663A" w:rsidP="00D6663A">
      <w:pPr>
        <w:jc w:val="both"/>
      </w:pPr>
      <w:r>
        <w:t>CHANGE SLIDE</w:t>
      </w:r>
    </w:p>
    <w:p w14:paraId="092CBA37" w14:textId="77777777" w:rsidR="00D6663A" w:rsidRPr="00D6663A" w:rsidRDefault="00D6663A" w:rsidP="00D6663A">
      <w:pPr>
        <w:jc w:val="both"/>
      </w:pPr>
    </w:p>
    <w:p w14:paraId="5279A190" w14:textId="77777777" w:rsidR="00D6663A" w:rsidRDefault="00D6663A" w:rsidP="00D6663A">
      <w:pPr>
        <w:jc w:val="both"/>
      </w:pPr>
      <w:r w:rsidRPr="00D6663A">
        <w:t>University ethics committees and review boards developed alongside professional codes. Researchers increasingly had to explain their aims, methods, consent procedures, data storage, likely risks, and plans for reducing harm before fieldwork began. These procedures challenged the older assumption that ethnographic immersion placed anthropologists beyond ordinary scrutiny. They also made ethical reasoning teachable. Students could be asked before entering the field who might be harmed, who might benefit, who would control the material, and how relationships might change once research moved into publication.</w:t>
      </w:r>
    </w:p>
    <w:p w14:paraId="6ADCD475" w14:textId="77777777" w:rsidR="00D6663A" w:rsidRPr="00D6663A" w:rsidRDefault="00D6663A" w:rsidP="00D6663A">
      <w:pPr>
        <w:jc w:val="both"/>
      </w:pPr>
    </w:p>
    <w:p w14:paraId="1F37E60F" w14:textId="77777777" w:rsidR="00D6663A" w:rsidRPr="00D6663A" w:rsidRDefault="00D6663A" w:rsidP="00D6663A">
      <w:pPr>
        <w:jc w:val="both"/>
      </w:pPr>
      <w:r w:rsidRPr="00D6663A">
        <w:t>Codes and review procedures establish minimum responsibilities. They do not remove ethical judgement. Ethnographic research changes as people speak, relationships develop, risks emerge, and political circumstances shift. Publication may expose vulnerable people to danger, but silence may protect violent authorities, exploitative employers, abusive organisations, or armed actors. Anonymity may protect an individual, but weaken a public claim for recognition. Collaboration may redistribute authority, but also produce disagreement over interpretation and ownership. Institutional ethics made responsibility more explicit, formal, and contestable. It did not make responsibility mechanical.</w:t>
      </w:r>
    </w:p>
    <w:p w14:paraId="3757183D" w14:textId="166DF1E1" w:rsidR="006301CA" w:rsidRDefault="006301CA" w:rsidP="006301CA">
      <w:pPr>
        <w:jc w:val="both"/>
      </w:pPr>
    </w:p>
    <w:p w14:paraId="2349B6E7" w14:textId="4D628981" w:rsidR="006301CA" w:rsidRDefault="00FA7235" w:rsidP="002505FE">
      <w:pPr>
        <w:pStyle w:val="Heading3"/>
      </w:pPr>
      <w:r>
        <w:pict w14:anchorId="0285CD37">
          <v:rect id="_x0000_i1033" style="width:0;height:1.5pt" o:hralign="center" o:hrstd="t" o:hr="t" fillcolor="#a0a0a0" stroked="f"/>
        </w:pict>
      </w:r>
      <w:r w:rsidR="006A0DFD">
        <w:t>3.</w:t>
      </w:r>
      <w:r w:rsidR="006301CA">
        <w:t xml:space="preserve"> Anthropology Today </w:t>
      </w:r>
      <w:r w:rsidR="002505FE">
        <w:t>Connections 1</w:t>
      </w:r>
    </w:p>
    <w:p w14:paraId="6564E887" w14:textId="77777777" w:rsidR="007446E0" w:rsidRDefault="007446E0" w:rsidP="007446E0">
      <w:pPr>
        <w:jc w:val="both"/>
      </w:pPr>
      <w:r w:rsidRPr="007446E0">
        <w:t>Contemporary ethical controversy has not replaced anthropology’s older problems of representation, harm, authority, and responsibility. It has relocated them. Questions once centred on fieldwork conduct and ethnographic writing now appear in disputes over academic freedom, collaboration, surveillance, and the public circulation of anthropological knowledge. Codes and review procedures made ethical responsibilities more explicit, but they did not remove the conflicts created when anthropologists speak, publish, collaborate, or criticise under unequal conditions.</w:t>
      </w:r>
    </w:p>
    <w:p w14:paraId="1835BD5F" w14:textId="77777777" w:rsidR="007446E0" w:rsidRPr="007446E0" w:rsidRDefault="007446E0" w:rsidP="007446E0">
      <w:pPr>
        <w:jc w:val="both"/>
      </w:pPr>
    </w:p>
    <w:p w14:paraId="6B3976E1" w14:textId="77777777" w:rsidR="007446E0" w:rsidRDefault="007446E0" w:rsidP="007446E0">
      <w:pPr>
        <w:jc w:val="both"/>
      </w:pPr>
      <w:r w:rsidRPr="007446E0">
        <w:t>Herzfeld argues that listening to those with whom one disagrees is “the essence of sociability” and a condition of serious intellectual life (Herzfeld, 2025). Listening is not politeness. It is a discipline of knowledge: anthropology depends on hearing claims, experiences, and arguments that unsettle prior assumptions. Herzfeld also insists that academic freedom includes the right to express views that may offend, while retaining responsibility for the consequences of giving offence (Herzfeld, 2025). Ethical regulation can require consent, honesty, and avoidance of harm. It cannot decide in advance how anthropologists should speak in conditions of polarisation, mistrust, and public hostility.</w:t>
      </w:r>
    </w:p>
    <w:p w14:paraId="298B4168" w14:textId="52F28692" w:rsidR="007446E0" w:rsidRDefault="007446E0" w:rsidP="007446E0">
      <w:pPr>
        <w:jc w:val="both"/>
      </w:pPr>
      <w:r>
        <w:t>CHANGE SLIDE</w:t>
      </w:r>
    </w:p>
    <w:p w14:paraId="450399F2" w14:textId="77777777" w:rsidR="007446E0" w:rsidRPr="007446E0" w:rsidRDefault="007446E0" w:rsidP="007446E0">
      <w:pPr>
        <w:jc w:val="both"/>
      </w:pPr>
    </w:p>
    <w:p w14:paraId="16928EE6" w14:textId="77777777" w:rsidR="007446E0" w:rsidRDefault="007446E0" w:rsidP="007446E0">
      <w:pPr>
        <w:jc w:val="both"/>
      </w:pPr>
      <w:r w:rsidRPr="007446E0">
        <w:t>Erickson and Soares describe collaboration with Cabo Verdean communities as difficult, slow, and politically uneven rather than automatically emancipatory. Their account of “dialogic disruptions” treats disagreement as part of collaborative knowledge-making, not as evidence that collaboration has failed (Erickson and Soares, 2026). Working “at trust’s pace” exposes asymmetries between universities, researchers, communities, archives, languages, and histories of extraction (Erickson and Soares, 2026). Collaboration therefore does not solve the problem of speaking for others. It changes the terms of the problem by making authorship, authority, disagreement, and accountability more explicit.</w:t>
      </w:r>
    </w:p>
    <w:p w14:paraId="154C6F38" w14:textId="77777777" w:rsidR="007446E0" w:rsidRPr="007446E0" w:rsidRDefault="007446E0" w:rsidP="007446E0">
      <w:pPr>
        <w:jc w:val="both"/>
      </w:pPr>
    </w:p>
    <w:p w14:paraId="0F80DC75" w14:textId="77777777" w:rsidR="007446E0" w:rsidRDefault="007446E0" w:rsidP="007446E0">
      <w:pPr>
        <w:jc w:val="both"/>
      </w:pPr>
      <w:r w:rsidRPr="007446E0">
        <w:t>González moves the ethical question from research relationships to coercive institutions. His discussion of technologically enabled “secret police” in the United States examines surveillance systems, facial recognition, data extraction, and policing infrastructures as forms of political control (González, 2025). Consent and anonymity cannot address the full scale of that problem. The issue is not only how anthropologists protect research participants, but how anthropological critique responds when policing agencies, security institutions, and data systems reorganise public life through surveillance and repression. Ethical responsibility therefore includes the conditions under which knowledge circulates, is monitored, and can be used against vulnerable populations.</w:t>
      </w:r>
    </w:p>
    <w:p w14:paraId="0B4CCAEE" w14:textId="77777777" w:rsidR="007446E0" w:rsidRPr="007446E0" w:rsidRDefault="007446E0" w:rsidP="007446E0">
      <w:pPr>
        <w:jc w:val="both"/>
      </w:pPr>
    </w:p>
    <w:p w14:paraId="5D96323E" w14:textId="77777777" w:rsidR="007446E0" w:rsidRPr="007446E0" w:rsidRDefault="007446E0" w:rsidP="007446E0">
      <w:pPr>
        <w:jc w:val="both"/>
      </w:pPr>
      <w:r w:rsidRPr="007446E0">
        <w:t>These Anthropology Today pieces show that codification did not settle anthropology’s ethical problems. It made them harder to ignore. The problem of representation now appears in debates over public speech and collaboration. The problem of harm now appears in digital surveillance, policing, and data extraction. The problem of authority now appears in arguments over who speaks, who listens, who is named, and who controls circulation. Contemporary ethics is not a move beyond older controversies. It is the continuation of those controversies under new institutional and technological conditions.</w:t>
      </w:r>
    </w:p>
    <w:p w14:paraId="0A5518CF" w14:textId="77777777" w:rsidR="00064000" w:rsidRDefault="00064000" w:rsidP="006301CA">
      <w:pPr>
        <w:jc w:val="both"/>
      </w:pPr>
    </w:p>
    <w:p w14:paraId="02E2367D" w14:textId="523ADAB9" w:rsidR="006301CA" w:rsidRDefault="00FA7235" w:rsidP="002505FE">
      <w:pPr>
        <w:pStyle w:val="Heading2"/>
      </w:pPr>
      <w:r>
        <w:pict w14:anchorId="621E6C2E">
          <v:rect id="_x0000_i1034" style="width:0;height:1.5pt" o:hralign="center" o:hrstd="t" o:hr="t" fillcolor="#a0a0a0" stroked="f"/>
        </w:pict>
      </w:r>
      <w:r w:rsidR="006301CA">
        <w:t>BREAK (</w:t>
      </w:r>
      <w:r w:rsidR="0057204C">
        <w:t>0</w:t>
      </w:r>
      <w:r w:rsidR="006301CA">
        <w:t>:</w:t>
      </w:r>
      <w:r w:rsidR="0057204C">
        <w:t>4</w:t>
      </w:r>
      <w:r w:rsidR="00307C06">
        <w:t>5</w:t>
      </w:r>
      <w:r w:rsidR="006301CA">
        <w:rPr>
          <w:rFonts w:ascii="Aptos" w:hAnsi="Aptos" w:cs="Aptos"/>
        </w:rPr>
        <w:t>–</w:t>
      </w:r>
      <w:r w:rsidR="0057204C">
        <w:t>0</w:t>
      </w:r>
      <w:r w:rsidR="006301CA">
        <w:t>:</w:t>
      </w:r>
      <w:r w:rsidR="0057204C">
        <w:t>5</w:t>
      </w:r>
      <w:r w:rsidR="006301CA">
        <w:t>0)</w:t>
      </w:r>
    </w:p>
    <w:p w14:paraId="3B510000" w14:textId="77777777" w:rsidR="006301CA" w:rsidRDefault="00FA7235" w:rsidP="006301CA">
      <w:pPr>
        <w:jc w:val="both"/>
      </w:pPr>
      <w:r>
        <w:pict w14:anchorId="4428F934">
          <v:rect id="_x0000_i1035" style="width:0;height:1.5pt" o:hralign="center" o:hrstd="t" o:hr="t" fillcolor="#a0a0a0" stroked="f"/>
        </w:pict>
      </w:r>
    </w:p>
    <w:p w14:paraId="2D79C862" w14:textId="7A67A2AD" w:rsidR="006301CA" w:rsidRDefault="0057204C" w:rsidP="002505FE">
      <w:pPr>
        <w:pStyle w:val="Heading2"/>
      </w:pPr>
      <w:r>
        <w:t>0</w:t>
      </w:r>
      <w:r w:rsidR="002505FE">
        <w:t>:</w:t>
      </w:r>
      <w:r>
        <w:t>5</w:t>
      </w:r>
      <w:r w:rsidR="002505FE">
        <w:t>0–1:</w:t>
      </w:r>
      <w:r w:rsidR="00C33215">
        <w:t>05</w:t>
      </w:r>
      <w:r w:rsidR="002505FE">
        <w:t xml:space="preserve">: </w:t>
      </w:r>
      <w:r w:rsidR="006301CA">
        <w:t xml:space="preserve">PART </w:t>
      </w:r>
      <w:r w:rsidR="002505FE">
        <w:t>3</w:t>
      </w:r>
      <w:r w:rsidR="006301CA">
        <w:t xml:space="preserve"> — ANTHROPOLOGY &amp; STATE POWER </w:t>
      </w:r>
    </w:p>
    <w:p w14:paraId="340933EA" w14:textId="7AD9277D" w:rsidR="006301CA" w:rsidRDefault="00FA7235" w:rsidP="002505FE">
      <w:pPr>
        <w:pStyle w:val="Heading3"/>
      </w:pPr>
      <w:r>
        <w:pict w14:anchorId="72ED1E39">
          <v:rect id="_x0000_i1036" style="width:0;height:1.5pt" o:hralign="center" o:hrstd="t" o:hr="t" fillcolor="#a0a0a0" stroked="f"/>
        </w:pict>
      </w:r>
      <w:r w:rsidR="006A0DFD">
        <w:t>1.</w:t>
      </w:r>
      <w:r w:rsidR="006301CA">
        <w:t xml:space="preserve"> Project Camelot</w:t>
      </w:r>
    </w:p>
    <w:p w14:paraId="300104DB" w14:textId="77777777" w:rsidR="00F1040A" w:rsidRDefault="00F1040A" w:rsidP="00F1040A">
      <w:pPr>
        <w:jc w:val="both"/>
      </w:pPr>
      <w:r w:rsidRPr="00F1040A">
        <w:t>Project Camelot was a US Army-funded social science programme launched in the mid-1960s to predict and manage political instability during the Cold War. Its concern was not social life in general, but the conditions under which revolution, insurgency, anti-government mobilisation, or anti-US political movements might emerge. Researchers were asked to produce knowledge about social structure, political behaviour, leadership, communication, legitimacy, and unrest. Social inquiry was being organised as strategic knowledge: a way of making conflict, grievance, and mobilisation more predictable to US military planners (Horowitz, 1967; Price, 2008).</w:t>
      </w:r>
    </w:p>
    <w:p w14:paraId="3308C532" w14:textId="77777777" w:rsidR="00F1040A" w:rsidRPr="00F1040A" w:rsidRDefault="00F1040A" w:rsidP="00F1040A">
      <w:pPr>
        <w:jc w:val="both"/>
      </w:pPr>
    </w:p>
    <w:p w14:paraId="32241416" w14:textId="77777777" w:rsidR="00F1040A" w:rsidRDefault="00F1040A" w:rsidP="00F1040A">
      <w:pPr>
        <w:jc w:val="both"/>
      </w:pPr>
      <w:r w:rsidRPr="00F1040A">
        <w:t>The ethical problem lay in the design of the research itself. Funding was important, but the deeper problem was political purpose. Camelot did not begin as open-ended academic inquiry later misused by others. Its questions were shaped from the outset by the desire to anticipate instability and support counterinsurgency planning. Terms such as ‘development’, ‘modernisation’, and ‘stability’ made the project sound technical, but they sat inside a Cold War framework in which US military and policy institutions sought to identify and contain movements treated as politically threatening. Research was being organised around prediction, influence, and control.</w:t>
      </w:r>
    </w:p>
    <w:p w14:paraId="7881EED3" w14:textId="0D1E2C06" w:rsidR="00F1040A" w:rsidRDefault="00F1040A" w:rsidP="00F1040A">
      <w:pPr>
        <w:jc w:val="both"/>
      </w:pPr>
      <w:r>
        <w:t>CHANGE SLIDE</w:t>
      </w:r>
    </w:p>
    <w:p w14:paraId="5B18BE47" w14:textId="77777777" w:rsidR="00F1040A" w:rsidRPr="00F1040A" w:rsidRDefault="00F1040A" w:rsidP="00F1040A">
      <w:pPr>
        <w:jc w:val="both"/>
      </w:pPr>
    </w:p>
    <w:p w14:paraId="2D235142" w14:textId="77777777" w:rsidR="00F1040A" w:rsidRDefault="00F1040A" w:rsidP="00F1040A">
      <w:pPr>
        <w:jc w:val="both"/>
      </w:pPr>
      <w:r w:rsidRPr="00F1040A">
        <w:t>The project became internationally controversial when its military connection was exposed in Chile in 1965. Chilean scholars and politicians objected that academic social research was being linked to a foreign military apparatus concerned with political unrest and regime stability. The boundary between scholarship and intervention collapsed once the intended military use of the research became visible. Social science appeared less as neutral analysis than as a tool of geopolitical management. The Chilean controversy gave the case wider force because it showed how research on another society could become entangled with external power over that society (Horowitz, 1967).</w:t>
      </w:r>
    </w:p>
    <w:p w14:paraId="766955E9" w14:textId="77777777" w:rsidR="00F1040A" w:rsidRPr="00F1040A" w:rsidRDefault="00F1040A" w:rsidP="00F1040A">
      <w:pPr>
        <w:jc w:val="both"/>
      </w:pPr>
    </w:p>
    <w:p w14:paraId="3EF10C78" w14:textId="77777777" w:rsidR="00F1040A" w:rsidRDefault="00F1040A" w:rsidP="00F1040A">
      <w:pPr>
        <w:jc w:val="both"/>
      </w:pPr>
      <w:r w:rsidRPr="00F1040A">
        <w:t>Camelot was not narrowly an anthropology project, but it raised a problem anthropology could not avoid. Anthropologists often study local authority, conflict, obligation, religion, kinship, communication, mistrust, and political grievance in fine-grained detail. That knowledge can support careful interpretation. It can also be attractive to military, intelligence, and policy institutions seeking to govern populations, predict unrest, or manage opposition. Camelot exposed the strategic value of contextual social knowledge. Interpretive or humanistic method did not place social research safely outside political use (Price, 2008).</w:t>
      </w:r>
    </w:p>
    <w:p w14:paraId="3E3972F7" w14:textId="77777777" w:rsidR="00F1040A" w:rsidRPr="00F1040A" w:rsidRDefault="00F1040A" w:rsidP="00F1040A">
      <w:pPr>
        <w:jc w:val="both"/>
      </w:pPr>
    </w:p>
    <w:p w14:paraId="407839FA" w14:textId="77777777" w:rsidR="00F1040A" w:rsidRPr="00F1040A" w:rsidRDefault="00F1040A" w:rsidP="00F1040A">
      <w:pPr>
        <w:jc w:val="both"/>
      </w:pPr>
      <w:r w:rsidRPr="00F1040A">
        <w:t>Camelot therefore gives this section one precise lesson: research may be ethically compromised before fieldwork begins. Compromise may lie in the sponsor, the research questions, the intended audience, or the institutional destination of the findings. Careful methods and sincere researchers cannot remove that problem when the project is designed to serve military strategy. Camelot shows research shaped for state strategy. The Human Terrain System takes the problem further by placing anthropological and social-scientific methods directly inside military operations.</w:t>
      </w:r>
    </w:p>
    <w:p w14:paraId="76EADD82" w14:textId="31752F1A" w:rsidR="006301CA" w:rsidRDefault="006301CA" w:rsidP="006301CA">
      <w:pPr>
        <w:jc w:val="both"/>
      </w:pPr>
    </w:p>
    <w:p w14:paraId="2B40B020" w14:textId="77777777" w:rsidR="006301CA" w:rsidRDefault="00FA7235" w:rsidP="006301CA">
      <w:pPr>
        <w:jc w:val="both"/>
      </w:pPr>
      <w:r>
        <w:pict w14:anchorId="0DAD64D9">
          <v:rect id="_x0000_i1037" style="width:0;height:1.5pt" o:hralign="center" o:hrstd="t" o:hr="t" fillcolor="#a0a0a0" stroked="f"/>
        </w:pict>
      </w:r>
    </w:p>
    <w:p w14:paraId="6BB184AE" w14:textId="32DA4B02" w:rsidR="006301CA" w:rsidRDefault="006A0DFD" w:rsidP="002505FE">
      <w:pPr>
        <w:pStyle w:val="Heading3"/>
      </w:pPr>
      <w:r>
        <w:t>2.</w:t>
      </w:r>
      <w:r w:rsidR="006301CA">
        <w:t xml:space="preserve"> Human Terrain System</w:t>
      </w:r>
    </w:p>
    <w:p w14:paraId="453405EB" w14:textId="77777777" w:rsidR="00D511F8" w:rsidRDefault="00D511F8" w:rsidP="00D511F8">
      <w:pPr>
        <w:jc w:val="both"/>
      </w:pPr>
      <w:r w:rsidRPr="00D511F8">
        <w:t>The Human Terrain System placed anthropologists and other social scientists inside US military operations in Iraq and Afghanistan from 2007. Human Terrain Teams were attached to brigade and regimental combat units and were expected to provide commanders with knowledge about local populations, social relations, political authority, grievances, and cultural practice (González, 2020). Camelot had shown how social research could be shaped by military strategy before fieldwork began. HTS placed social research inside the military chain of command itself.</w:t>
      </w:r>
    </w:p>
    <w:p w14:paraId="10F6C24D" w14:textId="77777777" w:rsidR="00D511F8" w:rsidRPr="00D511F8" w:rsidRDefault="00D511F8" w:rsidP="00D511F8">
      <w:pPr>
        <w:jc w:val="both"/>
      </w:pPr>
    </w:p>
    <w:p w14:paraId="77D3EF05" w14:textId="77777777" w:rsidR="00D511F8" w:rsidRDefault="00D511F8" w:rsidP="00D511F8">
      <w:pPr>
        <w:jc w:val="both"/>
      </w:pPr>
      <w:r w:rsidRPr="00D511F8">
        <w:t>The Human Terrain Team Handbook stated the programme’s purpose openly. Teams were designed to fill commanders’ “cultural knowledge gap” and provide “operationally-relevant human terrain information” for planning, decision-making, and assessment (Human Terrain Team Handbook, 2008). The phrase is ethically decisive. The knowledge was not being gathered for independent scholarship, public accountability, or ordinary ethnographic understanding. It was being produced for military use. Social relations, local grievances, kinship, leadership, religious authority, and political suspicion became information that could help commanders act more effectively.</w:t>
      </w:r>
    </w:p>
    <w:p w14:paraId="211206DC" w14:textId="77777777" w:rsidR="00D511F8" w:rsidRDefault="00D511F8" w:rsidP="00D511F8">
      <w:pPr>
        <w:jc w:val="both"/>
      </w:pPr>
      <w:r>
        <w:t>CHANGE SLIDE</w:t>
      </w:r>
    </w:p>
    <w:p w14:paraId="5C1EB4FC" w14:textId="77777777" w:rsidR="00D511F8" w:rsidRPr="00D511F8" w:rsidRDefault="00D511F8" w:rsidP="00D511F8">
      <w:pPr>
        <w:jc w:val="both"/>
      </w:pPr>
    </w:p>
    <w:p w14:paraId="18858D2D" w14:textId="77777777" w:rsidR="00D511F8" w:rsidRDefault="00D511F8" w:rsidP="00D511F8">
      <w:pPr>
        <w:jc w:val="both"/>
      </w:pPr>
      <w:r w:rsidRPr="00D511F8">
        <w:t>The methods also created the controversy. The handbook described Human Terrain Teams as using familiar social-scientific techniques, including semi-structured interviews, open-ended interviews, surveys, text analysis, and participant observation (Human Terrain Team Handbook, 2008). These are ordinary research methods in many university settings. Their ethical meaning changes when they are carried out by personnel attached to armed units in occupied or conflict-affected areas. A conversation with a researcher is not the same kind of encounter when the researcher is linked to military command, patrols, intelligence systems, and counterinsurgency planning.</w:t>
      </w:r>
    </w:p>
    <w:p w14:paraId="45F87956" w14:textId="77777777" w:rsidR="00D511F8" w:rsidRPr="00D511F8" w:rsidRDefault="00D511F8" w:rsidP="00D511F8">
      <w:pPr>
        <w:jc w:val="both"/>
      </w:pPr>
    </w:p>
    <w:p w14:paraId="5685C2A6" w14:textId="77777777" w:rsidR="00D511F8" w:rsidRDefault="00D511F8" w:rsidP="00D511F8">
      <w:pPr>
        <w:jc w:val="both"/>
      </w:pPr>
      <w:r w:rsidRPr="00D511F8">
        <w:t>Informed consent becomes unstable under those conditions. A person speaking to a Human Terrain researcher could not easily know where information would go, how it might be interpreted, or whether it could affect military action. Refusal was also complicated by the unequal setting in which the encounter occurred. Confidentiality was equally fragile. Information about local leaders, disputes, movements, grievances, alliances, or mistrust might be translated into operational knowledge. Even when no direct targeting was intended, the information could still contribute to population management, surveillance, or tactical decision-making.</w:t>
      </w:r>
    </w:p>
    <w:p w14:paraId="4081DE7C" w14:textId="77777777" w:rsidR="00D511F8" w:rsidRDefault="00D511F8" w:rsidP="00D511F8">
      <w:pPr>
        <w:jc w:val="both"/>
      </w:pPr>
      <w:r>
        <w:t>CHANGE SLIDE</w:t>
      </w:r>
    </w:p>
    <w:p w14:paraId="6D7F1CD4" w14:textId="77777777" w:rsidR="00D511F8" w:rsidRPr="00D511F8" w:rsidRDefault="00D511F8" w:rsidP="00D511F8">
      <w:pPr>
        <w:jc w:val="both"/>
      </w:pPr>
    </w:p>
    <w:p w14:paraId="64894932" w14:textId="77777777" w:rsidR="00D511F8" w:rsidRDefault="00D511F8" w:rsidP="00D511F8">
      <w:pPr>
        <w:jc w:val="both"/>
      </w:pPr>
      <w:r w:rsidRPr="00D511F8">
        <w:t>The American Anthropological Association objected to HTS because it created conflicting obligations that could not be resolved by ordinary research protocols. Anthropological ethics requires responsibility to the people with whom research is conducted, including duties of openness, informed consent, and avoidance of harm. Military service requires responsibility to command objectives. HTS placed those obligations inside the same role. González argues that the programme made anthropological expertise serve occupation and counterinsurgency, while presenting that service as culturally informed and humanitarian (González, 2020). The problem was not only misuse of anthropology. It was anthropology reorganised as an operational tool.</w:t>
      </w:r>
    </w:p>
    <w:p w14:paraId="4412C8E5" w14:textId="77777777" w:rsidR="00D511F8" w:rsidRPr="00D511F8" w:rsidRDefault="00D511F8" w:rsidP="00D511F8">
      <w:pPr>
        <w:jc w:val="both"/>
      </w:pPr>
    </w:p>
    <w:p w14:paraId="01C9FCC7" w14:textId="77777777" w:rsidR="00D511F8" w:rsidRDefault="00D511F8" w:rsidP="00D511F8">
      <w:pPr>
        <w:jc w:val="both"/>
      </w:pPr>
      <w:r w:rsidRPr="00D511F8">
        <w:t>Supporters of HTS claimed that cultural knowledge could reduce violence. If commanders understood local customs, authority structures, grievances, and misunderstandings, they might avoid unnecessary force and make better decisions. That claim gave the programme much of its public legitimacy. It presented anthropology as a way to make war more precise, restrained, and culturally sensitive. Critics objected that this language softened the reality of military occupation. Cultural understanding could reduce some tactical errors while still strengthening counterinsurgency. A programme can appear humane at the level of method while remaining coercive at the level of institutional purpose.</w:t>
      </w:r>
    </w:p>
    <w:p w14:paraId="14BBB302" w14:textId="77777777" w:rsidR="00D511F8" w:rsidRDefault="00D511F8" w:rsidP="00D511F8">
      <w:pPr>
        <w:jc w:val="both"/>
      </w:pPr>
      <w:r>
        <w:t>CHANGE SLIDE</w:t>
      </w:r>
    </w:p>
    <w:p w14:paraId="01A0E69C" w14:textId="77777777" w:rsidR="00D511F8" w:rsidRPr="00D511F8" w:rsidRDefault="00D511F8" w:rsidP="00D511F8">
      <w:pPr>
        <w:jc w:val="both"/>
      </w:pPr>
    </w:p>
    <w:p w14:paraId="3CF30A34" w14:textId="77777777" w:rsidR="00D511F8" w:rsidRDefault="00D511F8" w:rsidP="00D511F8">
      <w:pPr>
        <w:jc w:val="both"/>
      </w:pPr>
      <w:r w:rsidRPr="00D511F8">
        <w:t xml:space="preserve">Price and </w:t>
      </w:r>
      <w:proofErr w:type="spellStart"/>
      <w:r w:rsidRPr="00D511F8">
        <w:t>Gusterson</w:t>
      </w:r>
      <w:proofErr w:type="spellEnd"/>
      <w:r w:rsidRPr="00D511F8">
        <w:t xml:space="preserve"> place HTS within a longer history of military interest in anthropological knowledge (Gusterson, 2007; Price, 2011). Armies and intelligence institutions value information about trust, authority, belief, grievance, kinship, language, and local political life because such knowledge can make populations more governable. HTS made that attraction explicit. It did not merely ask anthropologists to comment on war from outside. It asked social scientists to enter the machinery of war and provide knowledge that could assist operations. The distinction is fundamental: anthropology can study militarism, occupation, and violence; serving those structures from within produces a different ethical position.</w:t>
      </w:r>
    </w:p>
    <w:p w14:paraId="29A2D027" w14:textId="77777777" w:rsidR="00D511F8" w:rsidRPr="00D511F8" w:rsidRDefault="00D511F8" w:rsidP="00D511F8">
      <w:pPr>
        <w:jc w:val="both"/>
      </w:pPr>
    </w:p>
    <w:p w14:paraId="52DB314D" w14:textId="77777777" w:rsidR="00D511F8" w:rsidRPr="00D511F8" w:rsidRDefault="00D511F8" w:rsidP="00D511F8">
      <w:pPr>
        <w:jc w:val="both"/>
      </w:pPr>
      <w:r w:rsidRPr="00D511F8">
        <w:t>HTS therefore sharpened the ethical question left by Camelot. Camelot showed how research could be designed for strategic state purposes. HTS showed how ethnographic techniques could be inserted into armed operations. The ethical problem did not depend on whether individual researchers were sincere, careful, or personally opposed to unnecessary harm. The institutional setting defined the work. When interviews, cultural analysis, and participant observation are subordinated to military command, anthropology’s ordinary claims about trust, openness, and responsibility become difficult to sustain.</w:t>
      </w:r>
    </w:p>
    <w:p w14:paraId="56950C36" w14:textId="77777777" w:rsidR="000678A4" w:rsidRDefault="000678A4" w:rsidP="006301CA">
      <w:pPr>
        <w:jc w:val="both"/>
      </w:pPr>
    </w:p>
    <w:p w14:paraId="031879BC" w14:textId="77777777" w:rsidR="006301CA" w:rsidRDefault="00FA7235" w:rsidP="006301CA">
      <w:pPr>
        <w:jc w:val="both"/>
      </w:pPr>
      <w:r>
        <w:pict w14:anchorId="5002A149">
          <v:rect id="_x0000_i1039" style="width:0;height:1.5pt" o:hralign="center" o:hrstd="t" o:hr="t" fillcolor="#a0a0a0" stroked="f"/>
        </w:pict>
      </w:r>
    </w:p>
    <w:p w14:paraId="5D02D106" w14:textId="31AF9BC7" w:rsidR="006301CA" w:rsidRDefault="00057DE5" w:rsidP="00057DE5">
      <w:pPr>
        <w:pStyle w:val="Heading2"/>
      </w:pPr>
      <w:r>
        <w:t>1:</w:t>
      </w:r>
      <w:r w:rsidR="00175763">
        <w:t>0</w:t>
      </w:r>
      <w:r w:rsidR="00307C06">
        <w:t>5</w:t>
      </w:r>
      <w:r>
        <w:t>–</w:t>
      </w:r>
      <w:r w:rsidR="00325115">
        <w:t>1</w:t>
      </w:r>
      <w:r w:rsidR="00307C06">
        <w:t>:</w:t>
      </w:r>
      <w:r w:rsidR="00325115">
        <w:t>3</w:t>
      </w:r>
      <w:r w:rsidR="00307C06">
        <w:t>0</w:t>
      </w:r>
      <w:r>
        <w:t xml:space="preserve">: </w:t>
      </w:r>
      <w:r w:rsidR="006301CA">
        <w:t xml:space="preserve">PART </w:t>
      </w:r>
      <w:r>
        <w:t>4</w:t>
      </w:r>
      <w:r w:rsidR="00325115">
        <w:t>:</w:t>
      </w:r>
      <w:r w:rsidR="006301CA">
        <w:t xml:space="preserve"> ADVOCACY, MILITANCY</w:t>
      </w:r>
      <w:r w:rsidR="00325115">
        <w:t xml:space="preserve">, </w:t>
      </w:r>
      <w:r w:rsidR="006301CA">
        <w:t xml:space="preserve">PUBLIC RESPONSIBILITY </w:t>
      </w:r>
    </w:p>
    <w:p w14:paraId="5019C812" w14:textId="77777777" w:rsidR="006301CA" w:rsidRDefault="00FA7235" w:rsidP="006301CA">
      <w:pPr>
        <w:jc w:val="both"/>
      </w:pPr>
      <w:r>
        <w:pict w14:anchorId="0FF2602A">
          <v:rect id="_x0000_i1040" style="width:0;height:1.5pt" o:hralign="center" o:hrstd="t" o:hr="t" fillcolor="#a0a0a0" stroked="f"/>
        </w:pict>
      </w:r>
    </w:p>
    <w:p w14:paraId="081D32CF" w14:textId="59C12F0C" w:rsidR="006301CA" w:rsidRDefault="006A0DFD" w:rsidP="00057DE5">
      <w:pPr>
        <w:pStyle w:val="Heading3"/>
      </w:pPr>
      <w:r>
        <w:t>1.</w:t>
      </w:r>
      <w:r w:rsidR="006301CA">
        <w:t xml:space="preserve"> Militant Anthropology</w:t>
      </w:r>
    </w:p>
    <w:p w14:paraId="1799B26A" w14:textId="77777777" w:rsidR="00310DD3" w:rsidRDefault="00310DD3" w:rsidP="00310DD3">
      <w:pPr>
        <w:jc w:val="both"/>
      </w:pPr>
      <w:r w:rsidRPr="00310DD3">
        <w:t>Detachment can become ethically inadequate when anthropology encounters organised suffering. Forced displacement, chronic hunger, police violence, racialised abandonment, and the destruction of livelihoods are not only topics for interpretation. They are conditions in which people are harmed by identifiable institutions, histories, and political decisions. Analytical restraint remains necessary, because moral certainty can flatten complexity. Yet restraint can also become avoidance when it allows the anthropologist to describe injury without recognising the obligations created by witnessing it.</w:t>
      </w:r>
    </w:p>
    <w:p w14:paraId="47DBF13E" w14:textId="77777777" w:rsidR="00310DD3" w:rsidRPr="00310DD3" w:rsidRDefault="00310DD3" w:rsidP="00310DD3">
      <w:pPr>
        <w:jc w:val="both"/>
      </w:pPr>
    </w:p>
    <w:p w14:paraId="7E5E564F" w14:textId="77777777" w:rsidR="00310DD3" w:rsidRDefault="00310DD3" w:rsidP="00310DD3">
      <w:pPr>
        <w:jc w:val="both"/>
      </w:pPr>
      <w:r w:rsidRPr="00310DD3">
        <w:t>Scheper-Hughes argues that anthropology cannot secure its seriousness by remaining morally unmarked. In contexts of violence, hunger, terror, or radical inequality, the anthropologist is not observing neutral cultural difference. They are encountering lives shaped by injury and domination. A refusal to judge, witness, or speak can then become a professionalised form of indifference (Scheper-Hughes, 1995). Her critique does not reject careful ethnography. It rejects the assumption that careful ethnography requires moral silence.</w:t>
      </w:r>
    </w:p>
    <w:p w14:paraId="57D8C5EC" w14:textId="74A70519" w:rsidR="00310DD3" w:rsidRDefault="00310DD3" w:rsidP="00310DD3">
      <w:pPr>
        <w:jc w:val="both"/>
      </w:pPr>
      <w:r>
        <w:t>CHANGE SLIDE</w:t>
      </w:r>
    </w:p>
    <w:p w14:paraId="095040D4" w14:textId="77777777" w:rsidR="00310DD3" w:rsidRPr="00310DD3" w:rsidRDefault="00310DD3" w:rsidP="00310DD3">
      <w:pPr>
        <w:jc w:val="both"/>
      </w:pPr>
    </w:p>
    <w:p w14:paraId="042211AF" w14:textId="77777777" w:rsidR="00310DD3" w:rsidRDefault="00310DD3" w:rsidP="00310DD3">
      <w:pPr>
        <w:jc w:val="both"/>
      </w:pPr>
      <w:r w:rsidRPr="00310DD3">
        <w:t>Anthropology’s caution about moral judgement has a clear disciplinary reason. Researchers are trained to resist ethnocentrism, premature condemnation, and the assumption that their own categories of justice apply everywhere. That caution protects analysis from arrogance. Scheper-Hughes identifies the opposite danger: a discipline so afraid of judgement that it turns suffering into data while withholding any response to the suffering itself. An ethnography may be subtle, reflexive, and methodologically rigorous, yet still fail ethically if it converts other people’s pain into academic insight without recognising that pain as a claim on the researcher.</w:t>
      </w:r>
    </w:p>
    <w:p w14:paraId="18FFECAA" w14:textId="77777777" w:rsidR="00310DD3" w:rsidRPr="00310DD3" w:rsidRDefault="00310DD3" w:rsidP="00310DD3">
      <w:pPr>
        <w:jc w:val="both"/>
      </w:pPr>
    </w:p>
    <w:p w14:paraId="2A0D1927" w14:textId="77777777" w:rsidR="00310DD3" w:rsidRDefault="00310DD3" w:rsidP="00310DD3">
      <w:pPr>
        <w:jc w:val="both"/>
      </w:pPr>
      <w:r w:rsidRPr="00310DD3">
        <w:t>Militant anthropology is anthropology committed to moral witnessing in situations of violence, abandonment, and dehumanisation. It does not abandon evidence, complexity, or ethnographic discipline. It refuses to treat cruelty as merely another local meaning to be interpreted. Scheper-Hughes describes an anthropology willing to register some conditions as ethically intolerable, not only culturally intelligible (Scheper-Hughes, 1995). Militancy here refers to commitment rather than aggression. It asks whether anthropology should be answerable only to professional standards, or also to the people whose damaged worlds make anthropological knowledge possible.</w:t>
      </w:r>
    </w:p>
    <w:p w14:paraId="06231E3C" w14:textId="77777777" w:rsidR="00310DD3" w:rsidRDefault="00310DD3" w:rsidP="00310DD3">
      <w:pPr>
        <w:jc w:val="both"/>
      </w:pPr>
      <w:r>
        <w:t>CHANGE SLIDE</w:t>
      </w:r>
    </w:p>
    <w:p w14:paraId="48447AAD" w14:textId="77777777" w:rsidR="00310DD3" w:rsidRPr="00310DD3" w:rsidRDefault="00310DD3" w:rsidP="00310DD3">
      <w:pPr>
        <w:jc w:val="both"/>
      </w:pPr>
    </w:p>
    <w:p w14:paraId="538AB7F2" w14:textId="77777777" w:rsidR="00310DD3" w:rsidRDefault="00310DD3" w:rsidP="00310DD3">
      <w:pPr>
        <w:jc w:val="both"/>
      </w:pPr>
      <w:r w:rsidRPr="00310DD3">
        <w:t>Procedural ethics cannot settle that question. Codes can require consent, honesty, avoidance of harm, confidentiality, and attention to conflicting obligations. Those principles establish minimum responsibilities. They do not decide how an anthropologist should act when public authorities, police forces, employers, militias, welfare systems, or humanitarian agencies produce suffering as a routine condition of life. A researcher may comply with procedural requirements and still remain ethically evasive if detachment protects existing power from criticism.</w:t>
      </w:r>
    </w:p>
    <w:p w14:paraId="6D45660A" w14:textId="77777777" w:rsidR="00310DD3" w:rsidRPr="00310DD3" w:rsidRDefault="00310DD3" w:rsidP="00310DD3">
      <w:pPr>
        <w:jc w:val="both"/>
      </w:pPr>
    </w:p>
    <w:p w14:paraId="0BBFA365" w14:textId="77777777" w:rsidR="00310DD3" w:rsidRDefault="00310DD3" w:rsidP="00310DD3">
      <w:pPr>
        <w:jc w:val="both"/>
      </w:pPr>
      <w:r w:rsidRPr="00310DD3">
        <w:t>Hale treats activist research as a difficult form of scholarship rather than a morally pure alternative to conventional anthropology. Work with Indigenous land rights struggles may deepen accountability to the people with whom the researcher works, but it also creates tensions between solidarity and critique, political commitment and analytical independence, movement priorities and academic interpretation (Hale, 2006). Engagement does not remove ethical difficulty. It relocates it into explicit negotiation over accountability, disagreement, and the political uses of research.</w:t>
      </w:r>
    </w:p>
    <w:p w14:paraId="70C1DCBB" w14:textId="77777777" w:rsidR="00310DD3" w:rsidRDefault="00310DD3" w:rsidP="00310DD3">
      <w:pPr>
        <w:jc w:val="both"/>
      </w:pPr>
      <w:r>
        <w:t>CHANGE SLIDE</w:t>
      </w:r>
    </w:p>
    <w:p w14:paraId="372A6718" w14:textId="77777777" w:rsidR="00310DD3" w:rsidRPr="00310DD3" w:rsidRDefault="00310DD3" w:rsidP="00310DD3">
      <w:pPr>
        <w:jc w:val="both"/>
      </w:pPr>
    </w:p>
    <w:p w14:paraId="51EC236C" w14:textId="77777777" w:rsidR="00310DD3" w:rsidRDefault="00310DD3" w:rsidP="00310DD3">
      <w:pPr>
        <w:jc w:val="both"/>
      </w:pPr>
      <w:r w:rsidRPr="00310DD3">
        <w:t>Speed makes the same problem visible in human rights work. Critically engaged anthropology may contribute to testimony, claims-making, advocacy, and the exposure of abuse. It must still retain analytical rigour, because anthropology loses force if it becomes only affirmation or campaign language. Speed’s argument keeps the central tension intact: communities facing violence, exclusion, or denial may need forms of knowledge that support political struggle, but the anthropologist must still analyse the conditions, contradictions, and limits of that struggle (Speed, 2006).</w:t>
      </w:r>
    </w:p>
    <w:p w14:paraId="2BA6B509" w14:textId="77777777" w:rsidR="00310DD3" w:rsidRPr="00310DD3" w:rsidRDefault="00310DD3" w:rsidP="00310DD3">
      <w:pPr>
        <w:jc w:val="both"/>
      </w:pPr>
    </w:p>
    <w:p w14:paraId="6B17B5E1" w14:textId="77777777" w:rsidR="00310DD3" w:rsidRDefault="00310DD3" w:rsidP="00310DD3">
      <w:pPr>
        <w:jc w:val="both"/>
      </w:pPr>
      <w:r w:rsidRPr="00310DD3">
        <w:t>Militant anthropology changes the question from whether the researcher followed procedure to whether their form of presence was adequate to the world they entered. Neutrality may protect analysis in some field sites. In others, neutrality protects the analyst from the consequences of taking a position. The ethical problem is not solved by making every ethnographer an activist. It is sharpened by asking when detachment clarifies social life and when it becomes a refusal to respond to organised harm.</w:t>
      </w:r>
    </w:p>
    <w:p w14:paraId="6CA4869F" w14:textId="77777777" w:rsidR="00310DD3" w:rsidRPr="00310DD3" w:rsidRDefault="00310DD3" w:rsidP="00310DD3">
      <w:pPr>
        <w:jc w:val="both"/>
      </w:pPr>
    </w:p>
    <w:p w14:paraId="07A97C2B" w14:textId="77777777" w:rsidR="00310DD3" w:rsidRPr="00310DD3" w:rsidRDefault="00310DD3" w:rsidP="00310DD3">
      <w:pPr>
        <w:jc w:val="both"/>
      </w:pPr>
      <w:r w:rsidRPr="00310DD3">
        <w:t>Ethics does not end with compliance. Consent forms, review boards, professional codes, and careful methods remain necessary, but they do not exhaust responsibility. Scheper-Hughes, Hale, and Speed each force anthropology to confront the same difficult condition: knowledge is produced in relation to people who may be struggling against violence, dispossession, hunger, or official denial. In such settings, anthropology’s credibility depends not only on how carefully it describes the world, but on whether it can recognise what that world demands.</w:t>
      </w:r>
    </w:p>
    <w:p w14:paraId="24CD7034" w14:textId="77777777" w:rsidR="006A0DFD" w:rsidRDefault="006A0DFD" w:rsidP="006301CA">
      <w:pPr>
        <w:jc w:val="both"/>
      </w:pPr>
    </w:p>
    <w:p w14:paraId="22B78C7F" w14:textId="028E83FB" w:rsidR="006301CA" w:rsidRDefault="00FA7235" w:rsidP="00057DE5">
      <w:pPr>
        <w:pStyle w:val="Heading3"/>
      </w:pPr>
      <w:r>
        <w:pict w14:anchorId="605FDB49">
          <v:rect id="_x0000_i1041" style="width:0;height:1.5pt" o:hralign="center" o:hrstd="t" o:hr="t" fillcolor="#a0a0a0" stroked="f"/>
        </w:pict>
      </w:r>
      <w:r w:rsidR="005C1E1C">
        <w:t>2.</w:t>
      </w:r>
      <w:r w:rsidR="006301CA">
        <w:t xml:space="preserve"> Anthropology in the Public Sphere</w:t>
      </w:r>
    </w:p>
    <w:p w14:paraId="3687CF1B" w14:textId="77777777" w:rsidR="001D303E" w:rsidRDefault="001D303E" w:rsidP="001D303E">
      <w:pPr>
        <w:jc w:val="both"/>
      </w:pPr>
      <w:r w:rsidRPr="001D303E">
        <w:t xml:space="preserve">Anthropological research acquires new ethical force once it circulates beyond the </w:t>
      </w:r>
      <w:proofErr w:type="spellStart"/>
      <w:r w:rsidRPr="001D303E">
        <w:t>fieldsite</w:t>
      </w:r>
      <w:proofErr w:type="spellEnd"/>
      <w:r w:rsidRPr="001D303E">
        <w:t>. Ethnographic writing moves through classrooms, journalism, policy debate, activism, courts, museums, documentary media, podcasts, and digital platforms. Public circulation changes the audience and the consequences of description. A claim first produced through fieldwork may later shape how a community, institution, conflict, or form of suffering is understood by people who have no direct relation to those described. Ethics therefore includes reception: the ways anthropological knowledge is read, repeated, simplified, challenged, appropriated, or used after publication.</w:t>
      </w:r>
    </w:p>
    <w:p w14:paraId="2C54C0C5" w14:textId="77777777" w:rsidR="001D303E" w:rsidRPr="001D303E" w:rsidRDefault="001D303E" w:rsidP="001D303E">
      <w:pPr>
        <w:jc w:val="both"/>
      </w:pPr>
    </w:p>
    <w:p w14:paraId="1321089E" w14:textId="77777777" w:rsidR="001D303E" w:rsidRDefault="001D303E" w:rsidP="001D303E">
      <w:pPr>
        <w:jc w:val="both"/>
      </w:pPr>
      <w:r w:rsidRPr="001D303E">
        <w:t>Public anthropology means anthropological work addressed to audiences beyond the discipline. Checker argues that anthropology’s public role has become more urgent because debates over inequality, race, environment, citizenship, health, migration, and violence are already saturated with competing claims to expertise and moral authority (Checker, 2009). Anthropology does not need publicity for its own sake. It needs forms of public argument capable of resisting stereotype, administrative simplification, moral panic, and abstract policy language. Ethnographic knowledge can show how public problems are lived in households, workplaces, clinics, borders, streets, forests, schools, and bureaucratic encounters.</w:t>
      </w:r>
    </w:p>
    <w:p w14:paraId="6372AFA0" w14:textId="180FE447" w:rsidR="001D303E" w:rsidRDefault="001D303E" w:rsidP="001D303E">
      <w:pPr>
        <w:jc w:val="both"/>
      </w:pPr>
      <w:r>
        <w:t>CHANGE SLIDE</w:t>
      </w:r>
    </w:p>
    <w:p w14:paraId="28EFFDB6" w14:textId="77777777" w:rsidR="001D303E" w:rsidRPr="001D303E" w:rsidRDefault="001D303E" w:rsidP="001D303E">
      <w:pPr>
        <w:jc w:val="both"/>
      </w:pPr>
    </w:p>
    <w:p w14:paraId="755445A6" w14:textId="77777777" w:rsidR="001D303E" w:rsidRDefault="001D303E" w:rsidP="001D303E">
      <w:pPr>
        <w:jc w:val="both"/>
      </w:pPr>
      <w:proofErr w:type="spellStart"/>
      <w:r w:rsidRPr="001D303E">
        <w:t>Fassin</w:t>
      </w:r>
      <w:proofErr w:type="spellEnd"/>
      <w:r w:rsidRPr="001D303E">
        <w:t xml:space="preserve"> argues that ethnography matters publicly because it offers a disciplined account of lived worlds, not because it supplies quick opinion (</w:t>
      </w:r>
      <w:proofErr w:type="spellStart"/>
      <w:r w:rsidRPr="001D303E">
        <w:t>Fassin</w:t>
      </w:r>
      <w:proofErr w:type="spellEnd"/>
      <w:r w:rsidRPr="001D303E">
        <w:t>, 2013). Anthropology’s public strength lies in proximity, duration, attention to everyday life, and the capacity to connect intimate experience with larger structures. That strength can be lost in two ways. The first is academic enclosure, where anthropologists write only for specialists and leave public debate to cruder accounts of social life. The second is public simplification, where ethnographic complexity is flattened in order to become media-friendly. Public anthropology has to make ethnographic depth intelligible without abandoning the complexity that gives it value.</w:t>
      </w:r>
    </w:p>
    <w:p w14:paraId="79F6CFF3" w14:textId="77777777" w:rsidR="001D303E" w:rsidRPr="001D303E" w:rsidRDefault="001D303E" w:rsidP="001D303E">
      <w:pPr>
        <w:jc w:val="both"/>
      </w:pPr>
    </w:p>
    <w:p w14:paraId="3D00F09C" w14:textId="77777777" w:rsidR="001D303E" w:rsidRDefault="001D303E" w:rsidP="001D303E">
      <w:pPr>
        <w:jc w:val="both"/>
      </w:pPr>
      <w:r w:rsidRPr="001D303E">
        <w:t>Writing for wider publics always involves selection, emphasis, and translation. An article, interview, public lecture, podcast, exhibition text, or policy intervention cannot reproduce the full density of fieldwork. The anthropologist must decide which scenes, voices, concepts, and claims can carry the argument. Those decisions affect how people become publicly knowable. A community may be presented as vulnerable, resistant, traditional, violent, adaptable, religious, marginalised, or politically active. Each framing can open some forms of recognition while closing others. Accuracy in fieldwork does not guarantee responsibility in public circulation.</w:t>
      </w:r>
    </w:p>
    <w:p w14:paraId="0F906CF3" w14:textId="77777777" w:rsidR="001D303E" w:rsidRDefault="001D303E" w:rsidP="001D303E">
      <w:pPr>
        <w:jc w:val="both"/>
      </w:pPr>
      <w:r>
        <w:t>CHANGE SLIDE</w:t>
      </w:r>
    </w:p>
    <w:p w14:paraId="3CDD4442" w14:textId="77777777" w:rsidR="001D303E" w:rsidRPr="001D303E" w:rsidRDefault="001D303E" w:rsidP="001D303E">
      <w:pPr>
        <w:jc w:val="both"/>
      </w:pPr>
    </w:p>
    <w:p w14:paraId="681B5B86" w14:textId="77777777" w:rsidR="001D303E" w:rsidRDefault="001D303E" w:rsidP="001D303E">
      <w:pPr>
        <w:jc w:val="both"/>
      </w:pPr>
      <w:proofErr w:type="spellStart"/>
      <w:r w:rsidRPr="001D303E">
        <w:t>MacClancy</w:t>
      </w:r>
      <w:proofErr w:type="spellEnd"/>
      <w:r w:rsidRPr="001D303E">
        <w:t xml:space="preserve"> shows that anthropology has long moved between academic and extra-academic arenas, including advisory work, public criticism, media writing, museums, policy, and controversy (</w:t>
      </w:r>
      <w:proofErr w:type="spellStart"/>
      <w:r w:rsidRPr="001D303E">
        <w:t>MacClancy</w:t>
      </w:r>
      <w:proofErr w:type="spellEnd"/>
      <w:r w:rsidRPr="001D303E">
        <w:t>, 2013). Public arenas change the form of accountability. Academic arguments are usually tested by specialists who understand disciplinary conventions. Public arguments may be taken up by journalists, campaigners, governments, courts, hostile commentators, advocacy groups, or communities who recognise themselves in the account and dispute its framing. The anthropologist must therefore judge not only whether a claim is defensible among peers, but how it may operate once it enters wider circulation.</w:t>
      </w:r>
    </w:p>
    <w:p w14:paraId="41CD5F81" w14:textId="77777777" w:rsidR="001D303E" w:rsidRPr="001D303E" w:rsidRDefault="001D303E" w:rsidP="001D303E">
      <w:pPr>
        <w:jc w:val="both"/>
      </w:pPr>
    </w:p>
    <w:p w14:paraId="7C930F20" w14:textId="77777777" w:rsidR="001D303E" w:rsidRDefault="001D303E" w:rsidP="001D303E">
      <w:pPr>
        <w:jc w:val="both"/>
      </w:pPr>
      <w:r w:rsidRPr="001D303E">
        <w:t>Public anthropology can challenge damaging simplifications. Ethnography can complicate migration debate by showing how legal status, labour, kinship, debt, fear, and aspiration shape movement. It can challenge racial common sense by tracing how inequality is produced through housing, policing, employment, schools, borders, and public culture. It can expose bureaucratic violence by showing how forms, waiting rooms, eligibility rules, risk assessments, and case files organise everyday suffering. These interventions are valuable precisely because public debate often treats people as categories rather than as historically situated social actors.</w:t>
      </w:r>
    </w:p>
    <w:p w14:paraId="7AB82BB0" w14:textId="77777777" w:rsidR="001D303E" w:rsidRDefault="001D303E" w:rsidP="001D303E">
      <w:pPr>
        <w:jc w:val="both"/>
      </w:pPr>
      <w:r>
        <w:t>CHANGE SLIDE</w:t>
      </w:r>
    </w:p>
    <w:p w14:paraId="64C1D293" w14:textId="77777777" w:rsidR="001D303E" w:rsidRPr="001D303E" w:rsidRDefault="001D303E" w:rsidP="001D303E">
      <w:pPr>
        <w:jc w:val="both"/>
      </w:pPr>
    </w:p>
    <w:p w14:paraId="30B82A99" w14:textId="77777777" w:rsidR="001D303E" w:rsidRDefault="001D303E" w:rsidP="001D303E">
      <w:pPr>
        <w:jc w:val="both"/>
      </w:pPr>
      <w:r w:rsidRPr="001D303E">
        <w:t>Visibility remains unequal. Anthropologists often speak from universities, publishers, media outlets, museums, conferences, and professional platforms that amplify their authority. Interlocutors may remain unheard even when their lives provide the substance of the analysis. Public speech therefore does not automatically democratise knowledge. It can reproduce the older licence to speak over others, especially when ethnographic authority is used to claim public expertise without accountability to the people represented. Public anthropology requires attention to tone, framing, simplification, attribution, and the possible uses of anthropological language outside academic control.</w:t>
      </w:r>
    </w:p>
    <w:p w14:paraId="3D726507" w14:textId="77777777" w:rsidR="001D303E" w:rsidRPr="001D303E" w:rsidRDefault="001D303E" w:rsidP="001D303E">
      <w:pPr>
        <w:jc w:val="both"/>
      </w:pPr>
    </w:p>
    <w:p w14:paraId="2446FFAF" w14:textId="77777777" w:rsidR="001D303E" w:rsidRPr="001D303E" w:rsidRDefault="001D303E" w:rsidP="001D303E">
      <w:pPr>
        <w:jc w:val="both"/>
      </w:pPr>
      <w:r w:rsidRPr="001D303E">
        <w:t>Ethics extends beyond fieldwork into publication, circulation, and reception. Anthropological credibility depends not only on consent, confidentiality, and careful method, but on how knowledge travels, who is addressed, who is exposed, who is amplified, and who remains unheard. Anthropology today enters public debates over how social worlds should be described, judged, and changed. Its authority is credible only when public engagement remains accountable to the people and histories from which its knowledge is drawn.</w:t>
      </w:r>
    </w:p>
    <w:p w14:paraId="563566F9" w14:textId="2019BC44" w:rsidR="006301CA" w:rsidRDefault="006301CA" w:rsidP="006301CA">
      <w:pPr>
        <w:jc w:val="both"/>
      </w:pPr>
    </w:p>
    <w:p w14:paraId="59BC3898" w14:textId="77777777" w:rsidR="006301CA" w:rsidRDefault="00FA7235" w:rsidP="006301CA">
      <w:pPr>
        <w:jc w:val="both"/>
      </w:pPr>
      <w:r>
        <w:pict w14:anchorId="586C69EB">
          <v:rect id="_x0000_i1042" style="width:0;height:1.5pt" o:hralign="center" o:hrstd="t" o:hr="t" fillcolor="#a0a0a0" stroked="f"/>
        </w:pict>
      </w:r>
    </w:p>
    <w:p w14:paraId="24D40CC4" w14:textId="091EA1F6" w:rsidR="006301CA" w:rsidRDefault="00FC237B" w:rsidP="00057DE5">
      <w:pPr>
        <w:pStyle w:val="Heading3"/>
      </w:pPr>
      <w:r>
        <w:t>3.</w:t>
      </w:r>
      <w:r w:rsidR="006301CA">
        <w:t xml:space="preserve"> Anthropology Today </w:t>
      </w:r>
      <w:r w:rsidR="00057DE5">
        <w:t>Connections 2</w:t>
      </w:r>
    </w:p>
    <w:p w14:paraId="5B8058B9" w14:textId="77777777" w:rsidR="00F15320" w:rsidRDefault="00F15320" w:rsidP="00F15320">
      <w:pPr>
        <w:jc w:val="both"/>
      </w:pPr>
      <w:r w:rsidRPr="00F15320">
        <w:t>Anthropology already enters public debate through teaching, writing, media, policy, activism, expert commentary, and institutional critique. Public credibility cannot mean bland neutrality, especially in debates shaped by surveillance, democratic erosion, racialised policing, environmental crisis, and mistrust of expertise. Credible public anthropology requires disciplined judgement: claims must be historically informed, evidentially grounded, ethically answerable, and open to challenge. Critique loses force when it becomes slogan. Caution loses force when it refuses to name power.</w:t>
      </w:r>
    </w:p>
    <w:p w14:paraId="560715EC" w14:textId="77777777" w:rsidR="00F15320" w:rsidRPr="00F15320" w:rsidRDefault="00F15320" w:rsidP="00F15320">
      <w:pPr>
        <w:jc w:val="both"/>
      </w:pPr>
    </w:p>
    <w:p w14:paraId="65D89C5A" w14:textId="77777777" w:rsidR="00F15320" w:rsidRDefault="00F15320" w:rsidP="00F15320">
      <w:pPr>
        <w:jc w:val="both"/>
      </w:pPr>
      <w:r w:rsidRPr="00F15320">
        <w:t>Roberto González’s analysis of a technologically enabled “secret police” in the United States demonstrates this form of public critique. His argument does not rely on general denunciation. It identifies concrete institutional changes: expanded surveillance, facial-recognition systems, data extraction, policing infrastructures, and weakened democratic accountability (González, 2025). The criticism is sharp because it is specific. Anthropology remains credible here by showing how coercive power is organised through technologies, agencies, legal powers, and administrative systems. Judgement is not avoided; it is made traceable.</w:t>
      </w:r>
    </w:p>
    <w:p w14:paraId="2BAA4092" w14:textId="69CD99AB" w:rsidR="00F15320" w:rsidRDefault="00F15320" w:rsidP="00F15320">
      <w:pPr>
        <w:jc w:val="both"/>
      </w:pPr>
      <w:r>
        <w:t>CHANGE SLIDE</w:t>
      </w:r>
    </w:p>
    <w:p w14:paraId="3729A3FD" w14:textId="77777777" w:rsidR="00F15320" w:rsidRPr="00F15320" w:rsidRDefault="00F15320" w:rsidP="00F15320">
      <w:pPr>
        <w:jc w:val="both"/>
      </w:pPr>
    </w:p>
    <w:p w14:paraId="41F31F28" w14:textId="77777777" w:rsidR="00F15320" w:rsidRDefault="00F15320" w:rsidP="00F15320">
      <w:pPr>
        <w:jc w:val="both"/>
      </w:pPr>
      <w:r w:rsidRPr="00F15320">
        <w:t xml:space="preserve">Ingold’s call for “a new humanism” gives public anthropology a different ethical register. He rejects both closed fundamentalisms and the belief that technoscience alone can secure a </w:t>
      </w:r>
      <w:proofErr w:type="spellStart"/>
      <w:r w:rsidRPr="00F15320">
        <w:t>livable</w:t>
      </w:r>
      <w:proofErr w:type="spellEnd"/>
      <w:r w:rsidRPr="00F15320">
        <w:t xml:space="preserve"> future. He argues instead for education, democratic representation, and “a love for the world” as conditions of common life (Ingold, 2024). That claim moves beyond exposure. Anthropology cannot only identify domination, extraction, and institutional violence. It also has to ask what forms of shared life, responsibility, and planetary obligation remain worth defending.</w:t>
      </w:r>
    </w:p>
    <w:p w14:paraId="6E4C6609" w14:textId="77777777" w:rsidR="00F15320" w:rsidRPr="00F15320" w:rsidRDefault="00F15320" w:rsidP="00F15320">
      <w:pPr>
        <w:jc w:val="both"/>
      </w:pPr>
    </w:p>
    <w:p w14:paraId="26FF220A" w14:textId="77777777" w:rsidR="00F15320" w:rsidRDefault="00F15320" w:rsidP="00F15320">
      <w:pPr>
        <w:jc w:val="both"/>
      </w:pPr>
      <w:r w:rsidRPr="00F15320">
        <w:t>Public anthropology therefore has to hold critique and credibility together. It must listen seriously without treating all positions as equally defensible. It must name power without turning analysis into moral performance. It must write accessibly without flattening complexity. It must enter public debate without converting ethnographic authority into a licence to speak over the people whose lives ground its claims. Credibility rests on evidence, specificity, accountability, and the capacity to show how judgement has been reached.</w:t>
      </w:r>
    </w:p>
    <w:p w14:paraId="7463C893" w14:textId="77777777" w:rsidR="00F15320" w:rsidRPr="00F15320" w:rsidRDefault="00F15320" w:rsidP="00F15320">
      <w:pPr>
        <w:jc w:val="both"/>
      </w:pPr>
    </w:p>
    <w:p w14:paraId="24C9B1AD" w14:textId="77777777" w:rsidR="00F15320" w:rsidRPr="00F15320" w:rsidRDefault="00F15320" w:rsidP="00F15320">
      <w:pPr>
        <w:jc w:val="both"/>
      </w:pPr>
      <w:r w:rsidRPr="00F15320">
        <w:t>The final question is how anthropology remains critical without becoming careless, and credible without becoming timid. González shows how public critique can be evidential and politically precise. Ingold shows why critique also needs an ethical horizon: a sense of the world, relations, and forms of life that anthropology seeks to protect. Public responsibility requires both. Anthropology has to expose harmful arrangements and clarify what more liveable alternatives demand.</w:t>
      </w:r>
    </w:p>
    <w:p w14:paraId="5B34EEFD" w14:textId="2006FC7A" w:rsidR="006301CA" w:rsidRDefault="006301CA" w:rsidP="006301CA">
      <w:pPr>
        <w:jc w:val="both"/>
      </w:pPr>
    </w:p>
    <w:p w14:paraId="18C1484A" w14:textId="40823423" w:rsidR="006301CA" w:rsidRDefault="00FA7235" w:rsidP="00057DE5">
      <w:pPr>
        <w:pStyle w:val="Heading2"/>
      </w:pPr>
      <w:r>
        <w:pict w14:anchorId="52283383">
          <v:rect id="_x0000_i1043" style="width:0;height:1.5pt" o:hralign="center" o:hrstd="t" o:hr="t" fillcolor="#a0a0a0" stroked="f"/>
        </w:pict>
      </w:r>
      <w:r w:rsidR="00325115">
        <w:t>1</w:t>
      </w:r>
      <w:r w:rsidR="00333561">
        <w:t>:</w:t>
      </w:r>
      <w:r w:rsidR="00325115">
        <w:t>3</w:t>
      </w:r>
      <w:r w:rsidR="00333561">
        <w:t>0-</w:t>
      </w:r>
      <w:r>
        <w:t>1</w:t>
      </w:r>
      <w:r w:rsidR="00333561">
        <w:t>:</w:t>
      </w:r>
      <w:r>
        <w:t>40</w:t>
      </w:r>
      <w:r w:rsidR="00333561">
        <w:t xml:space="preserve">: </w:t>
      </w:r>
      <w:r w:rsidR="006301CA">
        <w:t xml:space="preserve">FINAL SYNTHESIS </w:t>
      </w:r>
    </w:p>
    <w:p w14:paraId="2C716096" w14:textId="77777777" w:rsidR="004E3A21" w:rsidRDefault="004E3A21" w:rsidP="004E3A21">
      <w:pPr>
        <w:jc w:val="both"/>
      </w:pPr>
      <w:r w:rsidRPr="004E3A21">
        <w:t>Ethics in anthropology is not a final procedure applied after research has already been designed, conducted, written, and circulated. It is part of the discipline’s knowledge itself. Anthropologists do not simply collect information about social life. They enter relationships, ask questions, select details, organise accounts, publish descriptions, and give those descriptions authority. Ethical responsibility therefore begins with the conditions under which anthropological knowledge is made, not only with the later question of whether a formal rule has been followed.</w:t>
      </w:r>
    </w:p>
    <w:p w14:paraId="57790D3F" w14:textId="77777777" w:rsidR="00AA72DF" w:rsidRDefault="00AA72DF" w:rsidP="00AA72DF">
      <w:pPr>
        <w:jc w:val="both"/>
      </w:pPr>
      <w:r>
        <w:t>CHANGE SLIDE</w:t>
      </w:r>
    </w:p>
    <w:p w14:paraId="533133F1" w14:textId="77777777" w:rsidR="004E3A21" w:rsidRPr="004E3A21" w:rsidRDefault="004E3A21" w:rsidP="004E3A21">
      <w:pPr>
        <w:jc w:val="both"/>
      </w:pPr>
    </w:p>
    <w:p w14:paraId="149330AA" w14:textId="77777777" w:rsidR="004E3A21" w:rsidRDefault="004E3A21" w:rsidP="004E3A21">
      <w:pPr>
        <w:jc w:val="both"/>
      </w:pPr>
      <w:r w:rsidRPr="004E3A21">
        <w:t>Ethics is historical because anthropology developed within unequal worlds of empire, racial hierarchy, administrative classification, missionary encounter, and colonial rule. That history does not reduce anthropology to colonial domination, but it does prevent the discipline from imagining its authority as innocent. The right to describe others, translate their practices, define their social worlds, and publish those descriptions for distant audiences was never evenly distributed. Asad and Said make that inheritance difficult to ignore: knowledge about others can become part of the power to classify, govern, and speak on their behalf (Asad, 1973; Said, 1978). Ethical anthropology therefore requires more than good intentions. It requires attention to the historical authority through which some people become interpreters and others become interpreted.</w:t>
      </w:r>
    </w:p>
    <w:p w14:paraId="4D6ED8D2" w14:textId="77777777" w:rsidR="00AA72DF" w:rsidRPr="004E3A21" w:rsidRDefault="00AA72DF" w:rsidP="004E3A21">
      <w:pPr>
        <w:jc w:val="both"/>
      </w:pPr>
    </w:p>
    <w:p w14:paraId="6DBE98E3" w14:textId="77777777" w:rsidR="004E3A21" w:rsidRDefault="004E3A21" w:rsidP="004E3A21">
      <w:pPr>
        <w:jc w:val="both"/>
      </w:pPr>
      <w:r w:rsidRPr="004E3A21">
        <w:t>Ethics is relational because fieldwork produces knowledge through encounter. Interviews, observation, participation, translation, friendship, dependence, disagreement, intimacy, and trust all shape what can be known. Research participants are not sources of raw data. They are people situated within households, institutions, political pressures, religious commitments, economic constraints, and moral worlds. The researcher also occupies a position: institutional, national, racialised, linguistic, professional, and sometimes legal or economic. Ethical responsibility lies in that relation. It concerns what is asked, what is recorded, what is withheld, what is published, who is exposed, who is protected, and who gains from the circulation of the account.</w:t>
      </w:r>
    </w:p>
    <w:p w14:paraId="25225B03" w14:textId="77777777" w:rsidR="00AA72DF" w:rsidRDefault="00AA72DF" w:rsidP="00AA72DF">
      <w:pPr>
        <w:jc w:val="both"/>
      </w:pPr>
      <w:r>
        <w:t>CHANGE SLIDE</w:t>
      </w:r>
    </w:p>
    <w:p w14:paraId="5C0AB243" w14:textId="77777777" w:rsidR="00AA72DF" w:rsidRPr="004E3A21" w:rsidRDefault="00AA72DF" w:rsidP="004E3A21">
      <w:pPr>
        <w:jc w:val="both"/>
      </w:pPr>
    </w:p>
    <w:p w14:paraId="43FC1FF8" w14:textId="77777777" w:rsidR="004E3A21" w:rsidRDefault="004E3A21" w:rsidP="004E3A21">
      <w:pPr>
        <w:jc w:val="both"/>
      </w:pPr>
      <w:r w:rsidRPr="004E3A21">
        <w:t>Ethics is institutional because responsibility cannot rest on personal conscience alone. Professional codes, review boards, consent procedures, anonymity protocols, and risk assessments exist because fieldwork authority and good intentions have never been enough. The AAA’s principles formalise duties around openness, informed consent, competing obligations, and avoiding harm (AAA, 2012). Those procedures establish minimum responsibilities. They do not remove judgement. Consent can change. Anonymity can protect or erase. Publication can expose people long after fieldwork ends. Collaboration can redistribute authority while also producing conflict over interpretation, ownership, and political use. Institutional ethics makes responsibility explicit, but it cannot make responsibility mechanical.</w:t>
      </w:r>
    </w:p>
    <w:p w14:paraId="52B2ADDC" w14:textId="77777777" w:rsidR="00AA72DF" w:rsidRPr="004E3A21" w:rsidRDefault="00AA72DF" w:rsidP="004E3A21">
      <w:pPr>
        <w:jc w:val="both"/>
      </w:pPr>
    </w:p>
    <w:p w14:paraId="3A634F53" w14:textId="77777777" w:rsidR="004E3A21" w:rsidRDefault="004E3A21" w:rsidP="004E3A21">
      <w:pPr>
        <w:jc w:val="both"/>
      </w:pPr>
      <w:r w:rsidRPr="004E3A21">
        <w:t>Ethics is political because anthropological knowledge can be used beyond the purposes the researcher claims for it. Ethnographic descriptions may enter classrooms, journalism, courts, museums, development agencies, public policy, security institutions, activist campaigns, and hostile public debate. Knowledge about kinship, religion, grievance, leadership, territory, mobility, ritual, or mistrust may deepen public understanding. It may also serve administration, surveillance, counterinsurgency, border control, or reputational harm. The cases discussed in this lecture make that problem concrete: representation can harden into public identity; research agendas can be shaped by strategic institutions; ethnographic techniques can be inserted into military operations; public critique can expose harm while also creating new forms of objectification.</w:t>
      </w:r>
    </w:p>
    <w:p w14:paraId="790A86E7" w14:textId="77777777" w:rsidR="00AA72DF" w:rsidRDefault="00AA72DF" w:rsidP="00AA72DF">
      <w:pPr>
        <w:jc w:val="both"/>
      </w:pPr>
      <w:r>
        <w:t>CHANGE SLIDE</w:t>
      </w:r>
    </w:p>
    <w:p w14:paraId="6C540B82" w14:textId="77777777" w:rsidR="00AA72DF" w:rsidRPr="004E3A21" w:rsidRDefault="00AA72DF" w:rsidP="004E3A21">
      <w:pPr>
        <w:jc w:val="both"/>
      </w:pPr>
    </w:p>
    <w:p w14:paraId="67458153" w14:textId="77777777" w:rsidR="006E68C1" w:rsidRPr="006E68C1" w:rsidRDefault="006E68C1" w:rsidP="006E68C1">
      <w:pPr>
        <w:jc w:val="both"/>
      </w:pPr>
      <w:r w:rsidRPr="006E68C1">
        <w:t>Across the course, the recurring lesson has been that anthropology does not treat social life as a set of separate compartments. Kinship, economy, religion, migration, health, environment, and conflict have appeared as overlapping fields of relation. A household may also be an economic unit, a moral community, a site of gendered authority, and a point of connection to migration or welfare systems. A market transaction may carry obligation, debt, prestige, exploitation, or care. A religious practice may organise bodies, land, healing, authority, memory, and political belonging. Anthropological analysis works by tracing those relations rather than isolating one domain and treating it as self-contained.</w:t>
      </w:r>
    </w:p>
    <w:p w14:paraId="707F2F15" w14:textId="77777777" w:rsidR="006E68C1" w:rsidRPr="006E68C1" w:rsidRDefault="006E68C1" w:rsidP="006E68C1">
      <w:pPr>
        <w:jc w:val="both"/>
      </w:pPr>
      <w:r w:rsidRPr="006E68C1">
        <w:t>Ethics has to be understood in the same way. It is not a separate professional concern added to otherwise neutral analysis. It enters the questions anthropology asks, the relations through which knowledge is produced, the terms used to describe people, and the routes through which descriptions travel. A study of migration, illness, ritual, labour, violence, or environmental crisis becomes ethically serious when it asks how people are classified, exposed, silenced, protected, harmed, represented, or made available for intervention. Holism therefore does not only describe anthropology’s theory of social life. It also describes the discipline’s ethical problem: knowledge, relation, power, and responsibility cannot be pulled apart.</w:t>
      </w:r>
    </w:p>
    <w:p w14:paraId="3028A623" w14:textId="77777777" w:rsidR="00AA72DF" w:rsidRDefault="00AA72DF" w:rsidP="00AA72DF">
      <w:pPr>
        <w:jc w:val="both"/>
      </w:pPr>
      <w:r>
        <w:t>CHANGE SLIDE</w:t>
      </w:r>
    </w:p>
    <w:p w14:paraId="58EDA6E6" w14:textId="77777777" w:rsidR="00AA72DF" w:rsidRPr="004E3A21" w:rsidRDefault="00AA72DF" w:rsidP="004E3A21">
      <w:pPr>
        <w:jc w:val="both"/>
      </w:pPr>
    </w:p>
    <w:p w14:paraId="25E86CFB" w14:textId="77777777" w:rsidR="004E3A21" w:rsidRDefault="004E3A21" w:rsidP="004E3A21">
      <w:pPr>
        <w:jc w:val="both"/>
      </w:pPr>
      <w:r w:rsidRPr="004E3A21">
        <w:t>Anthropology’s ethical problem is therefore inseparable from its intellectual strength. The discipline matters because it can show how lives are made through relations that are historical, material, symbolic, political, and intimate at once. It can resist stereotypes, challenge administrative simplifications, and make visible forms of suffering hidden behind categories such as culture, development, security, tradition, vulnerability, or community. Its authority becomes credible only when it remains answerable for how it knows, writes, relates, intervenes, and circulates.</w:t>
      </w:r>
    </w:p>
    <w:p w14:paraId="15B449C4" w14:textId="77777777" w:rsidR="0033248C" w:rsidRPr="004E3A21" w:rsidRDefault="0033248C" w:rsidP="004E3A21">
      <w:pPr>
        <w:jc w:val="both"/>
      </w:pPr>
    </w:p>
    <w:p w14:paraId="60A99A25" w14:textId="77777777" w:rsidR="004E3A21" w:rsidRPr="004E3A21" w:rsidRDefault="004E3A21" w:rsidP="004E3A21">
      <w:pPr>
        <w:jc w:val="both"/>
      </w:pPr>
      <w:r w:rsidRPr="004E3A21">
        <w:t>Anthropology does not offer a view from nowhere. It speaks from institutions, histories, languages, funding structures, field relations, and public platforms. Its credibility does not depend on pretending otherwise. It depends on making those conditions visible while still producing careful, grounded, and accountable knowledge. The discipline remains worth doing because it can analyse how human worlds are made, lived, contested, damaged, and transformed, while refusing to disown the power involved in describing them.</w:t>
      </w:r>
    </w:p>
    <w:p w14:paraId="1C472388" w14:textId="0E29EA88" w:rsidR="00307C06" w:rsidRDefault="00307C06" w:rsidP="006301CA">
      <w:pPr>
        <w:jc w:val="both"/>
      </w:pPr>
    </w:p>
    <w:p w14:paraId="2C9EADC8" w14:textId="77777777" w:rsidR="006301CA" w:rsidRDefault="00FA7235" w:rsidP="006301CA">
      <w:pPr>
        <w:jc w:val="both"/>
      </w:pPr>
      <w:r>
        <w:pict w14:anchorId="6B4D0BF1">
          <v:rect id="_x0000_i1044" style="width:0;height:1.5pt" o:hralign="center" o:hrstd="t" o:hr="t" fillcolor="#a0a0a0" stroked="f"/>
        </w:pict>
      </w:r>
    </w:p>
    <w:p w14:paraId="04802FF5" w14:textId="3AD0D13B" w:rsidR="00305046" w:rsidRDefault="00B86B93" w:rsidP="00B86B93">
      <w:pPr>
        <w:pStyle w:val="Heading2"/>
      </w:pPr>
      <w:r>
        <w:t>REFERENCES</w:t>
      </w:r>
    </w:p>
    <w:p w14:paraId="2AC6EE97" w14:textId="77777777" w:rsidR="00E129AF" w:rsidRDefault="00E129AF" w:rsidP="00E129AF">
      <w:pPr>
        <w:jc w:val="both"/>
      </w:pPr>
      <w:r w:rsidRPr="00D82FD2">
        <w:t xml:space="preserve">Abu-Lughod, L. (1991) ‘Writing against culture’, in Fox, R.G. (ed.) </w:t>
      </w:r>
      <w:r w:rsidRPr="00D82FD2">
        <w:rPr>
          <w:i/>
          <w:iCs/>
        </w:rPr>
        <w:t>Recapturing Anthropology: Working in the Present</w:t>
      </w:r>
      <w:r w:rsidRPr="00D82FD2">
        <w:t>. Santa Fe: School of American Research Press, pp. 137–162.</w:t>
      </w:r>
    </w:p>
    <w:p w14:paraId="74186A9B" w14:textId="6317F5CD" w:rsidR="00E129AF" w:rsidRDefault="00E129AF" w:rsidP="00E129AF">
      <w:pPr>
        <w:jc w:val="both"/>
      </w:pPr>
      <w:r w:rsidRPr="00057DE5">
        <w:t xml:space="preserve">Asad, T. (ed.) (1973) </w:t>
      </w:r>
      <w:r w:rsidRPr="00057DE5">
        <w:rPr>
          <w:i/>
          <w:iCs/>
        </w:rPr>
        <w:t>Anthropology and the Colonial Encounter</w:t>
      </w:r>
      <w:r w:rsidRPr="00057DE5">
        <w:t>. London: Ithaca Press.</w:t>
      </w:r>
    </w:p>
    <w:p w14:paraId="13887941" w14:textId="77777777" w:rsidR="00E129AF" w:rsidRDefault="00E129AF" w:rsidP="00E129AF">
      <w:pPr>
        <w:jc w:val="both"/>
      </w:pPr>
      <w:r w:rsidRPr="00F12C68">
        <w:t xml:space="preserve">American Anthropological Association (2012) </w:t>
      </w:r>
      <w:r w:rsidRPr="00F12C68">
        <w:rPr>
          <w:i/>
          <w:iCs/>
        </w:rPr>
        <w:t>Principles of Professional Responsibility</w:t>
      </w:r>
      <w:r w:rsidRPr="00F12C68">
        <w:t>. Arlington, VA: American Anthropological Association.</w:t>
      </w:r>
    </w:p>
    <w:p w14:paraId="25BEC25E" w14:textId="77777777" w:rsidR="00E129AF" w:rsidRPr="00536DA1" w:rsidRDefault="00E129AF" w:rsidP="00E129AF">
      <w:pPr>
        <w:jc w:val="both"/>
      </w:pPr>
      <w:r w:rsidRPr="00536DA1">
        <w:t xml:space="preserve">Borofsky, R. (ed.) (2005) </w:t>
      </w:r>
      <w:r w:rsidRPr="00536DA1">
        <w:rPr>
          <w:i/>
          <w:iCs/>
        </w:rPr>
        <w:t>Yanomami: The Fierce Controversy and What We Might Learn from It</w:t>
      </w:r>
      <w:r w:rsidRPr="00536DA1">
        <w:t>. Berkeley: University of California Press.</w:t>
      </w:r>
    </w:p>
    <w:p w14:paraId="3209318D" w14:textId="21AC30A4" w:rsidR="00E129AF" w:rsidRDefault="00E129AF" w:rsidP="00E129AF">
      <w:pPr>
        <w:jc w:val="both"/>
      </w:pPr>
      <w:r w:rsidRPr="00536DA1">
        <w:t xml:space="preserve">Chagnon, N.A. (1983) </w:t>
      </w:r>
      <w:proofErr w:type="spellStart"/>
      <w:r w:rsidRPr="00536DA1">
        <w:rPr>
          <w:i/>
          <w:iCs/>
        </w:rPr>
        <w:t>Yanomamö</w:t>
      </w:r>
      <w:proofErr w:type="spellEnd"/>
      <w:r w:rsidRPr="00536DA1">
        <w:rPr>
          <w:i/>
          <w:iCs/>
        </w:rPr>
        <w:t>: The Fierce People</w:t>
      </w:r>
      <w:r w:rsidRPr="00536DA1">
        <w:t xml:space="preserve">. 3rd </w:t>
      </w:r>
      <w:proofErr w:type="spellStart"/>
      <w:r w:rsidRPr="00536DA1">
        <w:t>edn</w:t>
      </w:r>
      <w:proofErr w:type="spellEnd"/>
      <w:r w:rsidRPr="00536DA1">
        <w:t>. New York: Holt, Rinehart and Winston.</w:t>
      </w:r>
    </w:p>
    <w:p w14:paraId="102D983D" w14:textId="77777777" w:rsidR="00E129AF" w:rsidRPr="00D82FD2" w:rsidRDefault="00E129AF" w:rsidP="00E129AF">
      <w:pPr>
        <w:jc w:val="both"/>
      </w:pPr>
      <w:r w:rsidRPr="00D82FD2">
        <w:t xml:space="preserve">Clifford, J. (1986) ‘Introduction: Partial truths’, in Clifford, J. and Marcus, G.E. (eds.) </w:t>
      </w:r>
      <w:r w:rsidRPr="00D82FD2">
        <w:rPr>
          <w:i/>
          <w:iCs/>
        </w:rPr>
        <w:t>Writing Culture: The Poetics and Politics of Ethnography</w:t>
      </w:r>
      <w:r w:rsidRPr="00D82FD2">
        <w:t>. Berkeley: University of California Press, pp. 1–26.</w:t>
      </w:r>
    </w:p>
    <w:p w14:paraId="75A05EF8" w14:textId="77777777" w:rsidR="00E129AF" w:rsidRPr="00064000" w:rsidRDefault="00E129AF" w:rsidP="00E129AF">
      <w:pPr>
        <w:jc w:val="both"/>
      </w:pPr>
      <w:r w:rsidRPr="00064000">
        <w:t>Erickson, R. and Soares, A. (2026) ‘</w:t>
      </w:r>
      <w:proofErr w:type="spellStart"/>
      <w:r w:rsidRPr="00064000">
        <w:t>Kriolu</w:t>
      </w:r>
      <w:proofErr w:type="spellEnd"/>
      <w:r w:rsidRPr="00064000">
        <w:t xml:space="preserve"> voices sounding: Tending to epistemic justice and conflict in collaboration’, </w:t>
      </w:r>
      <w:r w:rsidRPr="00064000">
        <w:rPr>
          <w:i/>
          <w:iCs/>
        </w:rPr>
        <w:t>Anthropology Today</w:t>
      </w:r>
      <w:r w:rsidRPr="00064000">
        <w:t>, 42(1), pp. 19–22.</w:t>
      </w:r>
    </w:p>
    <w:p w14:paraId="09FC5D31" w14:textId="2B44DEBC" w:rsidR="00E129AF" w:rsidRDefault="00E129AF" w:rsidP="00E129AF">
      <w:pPr>
        <w:jc w:val="both"/>
      </w:pPr>
      <w:r w:rsidRPr="00D82FD2">
        <w:t xml:space="preserve">Fabian, J. (1983) </w:t>
      </w:r>
      <w:r w:rsidRPr="00D82FD2">
        <w:rPr>
          <w:i/>
          <w:iCs/>
        </w:rPr>
        <w:t>Time and the Other: How Anthropology Makes Its Object</w:t>
      </w:r>
      <w:r w:rsidRPr="00D82FD2">
        <w:t>. New York: Columbia University Press.</w:t>
      </w:r>
    </w:p>
    <w:p w14:paraId="692B65E1" w14:textId="52405B53" w:rsidR="00E129AF" w:rsidRDefault="00E129AF" w:rsidP="00E129AF">
      <w:pPr>
        <w:jc w:val="both"/>
      </w:pPr>
      <w:proofErr w:type="spellStart"/>
      <w:r w:rsidRPr="005C1E1C">
        <w:t>Fassin</w:t>
      </w:r>
      <w:proofErr w:type="spellEnd"/>
      <w:r w:rsidRPr="005C1E1C">
        <w:t xml:space="preserve">, D. (2013) ‘Why ethnography matters: On anthropology and its publics’, </w:t>
      </w:r>
      <w:r w:rsidRPr="005C1E1C">
        <w:rPr>
          <w:i/>
          <w:iCs/>
        </w:rPr>
        <w:t>Cultural Anthropology</w:t>
      </w:r>
      <w:r w:rsidRPr="005C1E1C">
        <w:t>, 28(4), pp. 621–646.</w:t>
      </w:r>
    </w:p>
    <w:p w14:paraId="78C667AC" w14:textId="2874CEEF" w:rsidR="00E129AF" w:rsidRDefault="00E129AF" w:rsidP="00E129AF">
      <w:pPr>
        <w:jc w:val="both"/>
      </w:pPr>
      <w:r w:rsidRPr="000678A4">
        <w:t xml:space="preserve">González, R.J. (2020) ‘Beyond the Human Terrain System: a brief critical history (and a look ahead)’, </w:t>
      </w:r>
      <w:r w:rsidRPr="000678A4">
        <w:rPr>
          <w:i/>
          <w:iCs/>
        </w:rPr>
        <w:t>Contemporary Social Science</w:t>
      </w:r>
      <w:r w:rsidRPr="000678A4">
        <w:t>, 15(2), pp. 227–240.</w:t>
      </w:r>
    </w:p>
    <w:p w14:paraId="5CE108FF" w14:textId="77777777" w:rsidR="00E129AF" w:rsidRDefault="00E129AF" w:rsidP="00E129AF">
      <w:pPr>
        <w:jc w:val="both"/>
      </w:pPr>
      <w:r w:rsidRPr="00FC237B">
        <w:t xml:space="preserve">González, R.J. (2025) ‘America’s secret police’, </w:t>
      </w:r>
      <w:r w:rsidRPr="00FC237B">
        <w:rPr>
          <w:i/>
          <w:iCs/>
        </w:rPr>
        <w:t>Anthropology Today</w:t>
      </w:r>
      <w:r w:rsidRPr="00FC237B">
        <w:t>, 41(1), pp. 20–22.</w:t>
      </w:r>
    </w:p>
    <w:p w14:paraId="614692CE" w14:textId="6CC3BC9F" w:rsidR="006F73C9" w:rsidRDefault="006F73C9" w:rsidP="00E129AF">
      <w:pPr>
        <w:jc w:val="both"/>
      </w:pPr>
      <w:r w:rsidRPr="006F73C9">
        <w:t xml:space="preserve">Gusterson, H. (2007) ‘Anthropology and militarism’, </w:t>
      </w:r>
      <w:r w:rsidRPr="006F73C9">
        <w:rPr>
          <w:i/>
          <w:iCs/>
        </w:rPr>
        <w:t>Annual Review of Anthropology</w:t>
      </w:r>
      <w:r w:rsidRPr="006F73C9">
        <w:t>, 36, pp. 155–175.</w:t>
      </w:r>
    </w:p>
    <w:p w14:paraId="4DBA930A" w14:textId="23E86C16" w:rsidR="00E129AF" w:rsidRPr="00FC237B" w:rsidRDefault="00E129AF" w:rsidP="00E129AF">
      <w:pPr>
        <w:jc w:val="both"/>
      </w:pPr>
      <w:r w:rsidRPr="006A0DFD">
        <w:t xml:space="preserve">Hale, C.R. (2006) ‘Activist research v. cultural critique: Indigenous land rights and the contradictions of politically engaged anthropology’, </w:t>
      </w:r>
      <w:r w:rsidRPr="006A0DFD">
        <w:rPr>
          <w:i/>
          <w:iCs/>
        </w:rPr>
        <w:t>Cultural Anthropology</w:t>
      </w:r>
      <w:r w:rsidRPr="006A0DFD">
        <w:t>, 21(1), pp. 96–120.</w:t>
      </w:r>
    </w:p>
    <w:p w14:paraId="402317DF" w14:textId="77777777" w:rsidR="00E129AF" w:rsidRDefault="00E129AF" w:rsidP="00E129AF">
      <w:pPr>
        <w:jc w:val="both"/>
      </w:pPr>
      <w:r w:rsidRPr="00FC237B">
        <w:t xml:space="preserve">Herzfeld, M. (2025) ‘Listening’, </w:t>
      </w:r>
      <w:r w:rsidRPr="00FC237B">
        <w:rPr>
          <w:i/>
          <w:iCs/>
        </w:rPr>
        <w:t>Anthropology Today</w:t>
      </w:r>
      <w:r w:rsidRPr="00FC237B">
        <w:t>, 41(1), pp. 1–2.</w:t>
      </w:r>
    </w:p>
    <w:p w14:paraId="10CE9132" w14:textId="37B716D0" w:rsidR="00E129AF" w:rsidRDefault="00E129AF" w:rsidP="00E129AF">
      <w:pPr>
        <w:jc w:val="both"/>
      </w:pPr>
      <w:r w:rsidRPr="00ED7C7D">
        <w:t xml:space="preserve">Horowitz, I.L. (ed.) (1967) </w:t>
      </w:r>
      <w:r w:rsidRPr="00ED7C7D">
        <w:rPr>
          <w:i/>
          <w:iCs/>
        </w:rPr>
        <w:t>The Rise and Fall of Project Camelot: Studies in the Relationship between Social Science and Practical Politics</w:t>
      </w:r>
      <w:r w:rsidRPr="00ED7C7D">
        <w:t>. Cambridge, MA: MIT Press.</w:t>
      </w:r>
    </w:p>
    <w:p w14:paraId="43181076" w14:textId="7174755C" w:rsidR="00E129AF" w:rsidRPr="00FC237B" w:rsidRDefault="00E129AF" w:rsidP="00E129AF">
      <w:pPr>
        <w:jc w:val="both"/>
      </w:pPr>
      <w:r w:rsidRPr="000678A4">
        <w:rPr>
          <w:i/>
          <w:iCs/>
        </w:rPr>
        <w:t>Human Terrain Team Handbook</w:t>
      </w:r>
      <w:r w:rsidRPr="000678A4">
        <w:t xml:space="preserve"> (2008) Human Terrain System, U.S. Unclassified</w:t>
      </w:r>
      <w:r>
        <w:t>.</w:t>
      </w:r>
    </w:p>
    <w:p w14:paraId="1D6F962D" w14:textId="2637C372" w:rsidR="00E129AF" w:rsidRDefault="00E129AF" w:rsidP="00E129AF">
      <w:pPr>
        <w:jc w:val="both"/>
      </w:pPr>
      <w:r w:rsidRPr="00FC237B">
        <w:t xml:space="preserve">Ingold, T. (2024) ‘For a new humanism’, </w:t>
      </w:r>
      <w:r w:rsidRPr="00FC237B">
        <w:rPr>
          <w:i/>
          <w:iCs/>
        </w:rPr>
        <w:t>Anthropology Today</w:t>
      </w:r>
      <w:r w:rsidRPr="00FC237B">
        <w:t>, 40(5), pp. 1–2.</w:t>
      </w:r>
    </w:p>
    <w:p w14:paraId="37941080" w14:textId="676BD9B0" w:rsidR="00FC5054" w:rsidRPr="005C1E1C" w:rsidRDefault="00FC5054" w:rsidP="00E129AF">
      <w:pPr>
        <w:jc w:val="both"/>
      </w:pPr>
      <w:proofErr w:type="spellStart"/>
      <w:r w:rsidRPr="00FC5054">
        <w:t>Kopenawa</w:t>
      </w:r>
      <w:proofErr w:type="spellEnd"/>
      <w:r w:rsidRPr="00FC5054">
        <w:t xml:space="preserve">, D. and Albert, B. (2013) </w:t>
      </w:r>
      <w:r w:rsidRPr="00FC5054">
        <w:rPr>
          <w:i/>
          <w:iCs/>
        </w:rPr>
        <w:t>The Falling Sky: Words of a Yanomami Shaman</w:t>
      </w:r>
      <w:r w:rsidRPr="00FC5054">
        <w:t>. Translated by N. Elliott and A. Dundy. Cambridge, MA: Harvard University Press.</w:t>
      </w:r>
    </w:p>
    <w:p w14:paraId="40F0595B" w14:textId="77777777" w:rsidR="00E129AF" w:rsidRDefault="00E129AF" w:rsidP="00E129AF">
      <w:pPr>
        <w:jc w:val="both"/>
      </w:pPr>
      <w:proofErr w:type="spellStart"/>
      <w:r w:rsidRPr="005C1E1C">
        <w:t>MacClancy</w:t>
      </w:r>
      <w:proofErr w:type="spellEnd"/>
      <w:r w:rsidRPr="005C1E1C">
        <w:t xml:space="preserve">, J. (2013) </w:t>
      </w:r>
      <w:r w:rsidRPr="005C1E1C">
        <w:rPr>
          <w:i/>
          <w:iCs/>
        </w:rPr>
        <w:t>Anthropology in the Public Arena: Historical and Contemporary Contexts</w:t>
      </w:r>
      <w:r w:rsidRPr="005C1E1C">
        <w:t>. Chichester: Wiley-Blackwell.</w:t>
      </w:r>
    </w:p>
    <w:p w14:paraId="6CD0C81F" w14:textId="21A6CDA9" w:rsidR="00FC5054" w:rsidRDefault="00FC5054" w:rsidP="00E129AF">
      <w:pPr>
        <w:jc w:val="both"/>
      </w:pPr>
      <w:r w:rsidRPr="00FC5054">
        <w:t xml:space="preserve">Pels, P. (1999) ‘Professions of duplexity: A prehistory of ethical codes in anthropology’, </w:t>
      </w:r>
      <w:r w:rsidRPr="00FC5054">
        <w:rPr>
          <w:i/>
          <w:iCs/>
        </w:rPr>
        <w:t>Current Anthropology</w:t>
      </w:r>
      <w:r w:rsidRPr="00FC5054">
        <w:t>, 40(2), pp. 101–136.</w:t>
      </w:r>
    </w:p>
    <w:p w14:paraId="0DD0A875" w14:textId="58EC53BA" w:rsidR="00E129AF" w:rsidRDefault="00E129AF" w:rsidP="00E129AF">
      <w:pPr>
        <w:jc w:val="both"/>
      </w:pPr>
      <w:r w:rsidRPr="00ED7C7D">
        <w:t xml:space="preserve">Price, D.H. (2008) </w:t>
      </w:r>
      <w:r w:rsidRPr="00ED7C7D">
        <w:rPr>
          <w:i/>
          <w:iCs/>
        </w:rPr>
        <w:t>Anthropological Intelligence: The Deployment and Neglect of American Anthropology in the Second World War</w:t>
      </w:r>
      <w:r w:rsidRPr="00ED7C7D">
        <w:t>. Durham, NC: Duke University Press.</w:t>
      </w:r>
    </w:p>
    <w:p w14:paraId="45ED1AE0" w14:textId="7123CBDF" w:rsidR="006F73C9" w:rsidRDefault="006F73C9" w:rsidP="00E129AF">
      <w:pPr>
        <w:jc w:val="both"/>
      </w:pPr>
      <w:r w:rsidRPr="006F73C9">
        <w:t xml:space="preserve">Price, D.H. (2011) </w:t>
      </w:r>
      <w:r w:rsidRPr="006F73C9">
        <w:rPr>
          <w:i/>
          <w:iCs/>
        </w:rPr>
        <w:t>Weaponizing Anthropology: Social Science in Service of the Militarized State</w:t>
      </w:r>
      <w:r w:rsidRPr="006F73C9">
        <w:t>. Oakland, CA: AK Press.</w:t>
      </w:r>
    </w:p>
    <w:p w14:paraId="3DDC379C" w14:textId="77777777" w:rsidR="00E129AF" w:rsidRPr="00D82FD2" w:rsidRDefault="00E129AF" w:rsidP="00E129AF">
      <w:pPr>
        <w:jc w:val="both"/>
      </w:pPr>
      <w:r w:rsidRPr="00057DE5">
        <w:t xml:space="preserve">Said, E.W. (1978) </w:t>
      </w:r>
      <w:r w:rsidRPr="00057DE5">
        <w:rPr>
          <w:i/>
          <w:iCs/>
        </w:rPr>
        <w:t>Orientalism</w:t>
      </w:r>
      <w:r w:rsidRPr="00057DE5">
        <w:t>. New York: Pantheon</w:t>
      </w:r>
      <w:r>
        <w:t>.</w:t>
      </w:r>
    </w:p>
    <w:p w14:paraId="2C12C7A6" w14:textId="77777777" w:rsidR="00E129AF" w:rsidRDefault="00E129AF" w:rsidP="00E129AF">
      <w:pPr>
        <w:jc w:val="both"/>
      </w:pPr>
      <w:r w:rsidRPr="006A0DFD">
        <w:t xml:space="preserve">Scheper-Hughes, N. (1995) ‘The primacy of the ethical: Propositions for a militant anthropology’, </w:t>
      </w:r>
      <w:r w:rsidRPr="006A0DFD">
        <w:rPr>
          <w:i/>
          <w:iCs/>
        </w:rPr>
        <w:t>Current Anthropology</w:t>
      </w:r>
      <w:r w:rsidRPr="006A0DFD">
        <w:t>, 36(3), pp. 409–440.</w:t>
      </w:r>
    </w:p>
    <w:p w14:paraId="5FDA7844" w14:textId="189C8679" w:rsidR="005F7E30" w:rsidRPr="006A0DFD" w:rsidRDefault="005F7E30" w:rsidP="00E129AF">
      <w:pPr>
        <w:jc w:val="both"/>
      </w:pPr>
      <w:r w:rsidRPr="005F7E30">
        <w:t xml:space="preserve">Smith, L.T. (1999) </w:t>
      </w:r>
      <w:r w:rsidRPr="005F7E30">
        <w:rPr>
          <w:i/>
          <w:iCs/>
        </w:rPr>
        <w:t>Decolonizing Methodologies: Research and Indigenous Peoples</w:t>
      </w:r>
      <w:r w:rsidRPr="005F7E30">
        <w:t>. London: Zed Books.</w:t>
      </w:r>
    </w:p>
    <w:p w14:paraId="6781EF1D" w14:textId="77777777" w:rsidR="00E129AF" w:rsidRDefault="00E129AF" w:rsidP="00E129AF">
      <w:pPr>
        <w:jc w:val="both"/>
      </w:pPr>
      <w:r w:rsidRPr="006A0DFD">
        <w:t xml:space="preserve">Speed, S. (2006) ‘At the crossroads of human rights and anthropology: Toward a critically engaged activist research’, </w:t>
      </w:r>
      <w:r w:rsidRPr="006A0DFD">
        <w:rPr>
          <w:i/>
          <w:iCs/>
        </w:rPr>
        <w:t>American Anthropologist</w:t>
      </w:r>
      <w:r w:rsidRPr="006A0DFD">
        <w:t>, 108(1), pp. 66–76</w:t>
      </w:r>
      <w:r>
        <w:t>.</w:t>
      </w:r>
    </w:p>
    <w:p w14:paraId="1723BC77" w14:textId="455390A2" w:rsidR="00E129AF" w:rsidRDefault="00E129AF" w:rsidP="00E129AF">
      <w:pPr>
        <w:jc w:val="both"/>
      </w:pPr>
      <w:r w:rsidRPr="00536DA1">
        <w:t xml:space="preserve">Tierney, P. (2000) </w:t>
      </w:r>
      <w:r w:rsidRPr="00536DA1">
        <w:rPr>
          <w:i/>
          <w:iCs/>
        </w:rPr>
        <w:t>Darkness in El Dorado: How Scientists and Journalists Devastated the Amazon</w:t>
      </w:r>
      <w:r w:rsidRPr="00536DA1">
        <w:t>. New York: W.W. Norton.</w:t>
      </w:r>
    </w:p>
    <w:p w14:paraId="27ACF3EB" w14:textId="77777777" w:rsidR="00E129AF" w:rsidRPr="00ED7C7D" w:rsidRDefault="00E129AF" w:rsidP="00E129AF">
      <w:pPr>
        <w:jc w:val="both"/>
      </w:pPr>
      <w:r w:rsidRPr="00ED7C7D">
        <w:t xml:space="preserve">Weston, G. and </w:t>
      </w:r>
      <w:proofErr w:type="spellStart"/>
      <w:r w:rsidRPr="00ED7C7D">
        <w:t>Djohari</w:t>
      </w:r>
      <w:proofErr w:type="spellEnd"/>
      <w:r w:rsidRPr="00ED7C7D">
        <w:t xml:space="preserve">, N. (2020) </w:t>
      </w:r>
      <w:r w:rsidRPr="00ED7C7D">
        <w:rPr>
          <w:i/>
          <w:iCs/>
        </w:rPr>
        <w:t>Anthropological Controversies: The Crimes and Misdemeanours that Shaped a Discipline</w:t>
      </w:r>
      <w:r w:rsidRPr="00ED7C7D">
        <w:t>. London: Routledge.</w:t>
      </w:r>
    </w:p>
    <w:p w14:paraId="7023E4BF" w14:textId="77777777" w:rsidR="00B86B93" w:rsidRDefault="00B86B93"/>
    <w:sectPr w:rsidR="00B86B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72FF5"/>
    <w:multiLevelType w:val="multilevel"/>
    <w:tmpl w:val="074E7A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B93137"/>
    <w:multiLevelType w:val="multilevel"/>
    <w:tmpl w:val="6E10D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115402"/>
    <w:multiLevelType w:val="multilevel"/>
    <w:tmpl w:val="3AE81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2E029A"/>
    <w:multiLevelType w:val="multilevel"/>
    <w:tmpl w:val="0B8A0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8D2F13"/>
    <w:multiLevelType w:val="multilevel"/>
    <w:tmpl w:val="764CB3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151E9B"/>
    <w:multiLevelType w:val="multilevel"/>
    <w:tmpl w:val="B490A1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BD0633"/>
    <w:multiLevelType w:val="multilevel"/>
    <w:tmpl w:val="1884F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D0303C"/>
    <w:multiLevelType w:val="multilevel"/>
    <w:tmpl w:val="68E6C3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1617EA"/>
    <w:multiLevelType w:val="multilevel"/>
    <w:tmpl w:val="363053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0135719">
    <w:abstractNumId w:val="6"/>
  </w:num>
  <w:num w:numId="2" w16cid:durableId="1005745441">
    <w:abstractNumId w:val="2"/>
  </w:num>
  <w:num w:numId="3" w16cid:durableId="390615578">
    <w:abstractNumId w:val="5"/>
  </w:num>
  <w:num w:numId="4" w16cid:durableId="1993368864">
    <w:abstractNumId w:val="7"/>
  </w:num>
  <w:num w:numId="5" w16cid:durableId="923337468">
    <w:abstractNumId w:val="1"/>
  </w:num>
  <w:num w:numId="6" w16cid:durableId="1884518078">
    <w:abstractNumId w:val="4"/>
  </w:num>
  <w:num w:numId="7" w16cid:durableId="1175994855">
    <w:abstractNumId w:val="3"/>
  </w:num>
  <w:num w:numId="8" w16cid:durableId="1491671875">
    <w:abstractNumId w:val="8"/>
  </w:num>
  <w:num w:numId="9" w16cid:durableId="338655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FCA"/>
    <w:rsid w:val="00022AA1"/>
    <w:rsid w:val="00032484"/>
    <w:rsid w:val="00057DE5"/>
    <w:rsid w:val="00062DFB"/>
    <w:rsid w:val="00064000"/>
    <w:rsid w:val="000678A4"/>
    <w:rsid w:val="000A1FB4"/>
    <w:rsid w:val="000E26EF"/>
    <w:rsid w:val="000E64F8"/>
    <w:rsid w:val="000E6EF3"/>
    <w:rsid w:val="00112262"/>
    <w:rsid w:val="001501FD"/>
    <w:rsid w:val="00175763"/>
    <w:rsid w:val="001B0706"/>
    <w:rsid w:val="001C3BAD"/>
    <w:rsid w:val="001D303E"/>
    <w:rsid w:val="0022419B"/>
    <w:rsid w:val="002505FE"/>
    <w:rsid w:val="0027072C"/>
    <w:rsid w:val="0027290B"/>
    <w:rsid w:val="002772EF"/>
    <w:rsid w:val="00305046"/>
    <w:rsid w:val="00307C06"/>
    <w:rsid w:val="00310DD3"/>
    <w:rsid w:val="00325115"/>
    <w:rsid w:val="0033248C"/>
    <w:rsid w:val="00333561"/>
    <w:rsid w:val="00367D3C"/>
    <w:rsid w:val="004267F7"/>
    <w:rsid w:val="00466279"/>
    <w:rsid w:val="00482C91"/>
    <w:rsid w:val="004956D7"/>
    <w:rsid w:val="004B24E7"/>
    <w:rsid w:val="004E3A21"/>
    <w:rsid w:val="00502251"/>
    <w:rsid w:val="00536DA1"/>
    <w:rsid w:val="00565410"/>
    <w:rsid w:val="0057204C"/>
    <w:rsid w:val="005C1E1C"/>
    <w:rsid w:val="005F7E30"/>
    <w:rsid w:val="00605786"/>
    <w:rsid w:val="006301CA"/>
    <w:rsid w:val="0067203B"/>
    <w:rsid w:val="006A0DFD"/>
    <w:rsid w:val="006E68C1"/>
    <w:rsid w:val="006F73C9"/>
    <w:rsid w:val="00700B5F"/>
    <w:rsid w:val="00705798"/>
    <w:rsid w:val="00736368"/>
    <w:rsid w:val="007446E0"/>
    <w:rsid w:val="008E015A"/>
    <w:rsid w:val="008F73A4"/>
    <w:rsid w:val="00960E10"/>
    <w:rsid w:val="00985963"/>
    <w:rsid w:val="009B5547"/>
    <w:rsid w:val="00AA6D60"/>
    <w:rsid w:val="00AA72DF"/>
    <w:rsid w:val="00B23CEE"/>
    <w:rsid w:val="00B84453"/>
    <w:rsid w:val="00B86B93"/>
    <w:rsid w:val="00BA6373"/>
    <w:rsid w:val="00BB0FCA"/>
    <w:rsid w:val="00BC4CD4"/>
    <w:rsid w:val="00BF52B2"/>
    <w:rsid w:val="00C126A8"/>
    <w:rsid w:val="00C33215"/>
    <w:rsid w:val="00C95C2E"/>
    <w:rsid w:val="00D511F8"/>
    <w:rsid w:val="00D6663A"/>
    <w:rsid w:val="00D82FD2"/>
    <w:rsid w:val="00D95B89"/>
    <w:rsid w:val="00E129AF"/>
    <w:rsid w:val="00E31795"/>
    <w:rsid w:val="00E76E48"/>
    <w:rsid w:val="00ED7C7D"/>
    <w:rsid w:val="00F1040A"/>
    <w:rsid w:val="00F15320"/>
    <w:rsid w:val="00F17F43"/>
    <w:rsid w:val="00F8448B"/>
    <w:rsid w:val="00F95817"/>
    <w:rsid w:val="00F9753B"/>
    <w:rsid w:val="00FA7235"/>
    <w:rsid w:val="00FC0078"/>
    <w:rsid w:val="00FC237B"/>
    <w:rsid w:val="00FC5054"/>
    <w:rsid w:val="00FD60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514E10FD"/>
  <w15:chartTrackingRefBased/>
  <w15:docId w15:val="{43C5EB79-302E-4CDF-A840-323668347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5FE"/>
  </w:style>
  <w:style w:type="paragraph" w:styleId="Heading1">
    <w:name w:val="heading 1"/>
    <w:basedOn w:val="Normal"/>
    <w:next w:val="Normal"/>
    <w:link w:val="Heading1Char"/>
    <w:uiPriority w:val="9"/>
    <w:qFormat/>
    <w:rsid w:val="00BB0F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0F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B0F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B0F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0F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0F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0F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0F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0F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F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0F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B0F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B0F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0F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0F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0F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0F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0FCA"/>
    <w:rPr>
      <w:rFonts w:eastAsiaTheme="majorEastAsia" w:cstheme="majorBidi"/>
      <w:color w:val="272727" w:themeColor="text1" w:themeTint="D8"/>
    </w:rPr>
  </w:style>
  <w:style w:type="paragraph" w:styleId="Title">
    <w:name w:val="Title"/>
    <w:basedOn w:val="Normal"/>
    <w:next w:val="Normal"/>
    <w:link w:val="TitleChar"/>
    <w:uiPriority w:val="10"/>
    <w:qFormat/>
    <w:rsid w:val="00BB0F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0F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0F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0F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0FCA"/>
    <w:pPr>
      <w:spacing w:before="160"/>
      <w:jc w:val="center"/>
    </w:pPr>
    <w:rPr>
      <w:i/>
      <w:iCs/>
      <w:color w:val="404040" w:themeColor="text1" w:themeTint="BF"/>
    </w:rPr>
  </w:style>
  <w:style w:type="character" w:customStyle="1" w:styleId="QuoteChar">
    <w:name w:val="Quote Char"/>
    <w:basedOn w:val="DefaultParagraphFont"/>
    <w:link w:val="Quote"/>
    <w:uiPriority w:val="29"/>
    <w:rsid w:val="00BB0FCA"/>
    <w:rPr>
      <w:i/>
      <w:iCs/>
      <w:color w:val="404040" w:themeColor="text1" w:themeTint="BF"/>
    </w:rPr>
  </w:style>
  <w:style w:type="paragraph" w:styleId="ListParagraph">
    <w:name w:val="List Paragraph"/>
    <w:basedOn w:val="Normal"/>
    <w:uiPriority w:val="34"/>
    <w:qFormat/>
    <w:rsid w:val="00BB0FCA"/>
    <w:pPr>
      <w:ind w:left="720"/>
      <w:contextualSpacing/>
    </w:pPr>
  </w:style>
  <w:style w:type="character" w:styleId="IntenseEmphasis">
    <w:name w:val="Intense Emphasis"/>
    <w:basedOn w:val="DefaultParagraphFont"/>
    <w:uiPriority w:val="21"/>
    <w:qFormat/>
    <w:rsid w:val="00BB0FCA"/>
    <w:rPr>
      <w:i/>
      <w:iCs/>
      <w:color w:val="0F4761" w:themeColor="accent1" w:themeShade="BF"/>
    </w:rPr>
  </w:style>
  <w:style w:type="paragraph" w:styleId="IntenseQuote">
    <w:name w:val="Intense Quote"/>
    <w:basedOn w:val="Normal"/>
    <w:next w:val="Normal"/>
    <w:link w:val="IntenseQuoteChar"/>
    <w:uiPriority w:val="30"/>
    <w:qFormat/>
    <w:rsid w:val="00BB0F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0FCA"/>
    <w:rPr>
      <w:i/>
      <w:iCs/>
      <w:color w:val="0F4761" w:themeColor="accent1" w:themeShade="BF"/>
    </w:rPr>
  </w:style>
  <w:style w:type="character" w:styleId="IntenseReference">
    <w:name w:val="Intense Reference"/>
    <w:basedOn w:val="DefaultParagraphFont"/>
    <w:uiPriority w:val="32"/>
    <w:qFormat/>
    <w:rsid w:val="00BB0F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8742</Words>
  <Characters>49834</Characters>
  <Application>Microsoft Office Word</Application>
  <DocSecurity>0</DocSecurity>
  <Lines>415</Lines>
  <Paragraphs>116</Paragraphs>
  <ScaleCrop>false</ScaleCrop>
  <Company>University of Wales Trinity Saint David</Company>
  <LinksUpToDate>false</LinksUpToDate>
  <CharactersWithSpaces>58460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O'Byrne</dc:creator>
  <cp:keywords/>
  <dc:description/>
  <cp:lastModifiedBy>Ryan O'Byrne</cp:lastModifiedBy>
  <cp:revision>50</cp:revision>
  <dcterms:created xsi:type="dcterms:W3CDTF">2026-03-26T17:00:00Z</dcterms:created>
  <dcterms:modified xsi:type="dcterms:W3CDTF">2026-05-01T13:13:00Z</dcterms:modified>
</cp:coreProperties>
</file>