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C9E" w:rsidRPr="00643C9E" w:rsidRDefault="00643C9E" w:rsidP="00643C9E">
      <w:pPr>
        <w:pStyle w:val="Title"/>
        <w:jc w:val="center"/>
        <w:rPr>
          <w:rFonts w:ascii="Arial" w:hAnsi="Arial" w:cs="Arial"/>
          <w:sz w:val="40"/>
          <w:szCs w:val="40"/>
        </w:rPr>
      </w:pPr>
      <w:r w:rsidRPr="00643C9E">
        <w:rPr>
          <w:rFonts w:ascii="Arial" w:hAnsi="Arial" w:cs="Arial"/>
          <w:sz w:val="40"/>
          <w:szCs w:val="40"/>
        </w:rPr>
        <w:t>IHG Financial Ratio Benchmark Comparison</w:t>
      </w:r>
    </w:p>
    <w:p w:rsidR="00643C9E" w:rsidRPr="00643C9E" w:rsidRDefault="00643C9E" w:rsidP="00643C9E">
      <w:pPr>
        <w:jc w:val="center"/>
        <w:rPr>
          <w:rFonts w:ascii="Arial" w:hAnsi="Arial" w:cs="Arial"/>
          <w:b/>
        </w:rPr>
      </w:pPr>
      <w:r w:rsidRPr="00643C9E">
        <w:rPr>
          <w:rFonts w:ascii="Arial" w:hAnsi="Arial" w:cs="Arial"/>
          <w:b/>
          <w:i/>
          <w:sz w:val="24"/>
        </w:rPr>
        <w:t xml:space="preserve">Written Comparison </w:t>
      </w:r>
      <w:proofErr w:type="spellStart"/>
      <w:r w:rsidRPr="00643C9E">
        <w:rPr>
          <w:rFonts w:ascii="Arial" w:hAnsi="Arial" w:cs="Arial"/>
          <w:b/>
          <w:i/>
          <w:sz w:val="24"/>
        </w:rPr>
        <w:t>vs</w:t>
      </w:r>
      <w:proofErr w:type="spellEnd"/>
      <w:r w:rsidRPr="00643C9E">
        <w:rPr>
          <w:rFonts w:ascii="Arial" w:hAnsi="Arial" w:cs="Arial"/>
          <w:b/>
          <w:i/>
          <w:sz w:val="24"/>
        </w:rPr>
        <w:t xml:space="preserve"> Direct Competitors &amp; Industry</w:t>
      </w:r>
    </w:p>
    <w:p w:rsidR="00643C9E" w:rsidRDefault="00643C9E" w:rsidP="00643C9E"/>
    <w:p w:rsidR="00643C9E" w:rsidRPr="00643C9E" w:rsidRDefault="00643C9E" w:rsidP="00643C9E">
      <w:pPr>
        <w:pStyle w:val="Heading1"/>
        <w:rPr>
          <w:rFonts w:ascii="Arial" w:hAnsi="Arial" w:cs="Arial"/>
          <w:color w:val="auto"/>
        </w:rPr>
      </w:pPr>
      <w:r w:rsidRPr="00643C9E">
        <w:rPr>
          <w:rFonts w:ascii="Arial" w:hAnsi="Arial" w:cs="Arial"/>
          <w:color w:val="auto"/>
        </w:rPr>
        <w:t>1. Introduction</w:t>
      </w:r>
    </w:p>
    <w:p w:rsidR="00643C9E" w:rsidRPr="00643C9E" w:rsidRDefault="00643C9E" w:rsidP="00643C9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3C9E">
        <w:rPr>
          <w:rFonts w:ascii="Arial" w:hAnsi="Arial" w:cs="Arial"/>
          <w:sz w:val="24"/>
          <w:szCs w:val="24"/>
        </w:rPr>
        <w:t>This note compares InterContinental Hotels Group (IHG) against tw</w:t>
      </w:r>
      <w:r>
        <w:rPr>
          <w:rFonts w:ascii="Arial" w:hAnsi="Arial" w:cs="Arial"/>
          <w:sz w:val="24"/>
          <w:szCs w:val="24"/>
        </w:rPr>
        <w:t>o direct large-cap competitors</w:t>
      </w:r>
      <w:r w:rsidRPr="00643C9E">
        <w:rPr>
          <w:rFonts w:ascii="Arial" w:hAnsi="Arial" w:cs="Arial"/>
          <w:sz w:val="24"/>
          <w:szCs w:val="24"/>
        </w:rPr>
        <w:t xml:space="preserve"> Marriott International and </w:t>
      </w:r>
      <w:r>
        <w:rPr>
          <w:rFonts w:ascii="Arial" w:hAnsi="Arial" w:cs="Arial"/>
          <w:sz w:val="24"/>
          <w:szCs w:val="24"/>
        </w:rPr>
        <w:t>Hilton Worldwide</w:t>
      </w:r>
      <w:r w:rsidRPr="00643C9E">
        <w:rPr>
          <w:rFonts w:ascii="Arial" w:hAnsi="Arial" w:cs="Arial"/>
          <w:sz w:val="24"/>
          <w:szCs w:val="24"/>
        </w:rPr>
        <w:t xml:space="preserve"> and against broader Hotels/Tourism industry averages. The comparison focuses on the latest full-year (2025) ratios for investment performance (ROA, ROE, P/E) and cash-flow strength (Operating Cash Flow Ratio and Free Cash Flow Margin), supplemented by key profitability and leverage metrics.</w:t>
      </w:r>
    </w:p>
    <w:p w:rsidR="00643C9E" w:rsidRPr="00643C9E" w:rsidRDefault="00643C9E" w:rsidP="00643C9E">
      <w:pPr>
        <w:pStyle w:val="Heading1"/>
        <w:rPr>
          <w:rFonts w:ascii="Arial" w:hAnsi="Arial" w:cs="Arial"/>
          <w:color w:val="auto"/>
        </w:rPr>
      </w:pPr>
      <w:r w:rsidRPr="00643C9E">
        <w:rPr>
          <w:rFonts w:ascii="Arial" w:hAnsi="Arial" w:cs="Arial"/>
          <w:color w:val="auto"/>
        </w:rPr>
        <w:t>2. Selected Competitors</w:t>
      </w:r>
    </w:p>
    <w:p w:rsidR="00643C9E" w:rsidRPr="00643C9E" w:rsidRDefault="00643C9E" w:rsidP="00643C9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3C9E">
        <w:rPr>
          <w:rFonts w:ascii="Arial" w:hAnsi="Arial" w:cs="Arial"/>
          <w:b/>
          <w:sz w:val="24"/>
          <w:szCs w:val="24"/>
        </w:rPr>
        <w:t xml:space="preserve">Marriott International (MAR) </w:t>
      </w:r>
      <w:r w:rsidRPr="00643C9E">
        <w:rPr>
          <w:rFonts w:ascii="Arial" w:hAnsi="Arial" w:cs="Arial"/>
          <w:sz w:val="24"/>
          <w:szCs w:val="24"/>
        </w:rPr>
        <w:t xml:space="preserve">and </w:t>
      </w:r>
      <w:r w:rsidRPr="00643C9E">
        <w:rPr>
          <w:rFonts w:ascii="Arial" w:hAnsi="Arial" w:cs="Arial"/>
          <w:b/>
          <w:sz w:val="24"/>
          <w:szCs w:val="24"/>
        </w:rPr>
        <w:t xml:space="preserve">Hilton Worldwide (HLT) </w:t>
      </w:r>
      <w:r w:rsidRPr="00643C9E">
        <w:rPr>
          <w:rFonts w:ascii="Arial" w:hAnsi="Arial" w:cs="Arial"/>
          <w:sz w:val="24"/>
          <w:szCs w:val="24"/>
        </w:rPr>
        <w:t>were chosen because they are the closest global peers in terms of business model (predominantly asset-light franchising and management), brand portfolio and geographic reach. Industry averages are drawn from Hotels, Tourism &amp; Amusement sector data (</w:t>
      </w:r>
      <w:proofErr w:type="spellStart"/>
      <w:r w:rsidRPr="00643C9E">
        <w:rPr>
          <w:rFonts w:ascii="Arial" w:hAnsi="Arial" w:cs="Arial"/>
          <w:sz w:val="24"/>
          <w:szCs w:val="24"/>
        </w:rPr>
        <w:t>CSIMarket</w:t>
      </w:r>
      <w:proofErr w:type="spellEnd"/>
      <w:r w:rsidRPr="00643C9E">
        <w:rPr>
          <w:rFonts w:ascii="Arial" w:hAnsi="Arial" w:cs="Arial"/>
          <w:sz w:val="24"/>
          <w:szCs w:val="24"/>
        </w:rPr>
        <w:t xml:space="preserve"> and peer aggregates).</w:t>
      </w:r>
    </w:p>
    <w:p w:rsidR="00643C9E" w:rsidRPr="00643C9E" w:rsidRDefault="00643C9E" w:rsidP="00643C9E">
      <w:pPr>
        <w:pStyle w:val="Heading1"/>
        <w:rPr>
          <w:rFonts w:ascii="Arial" w:hAnsi="Arial" w:cs="Arial"/>
          <w:color w:val="auto"/>
        </w:rPr>
      </w:pPr>
      <w:r w:rsidRPr="00643C9E">
        <w:rPr>
          <w:rFonts w:ascii="Arial" w:hAnsi="Arial" w:cs="Arial"/>
          <w:color w:val="auto"/>
        </w:rPr>
        <w:t>3. Key Ratio Comparison (2025)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4"/>
        <w:gridCol w:w="1806"/>
        <w:gridCol w:w="1855"/>
        <w:gridCol w:w="1865"/>
        <w:gridCol w:w="1832"/>
      </w:tblGrid>
      <w:tr w:rsidR="00643C9E" w:rsidTr="00BD4060"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  <w:b/>
              </w:rPr>
              <w:t>Ratio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  <w:b/>
              </w:rPr>
              <w:t>IHG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  <w:b/>
              </w:rPr>
              <w:t>Marriott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  <w:b/>
              </w:rPr>
              <w:t>Hilton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  <w:b/>
              </w:rPr>
              <w:t>Industry (</w:t>
            </w:r>
            <w:proofErr w:type="spellStart"/>
            <w:r w:rsidRPr="00643C9E">
              <w:rPr>
                <w:rFonts w:ascii="Arial" w:hAnsi="Arial" w:cs="Arial"/>
                <w:b/>
              </w:rPr>
              <w:t>approx</w:t>
            </w:r>
            <w:proofErr w:type="spellEnd"/>
            <w:r w:rsidRPr="00643C9E">
              <w:rPr>
                <w:rFonts w:ascii="Arial" w:hAnsi="Arial" w:cs="Arial"/>
                <w:b/>
              </w:rPr>
              <w:t>)</w:t>
            </w:r>
          </w:p>
        </w:tc>
      </w:tr>
      <w:tr w:rsidR="00643C9E" w:rsidTr="00BD4060"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ROA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14.2%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9.4%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10–12%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6–9%</w:t>
            </w:r>
          </w:p>
        </w:tc>
      </w:tr>
      <w:tr w:rsidR="00643C9E" w:rsidTr="00BD4060"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ROE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N/A (neg. equity)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High (buybacks)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High (buybacks)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Varies</w:t>
            </w:r>
          </w:p>
        </w:tc>
      </w:tr>
      <w:tr w:rsidR="00643C9E" w:rsidTr="00BD4060"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P/E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28x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30–35x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35–40x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25–35x</w:t>
            </w:r>
          </w:p>
        </w:tc>
      </w:tr>
      <w:tr w:rsidR="00643C9E" w:rsidTr="00BD4060"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Operating Margin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23.1%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15.8%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22.4%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Lower</w:t>
            </w:r>
          </w:p>
        </w:tc>
      </w:tr>
      <w:tr w:rsidR="00643C9E" w:rsidTr="00BD4060"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Net Profit Margin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14.6%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9.9%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12.1%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8–12%</w:t>
            </w:r>
          </w:p>
        </w:tc>
      </w:tr>
      <w:tr w:rsidR="00643C9E" w:rsidTr="00BD4060"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OCF Ratio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0.43x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0.3–0.5x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Similar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0.3–0.5x</w:t>
            </w:r>
          </w:p>
        </w:tc>
      </w:tr>
      <w:tr w:rsidR="00643C9E" w:rsidTr="00BD4060"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FCF Margin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17.2%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High teens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High teens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Lower</w:t>
            </w:r>
          </w:p>
        </w:tc>
      </w:tr>
      <w:tr w:rsidR="00643C9E" w:rsidTr="00BD4060"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Net Debt/EBITDA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2.5x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2.5–3.5x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3.1x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2–4x+</w:t>
            </w:r>
          </w:p>
        </w:tc>
      </w:tr>
      <w:tr w:rsidR="00643C9E" w:rsidTr="00BD4060"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Current Ratio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0.98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0.43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&lt;1.0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1.2</w:t>
            </w:r>
          </w:p>
        </w:tc>
      </w:tr>
      <w:tr w:rsidR="00643C9E" w:rsidTr="00BD4060"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Asset Turnover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0.97x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0.95x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Competitive</w:t>
            </w:r>
          </w:p>
        </w:tc>
        <w:tc>
          <w:tcPr>
            <w:tcW w:w="1930" w:type="dxa"/>
          </w:tcPr>
          <w:p w:rsidR="00643C9E" w:rsidRPr="00643C9E" w:rsidRDefault="00643C9E" w:rsidP="00BD4060">
            <w:pPr>
              <w:rPr>
                <w:rFonts w:ascii="Arial" w:hAnsi="Arial" w:cs="Arial"/>
              </w:rPr>
            </w:pPr>
            <w:r w:rsidRPr="00643C9E">
              <w:rPr>
                <w:rFonts w:ascii="Arial" w:hAnsi="Arial" w:cs="Arial"/>
              </w:rPr>
              <w:t>0.5–1.0x</w:t>
            </w:r>
          </w:p>
        </w:tc>
      </w:tr>
    </w:tbl>
    <w:p w:rsidR="00643C9E" w:rsidRDefault="00643C9E" w:rsidP="00643C9E"/>
    <w:p w:rsidR="00643C9E" w:rsidRPr="00643C9E" w:rsidRDefault="00643C9E" w:rsidP="00643C9E">
      <w:pPr>
        <w:pStyle w:val="Heading1"/>
        <w:rPr>
          <w:rFonts w:ascii="Arial" w:hAnsi="Arial" w:cs="Arial"/>
          <w:color w:val="auto"/>
        </w:rPr>
      </w:pPr>
      <w:r w:rsidRPr="00643C9E">
        <w:rPr>
          <w:rFonts w:ascii="Arial" w:hAnsi="Arial" w:cs="Arial"/>
          <w:color w:val="auto"/>
        </w:rPr>
        <w:lastRenderedPageBreak/>
        <w:t>4. Strengths of IHG</w:t>
      </w:r>
    </w:p>
    <w:p w:rsidR="00643C9E" w:rsidRPr="00643C9E" w:rsidRDefault="00643C9E" w:rsidP="00643C9E">
      <w:pPr>
        <w:pStyle w:val="ListBulle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3C9E">
        <w:rPr>
          <w:rFonts w:ascii="Arial" w:hAnsi="Arial" w:cs="Arial"/>
          <w:sz w:val="24"/>
          <w:szCs w:val="24"/>
        </w:rPr>
        <w:t>Highest net profit margin (14.6%) among the three companies, reflecting the purity of its fee-based model and strong operating leverage.</w:t>
      </w:r>
    </w:p>
    <w:p w:rsidR="00643C9E" w:rsidRPr="00643C9E" w:rsidRDefault="00643C9E" w:rsidP="00643C9E">
      <w:pPr>
        <w:pStyle w:val="ListBulle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3C9E">
        <w:rPr>
          <w:rFonts w:ascii="Arial" w:hAnsi="Arial" w:cs="Arial"/>
          <w:sz w:val="24"/>
          <w:szCs w:val="24"/>
        </w:rPr>
        <w:t>Superior Return on Assets (14.2%), confirming highly efficient use of a lean asset base.</w:t>
      </w:r>
    </w:p>
    <w:p w:rsidR="00643C9E" w:rsidRPr="00643C9E" w:rsidRDefault="00643C9E" w:rsidP="00643C9E">
      <w:pPr>
        <w:pStyle w:val="ListBulle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3C9E">
        <w:rPr>
          <w:rFonts w:ascii="Arial" w:hAnsi="Arial" w:cs="Arial"/>
          <w:sz w:val="24"/>
          <w:szCs w:val="24"/>
        </w:rPr>
        <w:t xml:space="preserve">More conservative leverage (Net Debt / Adj. EBITDA of </w:t>
      </w:r>
      <w:proofErr w:type="gramStart"/>
      <w:r w:rsidRPr="00643C9E">
        <w:rPr>
          <w:rFonts w:ascii="Arial" w:hAnsi="Arial" w:cs="Arial"/>
          <w:sz w:val="24"/>
          <w:szCs w:val="24"/>
        </w:rPr>
        <w:t>2.5x</w:t>
      </w:r>
      <w:proofErr w:type="gramEnd"/>
      <w:r w:rsidRPr="00643C9E">
        <w:rPr>
          <w:rFonts w:ascii="Arial" w:hAnsi="Arial" w:cs="Arial"/>
          <w:sz w:val="24"/>
          <w:szCs w:val="24"/>
        </w:rPr>
        <w:t>) than Hilton while still delivering substantial shareholder returns.</w:t>
      </w:r>
    </w:p>
    <w:p w:rsidR="00643C9E" w:rsidRPr="00643C9E" w:rsidRDefault="00643C9E" w:rsidP="00643C9E">
      <w:pPr>
        <w:pStyle w:val="ListBulle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3C9E">
        <w:rPr>
          <w:rFonts w:ascii="Arial" w:hAnsi="Arial" w:cs="Arial"/>
          <w:sz w:val="24"/>
          <w:szCs w:val="24"/>
        </w:rPr>
        <w:t>Consistent</w:t>
      </w:r>
      <w:r>
        <w:rPr>
          <w:rFonts w:ascii="Arial" w:hAnsi="Arial" w:cs="Arial"/>
          <w:sz w:val="24"/>
          <w:szCs w:val="24"/>
        </w:rPr>
        <w:t>ly high Free Cash Flow Margin (</w:t>
      </w:r>
      <w:r w:rsidRPr="00643C9E">
        <w:rPr>
          <w:rFonts w:ascii="Arial" w:hAnsi="Arial" w:cs="Arial"/>
          <w:sz w:val="24"/>
          <w:szCs w:val="24"/>
        </w:rPr>
        <w:t>17%), demonstrating robust cash conversion after capital expenditure.</w:t>
      </w:r>
    </w:p>
    <w:p w:rsidR="00643C9E" w:rsidRPr="00643C9E" w:rsidRDefault="00643C9E" w:rsidP="00643C9E">
      <w:pPr>
        <w:pStyle w:val="ListBulle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3C9E">
        <w:rPr>
          <w:rFonts w:ascii="Arial" w:hAnsi="Arial" w:cs="Arial"/>
          <w:sz w:val="24"/>
          <w:szCs w:val="24"/>
        </w:rPr>
        <w:t>Operating margin of 23.1% is competitive with Hilton and well above Marriott’s blended portfolio margin.</w:t>
      </w:r>
    </w:p>
    <w:p w:rsidR="00643C9E" w:rsidRPr="00643C9E" w:rsidRDefault="00643C9E" w:rsidP="00643C9E">
      <w:pPr>
        <w:pStyle w:val="Heading1"/>
        <w:rPr>
          <w:rFonts w:ascii="Arial" w:hAnsi="Arial" w:cs="Arial"/>
          <w:color w:val="auto"/>
        </w:rPr>
      </w:pPr>
      <w:r w:rsidRPr="00643C9E">
        <w:rPr>
          <w:rFonts w:ascii="Arial" w:hAnsi="Arial" w:cs="Arial"/>
          <w:color w:val="auto"/>
        </w:rPr>
        <w:t>5. Weaknesses / Contextual Points</w:t>
      </w:r>
    </w:p>
    <w:p w:rsidR="00643C9E" w:rsidRPr="00643C9E" w:rsidRDefault="00643C9E" w:rsidP="00643C9E">
      <w:pPr>
        <w:pStyle w:val="ListBulle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3C9E">
        <w:rPr>
          <w:rFonts w:ascii="Arial" w:hAnsi="Arial" w:cs="Arial"/>
          <w:sz w:val="24"/>
          <w:szCs w:val="24"/>
        </w:rPr>
        <w:t>Negative shareholders’ equity (and therefore an unusable ROE) is the direct consequence of l</w:t>
      </w:r>
      <w:r>
        <w:rPr>
          <w:rFonts w:ascii="Arial" w:hAnsi="Arial" w:cs="Arial"/>
          <w:sz w:val="24"/>
          <w:szCs w:val="24"/>
        </w:rPr>
        <w:t xml:space="preserve">arge cumulative share </w:t>
      </w:r>
      <w:proofErr w:type="gramStart"/>
      <w:r>
        <w:rPr>
          <w:rFonts w:ascii="Arial" w:hAnsi="Arial" w:cs="Arial"/>
          <w:sz w:val="24"/>
          <w:szCs w:val="24"/>
        </w:rPr>
        <w:t xml:space="preserve">buybacks </w:t>
      </w:r>
      <w:r w:rsidRPr="00643C9E">
        <w:rPr>
          <w:rFonts w:ascii="Arial" w:hAnsi="Arial" w:cs="Arial"/>
          <w:sz w:val="24"/>
          <w:szCs w:val="24"/>
        </w:rPr>
        <w:t xml:space="preserve"> a</w:t>
      </w:r>
      <w:proofErr w:type="gramEnd"/>
      <w:r w:rsidRPr="00643C9E">
        <w:rPr>
          <w:rFonts w:ascii="Arial" w:hAnsi="Arial" w:cs="Arial"/>
          <w:sz w:val="24"/>
          <w:szCs w:val="24"/>
        </w:rPr>
        <w:t xml:space="preserve"> capital-allocation choice also made by Marriott and Hilton. It does not indicate financial distress.</w:t>
      </w:r>
    </w:p>
    <w:p w:rsidR="00643C9E" w:rsidRPr="00643C9E" w:rsidRDefault="00643C9E" w:rsidP="00643C9E">
      <w:pPr>
        <w:pStyle w:val="ListBulle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3C9E">
        <w:rPr>
          <w:rFonts w:ascii="Arial" w:hAnsi="Arial" w:cs="Arial"/>
          <w:sz w:val="24"/>
          <w:szCs w:val="24"/>
        </w:rPr>
        <w:t xml:space="preserve">Absolute scale remains smaller than Marriott (revenue ≈ $5.2 </w:t>
      </w:r>
      <w:proofErr w:type="spellStart"/>
      <w:r w:rsidRPr="00643C9E">
        <w:rPr>
          <w:rFonts w:ascii="Arial" w:hAnsi="Arial" w:cs="Arial"/>
          <w:sz w:val="24"/>
          <w:szCs w:val="24"/>
        </w:rPr>
        <w:t>bn</w:t>
      </w:r>
      <w:proofErr w:type="spellEnd"/>
      <w:r w:rsidRPr="00643C9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3C9E">
        <w:rPr>
          <w:rFonts w:ascii="Arial" w:hAnsi="Arial" w:cs="Arial"/>
          <w:sz w:val="24"/>
          <w:szCs w:val="24"/>
        </w:rPr>
        <w:t>vs</w:t>
      </w:r>
      <w:proofErr w:type="spellEnd"/>
      <w:r w:rsidRPr="00643C9E">
        <w:rPr>
          <w:rFonts w:ascii="Arial" w:hAnsi="Arial" w:cs="Arial"/>
          <w:sz w:val="24"/>
          <w:szCs w:val="24"/>
        </w:rPr>
        <w:t xml:space="preserve"> ≈ $26 </w:t>
      </w:r>
      <w:proofErr w:type="spellStart"/>
      <w:r w:rsidRPr="00643C9E">
        <w:rPr>
          <w:rFonts w:ascii="Arial" w:hAnsi="Arial" w:cs="Arial"/>
          <w:sz w:val="24"/>
          <w:szCs w:val="24"/>
        </w:rPr>
        <w:t>bn</w:t>
      </w:r>
      <w:proofErr w:type="spellEnd"/>
      <w:r w:rsidRPr="00643C9E">
        <w:rPr>
          <w:rFonts w:ascii="Arial" w:hAnsi="Arial" w:cs="Arial"/>
          <w:sz w:val="24"/>
          <w:szCs w:val="24"/>
        </w:rPr>
        <w:t>), limiting absolute cash generation and diversification.</w:t>
      </w:r>
    </w:p>
    <w:p w:rsidR="00643C9E" w:rsidRPr="00643C9E" w:rsidRDefault="00643C9E" w:rsidP="00643C9E">
      <w:pPr>
        <w:pStyle w:val="ListBulle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3C9E">
        <w:rPr>
          <w:rFonts w:ascii="Arial" w:hAnsi="Arial" w:cs="Arial"/>
          <w:sz w:val="24"/>
          <w:szCs w:val="24"/>
        </w:rPr>
        <w:t>Current ratio near 1.0 is normal for pure asset-light operators but sits below traditional industry averages that include owned-hotel companies.</w:t>
      </w:r>
    </w:p>
    <w:p w:rsidR="00643C9E" w:rsidRPr="00643C9E" w:rsidRDefault="00643C9E" w:rsidP="00643C9E">
      <w:pPr>
        <w:pStyle w:val="ListBulle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3C9E">
        <w:rPr>
          <w:rFonts w:ascii="Arial" w:hAnsi="Arial" w:cs="Arial"/>
          <w:sz w:val="24"/>
          <w:szCs w:val="24"/>
        </w:rPr>
        <w:t>P/E of approximately 28× is reasonable but not the lowest in the sector; the valuation still prices in continued growth.</w:t>
      </w:r>
    </w:p>
    <w:p w:rsidR="00643C9E" w:rsidRPr="00643C9E" w:rsidRDefault="00643C9E" w:rsidP="00643C9E">
      <w:pPr>
        <w:pStyle w:val="Heading1"/>
        <w:rPr>
          <w:rFonts w:ascii="Arial" w:hAnsi="Arial" w:cs="Arial"/>
          <w:color w:val="auto"/>
        </w:rPr>
      </w:pPr>
      <w:r w:rsidRPr="00643C9E">
        <w:rPr>
          <w:rFonts w:ascii="Arial" w:hAnsi="Arial" w:cs="Arial"/>
          <w:color w:val="auto"/>
        </w:rPr>
        <w:t>6. Overall Conclusion</w:t>
      </w:r>
    </w:p>
    <w:p w:rsidR="00643C9E" w:rsidRPr="00643C9E" w:rsidRDefault="00643C9E" w:rsidP="00643C9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3C9E">
        <w:rPr>
          <w:rFonts w:ascii="Arial" w:hAnsi="Arial" w:cs="Arial"/>
          <w:sz w:val="24"/>
          <w:szCs w:val="24"/>
        </w:rPr>
        <w:t xml:space="preserve">On the ratios that matter most for </w:t>
      </w:r>
      <w:r w:rsidRPr="00643C9E">
        <w:rPr>
          <w:rFonts w:ascii="Arial" w:hAnsi="Arial" w:cs="Arial"/>
          <w:sz w:val="24"/>
          <w:szCs w:val="24"/>
        </w:rPr>
        <w:t>asset</w:t>
      </w:r>
      <w:r>
        <w:rPr>
          <w:rFonts w:ascii="Arial" w:hAnsi="Arial" w:cs="Arial"/>
          <w:sz w:val="24"/>
          <w:szCs w:val="24"/>
        </w:rPr>
        <w:t xml:space="preserve">-light hotel franchisor </w:t>
      </w:r>
      <w:r w:rsidRPr="00643C9E">
        <w:rPr>
          <w:rFonts w:ascii="Arial" w:hAnsi="Arial" w:cs="Arial"/>
          <w:sz w:val="24"/>
          <w:szCs w:val="24"/>
        </w:rPr>
        <w:t>profitability, asset efficiency, cash conversion and leverage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discipline  IHG</w:t>
      </w:r>
      <w:proofErr w:type="gramEnd"/>
      <w:r>
        <w:rPr>
          <w:rFonts w:ascii="Arial" w:hAnsi="Arial" w:cs="Arial"/>
          <w:sz w:val="24"/>
          <w:szCs w:val="24"/>
        </w:rPr>
        <w:t xml:space="preserve"> compares </w:t>
      </w:r>
      <w:proofErr w:type="spellStart"/>
      <w:r>
        <w:rPr>
          <w:rFonts w:ascii="Arial" w:hAnsi="Arial" w:cs="Arial"/>
          <w:sz w:val="24"/>
          <w:szCs w:val="24"/>
        </w:rPr>
        <w:t>favou</w:t>
      </w:r>
      <w:r w:rsidRPr="00643C9E">
        <w:rPr>
          <w:rFonts w:ascii="Arial" w:hAnsi="Arial" w:cs="Arial"/>
          <w:sz w:val="24"/>
          <w:szCs w:val="24"/>
        </w:rPr>
        <w:t>rably</w:t>
      </w:r>
      <w:proofErr w:type="spellEnd"/>
      <w:r w:rsidRPr="00643C9E">
        <w:rPr>
          <w:rFonts w:ascii="Arial" w:hAnsi="Arial" w:cs="Arial"/>
          <w:sz w:val="24"/>
          <w:szCs w:val="24"/>
        </w:rPr>
        <w:t xml:space="preserve"> with Marriott and Hilton and clearly outperforms broader industry averages that include more asset-heavy operators. The negative-equity anomaly is structural and shared with peers pursuing similar capital-return policies. The principal trade-off remains scale. Overall, IHG’s financial-ratio profile supports the </w:t>
      </w:r>
      <w:proofErr w:type="spellStart"/>
      <w:r w:rsidRPr="00643C9E">
        <w:rPr>
          <w:rFonts w:ascii="Arial" w:hAnsi="Arial" w:cs="Arial"/>
          <w:sz w:val="24"/>
          <w:szCs w:val="24"/>
        </w:rPr>
        <w:t>characterisation</w:t>
      </w:r>
      <w:proofErr w:type="spellEnd"/>
      <w:r w:rsidRPr="00643C9E">
        <w:rPr>
          <w:rFonts w:ascii="Arial" w:hAnsi="Arial" w:cs="Arial"/>
          <w:sz w:val="24"/>
          <w:szCs w:val="24"/>
        </w:rPr>
        <w:t xml:space="preserve"> of a high-</w:t>
      </w:r>
      <w:bookmarkStart w:id="0" w:name="_GoBack"/>
      <w:bookmarkEnd w:id="0"/>
      <w:r w:rsidRPr="00643C9E">
        <w:rPr>
          <w:rFonts w:ascii="Arial" w:hAnsi="Arial" w:cs="Arial"/>
          <w:sz w:val="24"/>
          <w:szCs w:val="24"/>
        </w:rPr>
        <w:t xml:space="preserve">quality, cash-generative and efficiently </w:t>
      </w:r>
      <w:proofErr w:type="spellStart"/>
      <w:r w:rsidRPr="00643C9E">
        <w:rPr>
          <w:rFonts w:ascii="Arial" w:hAnsi="Arial" w:cs="Arial"/>
          <w:sz w:val="24"/>
          <w:szCs w:val="24"/>
        </w:rPr>
        <w:t>capitalised</w:t>
      </w:r>
      <w:proofErr w:type="spellEnd"/>
      <w:r w:rsidRPr="00643C9E">
        <w:rPr>
          <w:rFonts w:ascii="Arial" w:hAnsi="Arial" w:cs="Arial"/>
          <w:sz w:val="24"/>
          <w:szCs w:val="24"/>
        </w:rPr>
        <w:t xml:space="preserve"> global hotel platform.</w:t>
      </w:r>
    </w:p>
    <w:p w:rsidR="00643C9E" w:rsidRPr="00643C9E" w:rsidRDefault="00643C9E" w:rsidP="00643C9E">
      <w:pPr>
        <w:rPr>
          <w:rFonts w:ascii="Arial" w:hAnsi="Arial" w:cs="Arial"/>
          <w:sz w:val="24"/>
          <w:szCs w:val="24"/>
        </w:rPr>
      </w:pPr>
      <w:r w:rsidRPr="00643C9E">
        <w:rPr>
          <w:rFonts w:ascii="Arial" w:hAnsi="Arial" w:cs="Arial"/>
          <w:sz w:val="24"/>
          <w:szCs w:val="24"/>
        </w:rPr>
        <w:t xml:space="preserve">Sources: IHG, Marriott and Hilton Full Year 2025 results; </w:t>
      </w:r>
      <w:proofErr w:type="spellStart"/>
      <w:r w:rsidRPr="00643C9E">
        <w:rPr>
          <w:rFonts w:ascii="Arial" w:hAnsi="Arial" w:cs="Arial"/>
          <w:sz w:val="24"/>
          <w:szCs w:val="24"/>
        </w:rPr>
        <w:t>Macrotrends</w:t>
      </w:r>
      <w:proofErr w:type="spellEnd"/>
      <w:r w:rsidRPr="00643C9E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643C9E">
        <w:rPr>
          <w:rFonts w:ascii="Arial" w:hAnsi="Arial" w:cs="Arial"/>
          <w:sz w:val="24"/>
          <w:szCs w:val="24"/>
        </w:rPr>
        <w:t>CSIMarket</w:t>
      </w:r>
      <w:proofErr w:type="spellEnd"/>
      <w:r w:rsidRPr="00643C9E">
        <w:rPr>
          <w:rFonts w:ascii="Arial" w:hAnsi="Arial" w:cs="Arial"/>
          <w:sz w:val="24"/>
          <w:szCs w:val="24"/>
        </w:rPr>
        <w:t xml:space="preserve"> industry data; company filings. </w:t>
      </w:r>
      <w:proofErr w:type="gramStart"/>
      <w:r w:rsidRPr="00643C9E">
        <w:rPr>
          <w:rFonts w:ascii="Arial" w:hAnsi="Arial" w:cs="Arial"/>
          <w:sz w:val="24"/>
          <w:szCs w:val="24"/>
        </w:rPr>
        <w:t>Prepared July 2026.</w:t>
      </w:r>
      <w:proofErr w:type="gramEnd"/>
    </w:p>
    <w:p w:rsidR="00643C9E" w:rsidRDefault="00643C9E" w:rsidP="00643C9E"/>
    <w:p w:rsidR="00CF1606" w:rsidRPr="00643C9E" w:rsidRDefault="00CF1606">
      <w:pPr>
        <w:rPr>
          <w:rFonts w:ascii="Arial" w:hAnsi="Arial" w:cs="Arial"/>
        </w:rPr>
      </w:pPr>
    </w:p>
    <w:sectPr w:rsidR="00CF1606" w:rsidRPr="00643C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EFC0A0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C9E"/>
    <w:rsid w:val="00643C9E"/>
    <w:rsid w:val="00CF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C9E"/>
    <w:rPr>
      <w:rFonts w:eastAsiaTheme="minorEastAsia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3C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3C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643C9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43C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ListBullet">
    <w:name w:val="List Bullet"/>
    <w:basedOn w:val="Normal"/>
    <w:uiPriority w:val="99"/>
    <w:unhideWhenUsed/>
    <w:rsid w:val="00643C9E"/>
    <w:pPr>
      <w:numPr>
        <w:numId w:val="1"/>
      </w:numPr>
      <w:contextualSpacing/>
    </w:pPr>
  </w:style>
  <w:style w:type="table" w:styleId="TableGrid">
    <w:name w:val="Table Grid"/>
    <w:basedOn w:val="TableNormal"/>
    <w:uiPriority w:val="59"/>
    <w:rsid w:val="00643C9E"/>
    <w:pPr>
      <w:spacing w:after="0" w:line="240" w:lineRule="auto"/>
    </w:pPr>
    <w:rPr>
      <w:rFonts w:eastAsiaTheme="minorEastAsia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C9E"/>
    <w:rPr>
      <w:rFonts w:eastAsiaTheme="minorEastAsia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3C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3C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643C9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43C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ListBullet">
    <w:name w:val="List Bullet"/>
    <w:basedOn w:val="Normal"/>
    <w:uiPriority w:val="99"/>
    <w:unhideWhenUsed/>
    <w:rsid w:val="00643C9E"/>
    <w:pPr>
      <w:numPr>
        <w:numId w:val="1"/>
      </w:numPr>
      <w:contextualSpacing/>
    </w:pPr>
  </w:style>
  <w:style w:type="table" w:styleId="TableGrid">
    <w:name w:val="Table Grid"/>
    <w:basedOn w:val="TableNormal"/>
    <w:uiPriority w:val="59"/>
    <w:rsid w:val="00643C9E"/>
    <w:pPr>
      <w:spacing w:after="0" w:line="240" w:lineRule="auto"/>
    </w:pPr>
    <w:rPr>
      <w:rFonts w:eastAsiaTheme="minorEastAsia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2026-07-26T14:01:00Z</dcterms:created>
  <dcterms:modified xsi:type="dcterms:W3CDTF">2026-07-26T14:11:00Z</dcterms:modified>
</cp:coreProperties>
</file>