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BDE38" w14:textId="509CBD0A" w:rsidR="002D7997" w:rsidRDefault="00D51421" w:rsidP="00D51421">
      <w:pPr>
        <w:jc w:val="center"/>
        <w:rPr>
          <w:b/>
          <w:bCs/>
          <w:sz w:val="32"/>
          <w:szCs w:val="32"/>
        </w:rPr>
      </w:pPr>
      <w:r>
        <w:rPr>
          <w:b/>
          <w:bCs/>
          <w:noProof/>
          <w:sz w:val="32"/>
          <w:szCs w:val="32"/>
        </w:rPr>
        <w:drawing>
          <wp:inline distT="0" distB="0" distL="0" distR="0" wp14:anchorId="6C47084B" wp14:editId="4D0EECBC">
            <wp:extent cx="1481455" cy="554990"/>
            <wp:effectExtent l="0" t="0" r="4445" b="0"/>
            <wp:docPr id="148043016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1455" cy="554990"/>
                    </a:xfrm>
                    <a:prstGeom prst="rect">
                      <a:avLst/>
                    </a:prstGeom>
                    <a:noFill/>
                  </pic:spPr>
                </pic:pic>
              </a:graphicData>
            </a:graphic>
          </wp:inline>
        </w:drawing>
      </w:r>
    </w:p>
    <w:p w14:paraId="2BC90886" w14:textId="77777777" w:rsidR="002D7997" w:rsidRDefault="002D7997">
      <w:pPr>
        <w:jc w:val="center"/>
        <w:rPr>
          <w:b/>
          <w:bCs/>
          <w:sz w:val="32"/>
          <w:szCs w:val="32"/>
        </w:rPr>
      </w:pPr>
    </w:p>
    <w:p w14:paraId="5A58D206" w14:textId="77777777" w:rsidR="002D7997" w:rsidRDefault="002D7997">
      <w:pPr>
        <w:jc w:val="center"/>
        <w:rPr>
          <w:b/>
          <w:bCs/>
          <w:sz w:val="32"/>
          <w:szCs w:val="32"/>
        </w:rPr>
      </w:pPr>
    </w:p>
    <w:p w14:paraId="1C7E05C0" w14:textId="77777777" w:rsidR="002D7997" w:rsidRDefault="00000000">
      <w:pPr>
        <w:jc w:val="center"/>
        <w:rPr>
          <w:b/>
          <w:bCs/>
          <w:sz w:val="32"/>
          <w:szCs w:val="32"/>
        </w:rPr>
      </w:pPr>
      <w:r>
        <w:rPr>
          <w:b/>
          <w:bCs/>
          <w:sz w:val="32"/>
          <w:szCs w:val="32"/>
        </w:rPr>
        <w:t>BA (Hons) Leadership and Management Skills for the Workplace</w:t>
      </w:r>
    </w:p>
    <w:p w14:paraId="29AF5ADD" w14:textId="77777777" w:rsidR="002D7997" w:rsidRDefault="00000000">
      <w:pPr>
        <w:jc w:val="center"/>
        <w:rPr>
          <w:b/>
          <w:bCs/>
          <w:sz w:val="32"/>
          <w:szCs w:val="32"/>
        </w:rPr>
      </w:pPr>
      <w:r>
        <w:rPr>
          <w:b/>
          <w:bCs/>
          <w:sz w:val="32"/>
          <w:szCs w:val="32"/>
        </w:rPr>
        <w:t>Module: Understanding and Engaging Stakeholders</w:t>
      </w:r>
    </w:p>
    <w:p w14:paraId="473D8808" w14:textId="77777777" w:rsidR="002D7997" w:rsidRDefault="00000000">
      <w:pPr>
        <w:jc w:val="center"/>
        <w:rPr>
          <w:b/>
          <w:bCs/>
          <w:sz w:val="32"/>
          <w:szCs w:val="32"/>
        </w:rPr>
      </w:pPr>
      <w:r>
        <w:rPr>
          <w:b/>
          <w:bCs/>
          <w:sz w:val="32"/>
          <w:szCs w:val="32"/>
        </w:rPr>
        <w:t>Module code: LCLM5001</w:t>
      </w:r>
    </w:p>
    <w:p w14:paraId="1E987A24" w14:textId="77777777" w:rsidR="002D7997" w:rsidRDefault="002D7997">
      <w:pPr>
        <w:jc w:val="center"/>
        <w:rPr>
          <w:b/>
          <w:bCs/>
          <w:sz w:val="32"/>
          <w:szCs w:val="32"/>
        </w:rPr>
      </w:pPr>
    </w:p>
    <w:p w14:paraId="5A928BBF" w14:textId="77777777" w:rsidR="002D7997" w:rsidRDefault="00000000">
      <w:pPr>
        <w:jc w:val="center"/>
        <w:rPr>
          <w:b/>
          <w:bCs/>
          <w:sz w:val="32"/>
          <w:szCs w:val="32"/>
        </w:rPr>
      </w:pPr>
      <w:r>
        <w:rPr>
          <w:b/>
          <w:bCs/>
          <w:sz w:val="32"/>
          <w:szCs w:val="32"/>
        </w:rPr>
        <w:t>Assignment Title: Understanding the importance of Stakeholder Engagement in the successful commencement and completion of the project</w:t>
      </w:r>
    </w:p>
    <w:p w14:paraId="430801F7" w14:textId="77777777" w:rsidR="002D7997" w:rsidRDefault="002D7997">
      <w:pPr>
        <w:jc w:val="center"/>
        <w:rPr>
          <w:b/>
          <w:bCs/>
          <w:sz w:val="32"/>
          <w:szCs w:val="32"/>
        </w:rPr>
      </w:pPr>
    </w:p>
    <w:p w14:paraId="254049EF" w14:textId="77777777" w:rsidR="002D7997" w:rsidRDefault="002D7997">
      <w:pPr>
        <w:jc w:val="center"/>
        <w:rPr>
          <w:b/>
          <w:bCs/>
          <w:sz w:val="32"/>
          <w:szCs w:val="32"/>
        </w:rPr>
      </w:pPr>
    </w:p>
    <w:p w14:paraId="2E610A33" w14:textId="77777777" w:rsidR="002D7997" w:rsidRDefault="00000000">
      <w:pPr>
        <w:jc w:val="center"/>
        <w:rPr>
          <w:b/>
          <w:bCs/>
          <w:sz w:val="32"/>
          <w:szCs w:val="32"/>
        </w:rPr>
      </w:pPr>
      <w:r>
        <w:rPr>
          <w:b/>
          <w:bCs/>
          <w:sz w:val="32"/>
          <w:szCs w:val="32"/>
        </w:rPr>
        <w:t>Module Leaders: Alastair Moyes, Nishi Ramsurrun</w:t>
      </w:r>
    </w:p>
    <w:p w14:paraId="5BD11F17" w14:textId="77777777" w:rsidR="002D7997" w:rsidRDefault="002D7997">
      <w:pPr>
        <w:jc w:val="center"/>
        <w:rPr>
          <w:b/>
          <w:bCs/>
          <w:sz w:val="32"/>
          <w:szCs w:val="32"/>
        </w:rPr>
      </w:pPr>
    </w:p>
    <w:p w14:paraId="7B615489" w14:textId="77777777" w:rsidR="002D7997" w:rsidRDefault="002D7997">
      <w:pPr>
        <w:jc w:val="center"/>
        <w:rPr>
          <w:b/>
          <w:bCs/>
          <w:sz w:val="32"/>
          <w:szCs w:val="32"/>
        </w:rPr>
      </w:pPr>
    </w:p>
    <w:p w14:paraId="5FF4F9FD" w14:textId="77777777" w:rsidR="002D7997" w:rsidRDefault="00000000">
      <w:pPr>
        <w:jc w:val="center"/>
        <w:rPr>
          <w:b/>
          <w:bCs/>
          <w:sz w:val="32"/>
          <w:szCs w:val="32"/>
        </w:rPr>
      </w:pPr>
      <w:r>
        <w:rPr>
          <w:b/>
          <w:bCs/>
          <w:sz w:val="32"/>
          <w:szCs w:val="32"/>
        </w:rPr>
        <w:t xml:space="preserve">Student Name: Vasile </w:t>
      </w:r>
      <w:proofErr w:type="spellStart"/>
      <w:r>
        <w:rPr>
          <w:b/>
          <w:bCs/>
          <w:sz w:val="32"/>
          <w:szCs w:val="32"/>
        </w:rPr>
        <w:t>Slevoaca</w:t>
      </w:r>
      <w:proofErr w:type="spellEnd"/>
    </w:p>
    <w:p w14:paraId="54274BC8" w14:textId="1F129486" w:rsidR="002D7997" w:rsidRDefault="00000000">
      <w:pPr>
        <w:jc w:val="center"/>
        <w:rPr>
          <w:b/>
          <w:bCs/>
          <w:sz w:val="32"/>
          <w:szCs w:val="32"/>
        </w:rPr>
      </w:pPr>
      <w:r>
        <w:rPr>
          <w:b/>
          <w:bCs/>
          <w:sz w:val="32"/>
          <w:szCs w:val="32"/>
        </w:rPr>
        <w:t>Student ID:</w:t>
      </w:r>
      <w:r w:rsidR="00D51421">
        <w:rPr>
          <w:b/>
          <w:bCs/>
          <w:sz w:val="32"/>
          <w:szCs w:val="32"/>
        </w:rPr>
        <w:t xml:space="preserve"> 2332190</w:t>
      </w:r>
    </w:p>
    <w:p w14:paraId="5E576E41" w14:textId="30B66DCC" w:rsidR="00D51421" w:rsidRDefault="00D51421">
      <w:pPr>
        <w:jc w:val="center"/>
        <w:rPr>
          <w:b/>
          <w:bCs/>
          <w:sz w:val="32"/>
          <w:szCs w:val="32"/>
        </w:rPr>
      </w:pPr>
      <w:r>
        <w:rPr>
          <w:b/>
          <w:bCs/>
          <w:sz w:val="32"/>
          <w:szCs w:val="32"/>
        </w:rPr>
        <w:t>Lecturer: Sukhpreet Grewal</w:t>
      </w:r>
    </w:p>
    <w:p w14:paraId="02930E94" w14:textId="2DED537E" w:rsidR="002D7997" w:rsidRDefault="00000000">
      <w:pPr>
        <w:jc w:val="center"/>
        <w:rPr>
          <w:b/>
          <w:bCs/>
          <w:sz w:val="32"/>
          <w:szCs w:val="32"/>
        </w:rPr>
      </w:pPr>
      <w:r>
        <w:br w:type="page"/>
      </w:r>
    </w:p>
    <w:p w14:paraId="5EA2EBDA" w14:textId="77777777" w:rsidR="002D7997" w:rsidRDefault="00000000">
      <w:pPr>
        <w:jc w:val="center"/>
        <w:rPr>
          <w:b/>
          <w:bCs/>
          <w:sz w:val="28"/>
          <w:szCs w:val="28"/>
        </w:rPr>
      </w:pPr>
      <w:r>
        <w:rPr>
          <w:b/>
          <w:bCs/>
          <w:sz w:val="28"/>
          <w:szCs w:val="28"/>
        </w:rPr>
        <w:lastRenderedPageBreak/>
        <w:t xml:space="preserve">Executive Summary </w:t>
      </w:r>
    </w:p>
    <w:p w14:paraId="2B3EEADB" w14:textId="77777777" w:rsidR="002D7997" w:rsidRDefault="00000000">
      <w:r>
        <w:t>This report has analysed the implications of collaboration, cooperation, coordination, and communication to minimise conflicts during project management and increase stakeholder engagement. This report identified the opportunity to ensure project success for developing wearable devices by effectively engaging stakeholders. Internal stakeholders of AstraZeneca are the CEO, the board of directors, project managers, doctors, and device engineers. Apart from the higher corporate executive advertising team, personal content creators, graphic designers, personal media channels, the employees, stockists, and medical representatives are also internal stakeholders. External stakeholders are customers, suppliers, vendors, media houses, healthy lifestyle influencers, gym trainers, social media health-related content creators, and resource and financial investors.</w:t>
      </w:r>
    </w:p>
    <w:p w14:paraId="27C4AA2D" w14:textId="77777777" w:rsidR="002D7997" w:rsidRDefault="002D7997">
      <w:pPr>
        <w:jc w:val="center"/>
        <w:rPr>
          <w:b/>
          <w:bCs/>
          <w:sz w:val="32"/>
          <w:szCs w:val="32"/>
        </w:rPr>
      </w:pPr>
    </w:p>
    <w:p w14:paraId="3EC1594A" w14:textId="77777777" w:rsidR="002D7997" w:rsidRDefault="00000000">
      <w:pPr>
        <w:jc w:val="center"/>
        <w:rPr>
          <w:b/>
          <w:bCs/>
          <w:sz w:val="32"/>
          <w:szCs w:val="32"/>
        </w:rPr>
      </w:pPr>
      <w:r>
        <w:br w:type="page"/>
      </w:r>
    </w:p>
    <w:p w14:paraId="1A8B36AA" w14:textId="77777777" w:rsidR="002D7997" w:rsidRDefault="00000000">
      <w:pPr>
        <w:jc w:val="center"/>
        <w:rPr>
          <w:b/>
          <w:bCs/>
        </w:rPr>
      </w:pPr>
      <w:r>
        <w:rPr>
          <w:b/>
          <w:bCs/>
        </w:rPr>
        <w:lastRenderedPageBreak/>
        <w:t xml:space="preserve">Table of Contents </w:t>
      </w:r>
    </w:p>
    <w:sdt>
      <w:sdtPr>
        <w:id w:val="301091795"/>
        <w:docPartObj>
          <w:docPartGallery w:val="Table of Contents"/>
          <w:docPartUnique/>
        </w:docPartObj>
      </w:sdtPr>
      <w:sdtContent>
        <w:p w14:paraId="69BCD5DF" w14:textId="77777777" w:rsidR="002D7997" w:rsidRDefault="00000000">
          <w:pPr>
            <w:pBdr>
              <w:top w:val="nil"/>
              <w:left w:val="nil"/>
              <w:bottom w:val="nil"/>
              <w:right w:val="nil"/>
              <w:between w:val="nil"/>
            </w:pBdr>
            <w:tabs>
              <w:tab w:val="right" w:leader="dot" w:pos="9019"/>
            </w:tabs>
            <w:spacing w:after="100"/>
            <w:rPr>
              <w:rFonts w:ascii="Cambria" w:eastAsia="Cambria" w:hAnsi="Cambria" w:cs="Cambria"/>
              <w:color w:val="000000"/>
            </w:rPr>
          </w:pPr>
          <w:r>
            <w:fldChar w:fldCharType="begin"/>
          </w:r>
          <w:r>
            <w:instrText xml:space="preserve"> TOC \h \u \z \t "Heading 1,1,Heading 2,2,Heading 3,3,Heading 4,4,Heading 5,5,Heading 6,6,"</w:instrText>
          </w:r>
          <w:r>
            <w:fldChar w:fldCharType="separate"/>
          </w:r>
          <w:hyperlink w:anchor="_heading=h.swp1hrw5w6ar">
            <w:r w:rsidR="002D7997">
              <w:rPr>
                <w:color w:val="000000"/>
              </w:rPr>
              <w:t>1. Introduction</w:t>
            </w:r>
            <w:r w:rsidR="002D7997">
              <w:rPr>
                <w:color w:val="000000"/>
              </w:rPr>
              <w:tab/>
              <w:t>4</w:t>
            </w:r>
          </w:hyperlink>
        </w:p>
        <w:p w14:paraId="0C65BC1C" w14:textId="77777777" w:rsidR="002D7997" w:rsidRDefault="002D7997">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x9xmndfdazwk">
            <w:r>
              <w:rPr>
                <w:color w:val="000000"/>
              </w:rPr>
              <w:t>1.1 Company Overview</w:t>
            </w:r>
            <w:r>
              <w:rPr>
                <w:color w:val="000000"/>
              </w:rPr>
              <w:tab/>
              <w:t>4</w:t>
            </w:r>
          </w:hyperlink>
        </w:p>
        <w:p w14:paraId="35EE2775" w14:textId="77777777" w:rsidR="002D7997" w:rsidRDefault="002D7997">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41h81fd4xpyc">
            <w:r>
              <w:rPr>
                <w:color w:val="000000"/>
              </w:rPr>
              <w:t>1.2 Purpose and presentation of the study</w:t>
            </w:r>
            <w:r>
              <w:rPr>
                <w:color w:val="000000"/>
              </w:rPr>
              <w:tab/>
              <w:t>4</w:t>
            </w:r>
          </w:hyperlink>
        </w:p>
        <w:p w14:paraId="0C6C9091" w14:textId="77777777" w:rsidR="002D7997" w:rsidRDefault="002D7997">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pceyvt8m9m9n">
            <w:r>
              <w:rPr>
                <w:color w:val="000000"/>
              </w:rPr>
              <w:t>2. SWOT analysis</w:t>
            </w:r>
            <w:r>
              <w:rPr>
                <w:color w:val="000000"/>
              </w:rPr>
              <w:tab/>
              <w:t>5</w:t>
            </w:r>
          </w:hyperlink>
        </w:p>
        <w:p w14:paraId="3BF2D515" w14:textId="77777777" w:rsidR="002D7997" w:rsidRDefault="002D7997">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n8vh4w27l0mh">
            <w:r>
              <w:rPr>
                <w:color w:val="000000"/>
              </w:rPr>
              <w:t>3. Identification of stakeholders</w:t>
            </w:r>
            <w:r>
              <w:rPr>
                <w:color w:val="000000"/>
              </w:rPr>
              <w:tab/>
              <w:t>6</w:t>
            </w:r>
          </w:hyperlink>
        </w:p>
        <w:p w14:paraId="6DE54843" w14:textId="77777777" w:rsidR="002D7997" w:rsidRDefault="002D7997">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os99mlyyul1c">
            <w:r>
              <w:rPr>
                <w:color w:val="000000"/>
              </w:rPr>
              <w:t>4. Stakeholder analysis</w:t>
            </w:r>
            <w:r>
              <w:rPr>
                <w:color w:val="000000"/>
              </w:rPr>
              <w:tab/>
              <w:t>8</w:t>
            </w:r>
          </w:hyperlink>
        </w:p>
        <w:p w14:paraId="1012370B" w14:textId="77777777" w:rsidR="002D7997" w:rsidRDefault="002D7997">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w7bis9ujp1sx">
            <w:r>
              <w:rPr>
                <w:color w:val="000000"/>
              </w:rPr>
              <w:t>4.1 Role and responsibilities of stakeholders</w:t>
            </w:r>
            <w:r>
              <w:rPr>
                <w:color w:val="000000"/>
              </w:rPr>
              <w:tab/>
              <w:t>8</w:t>
            </w:r>
          </w:hyperlink>
        </w:p>
        <w:p w14:paraId="25D6487C" w14:textId="77777777" w:rsidR="002D7997" w:rsidRDefault="002D7997">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swdij9eczkck">
            <w:r>
              <w:rPr>
                <w:color w:val="000000"/>
              </w:rPr>
              <w:t>4.2 Benefits and challenges of stakeholders</w:t>
            </w:r>
            <w:r>
              <w:rPr>
                <w:color w:val="000000"/>
              </w:rPr>
              <w:tab/>
              <w:t>8</w:t>
            </w:r>
          </w:hyperlink>
        </w:p>
        <w:p w14:paraId="28A78C53" w14:textId="77777777" w:rsidR="002D7997" w:rsidRDefault="002D7997">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fpqhnjq0gv0d">
            <w:r>
              <w:rPr>
                <w:color w:val="000000"/>
              </w:rPr>
              <w:t>5. Theoretical implication</w:t>
            </w:r>
            <w:r>
              <w:rPr>
                <w:color w:val="000000"/>
              </w:rPr>
              <w:tab/>
              <w:t>9</w:t>
            </w:r>
          </w:hyperlink>
        </w:p>
        <w:p w14:paraId="3EBF065F" w14:textId="77777777" w:rsidR="002D7997" w:rsidRDefault="002D7997">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ra0382iddrw3">
            <w:r>
              <w:rPr>
                <w:color w:val="000000"/>
              </w:rPr>
              <w:t>5.1 Stakeholder matrix</w:t>
            </w:r>
            <w:r>
              <w:rPr>
                <w:color w:val="000000"/>
              </w:rPr>
              <w:tab/>
              <w:t>9</w:t>
            </w:r>
          </w:hyperlink>
        </w:p>
        <w:p w14:paraId="41644985" w14:textId="77777777" w:rsidR="002D7997" w:rsidRDefault="002D7997">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sqjvg956raib">
            <w:r>
              <w:rPr>
                <w:color w:val="000000"/>
              </w:rPr>
              <w:t>5.2 Engagement plan</w:t>
            </w:r>
            <w:r>
              <w:rPr>
                <w:color w:val="000000"/>
              </w:rPr>
              <w:tab/>
              <w:t>10</w:t>
            </w:r>
          </w:hyperlink>
        </w:p>
        <w:p w14:paraId="3F655972" w14:textId="77777777" w:rsidR="002D7997" w:rsidRDefault="002D7997">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q932a2ktaslw">
            <w:r>
              <w:rPr>
                <w:color w:val="000000"/>
              </w:rPr>
              <w:t>5.3 Communication plan</w:t>
            </w:r>
            <w:r>
              <w:rPr>
                <w:color w:val="000000"/>
              </w:rPr>
              <w:tab/>
              <w:t>10</w:t>
            </w:r>
          </w:hyperlink>
        </w:p>
        <w:p w14:paraId="2E2533FF" w14:textId="77777777" w:rsidR="002D7997" w:rsidRDefault="002D7997">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wizpg8holqs2">
            <w:r>
              <w:rPr>
                <w:color w:val="000000"/>
              </w:rPr>
              <w:t>5.4 RACI matrix</w:t>
            </w:r>
            <w:r>
              <w:rPr>
                <w:color w:val="000000"/>
              </w:rPr>
              <w:tab/>
              <w:t>11</w:t>
            </w:r>
          </w:hyperlink>
        </w:p>
        <w:p w14:paraId="64487F59" w14:textId="77777777" w:rsidR="002D7997" w:rsidRDefault="002D7997">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vci9tpi0fan">
            <w:r>
              <w:rPr>
                <w:color w:val="000000"/>
              </w:rPr>
              <w:t>6. Strategy for stakeholder engagement and conflicts</w:t>
            </w:r>
            <w:r>
              <w:rPr>
                <w:color w:val="000000"/>
              </w:rPr>
              <w:tab/>
              <w:t>12</w:t>
            </w:r>
          </w:hyperlink>
        </w:p>
        <w:p w14:paraId="4C4A5EA2" w14:textId="77777777" w:rsidR="002D7997" w:rsidRDefault="002D7997">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bsec39ye754j">
            <w:r>
              <w:rPr>
                <w:color w:val="000000"/>
              </w:rPr>
              <w:t>6.1 Method of stakeholder engagement</w:t>
            </w:r>
            <w:r>
              <w:rPr>
                <w:color w:val="000000"/>
              </w:rPr>
              <w:tab/>
              <w:t>12</w:t>
            </w:r>
          </w:hyperlink>
        </w:p>
        <w:p w14:paraId="5C1D5CDE" w14:textId="77777777" w:rsidR="002D7997" w:rsidRDefault="002D7997">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ybi989kflz9y">
            <w:r>
              <w:rPr>
                <w:color w:val="000000"/>
              </w:rPr>
              <w:t>6.2 4Cs Model</w:t>
            </w:r>
            <w:r>
              <w:rPr>
                <w:color w:val="000000"/>
              </w:rPr>
              <w:tab/>
              <w:t>13</w:t>
            </w:r>
          </w:hyperlink>
        </w:p>
        <w:p w14:paraId="6D809FB1" w14:textId="77777777" w:rsidR="002D7997" w:rsidRDefault="002D7997">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ot4uxfafdb7x">
            <w:r>
              <w:rPr>
                <w:color w:val="000000"/>
              </w:rPr>
              <w:t>7. Evaluation of the impacts of stakeholder engagements for performance and recordation</w:t>
            </w:r>
            <w:r>
              <w:rPr>
                <w:color w:val="000000"/>
              </w:rPr>
              <w:tab/>
              <w:t>14</w:t>
            </w:r>
          </w:hyperlink>
        </w:p>
        <w:p w14:paraId="7A7B2A7B" w14:textId="77777777" w:rsidR="002D7997" w:rsidRDefault="002D7997">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tcsdumcllz1f">
            <w:r>
              <w:rPr>
                <w:color w:val="000000"/>
              </w:rPr>
              <w:t>7.1 Impacts of stakeholder engagement</w:t>
            </w:r>
            <w:r>
              <w:rPr>
                <w:color w:val="000000"/>
              </w:rPr>
              <w:tab/>
              <w:t>14</w:t>
            </w:r>
          </w:hyperlink>
        </w:p>
        <w:p w14:paraId="6219A126" w14:textId="77777777" w:rsidR="002D7997" w:rsidRDefault="002D7997">
          <w:pPr>
            <w:pBdr>
              <w:top w:val="nil"/>
              <w:left w:val="nil"/>
              <w:bottom w:val="nil"/>
              <w:right w:val="nil"/>
              <w:between w:val="nil"/>
            </w:pBdr>
            <w:tabs>
              <w:tab w:val="right" w:leader="dot" w:pos="9019"/>
            </w:tabs>
            <w:spacing w:after="100"/>
            <w:ind w:left="240"/>
            <w:rPr>
              <w:rFonts w:ascii="Cambria" w:eastAsia="Cambria" w:hAnsi="Cambria" w:cs="Cambria"/>
              <w:color w:val="000000"/>
            </w:rPr>
          </w:pPr>
          <w:hyperlink w:anchor="_heading=h.njblks2rmmtj">
            <w:r>
              <w:rPr>
                <w:color w:val="000000"/>
              </w:rPr>
              <w:t>7.2 Recommendation for future integration</w:t>
            </w:r>
            <w:r>
              <w:rPr>
                <w:color w:val="000000"/>
              </w:rPr>
              <w:tab/>
              <w:t>15</w:t>
            </w:r>
          </w:hyperlink>
        </w:p>
        <w:p w14:paraId="0C482160" w14:textId="77777777" w:rsidR="002D7997" w:rsidRDefault="002D7997">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m4kkodteczti">
            <w:r>
              <w:rPr>
                <w:color w:val="000000"/>
              </w:rPr>
              <w:t>8. Conclusion</w:t>
            </w:r>
            <w:r>
              <w:rPr>
                <w:color w:val="000000"/>
              </w:rPr>
              <w:tab/>
              <w:t>17</w:t>
            </w:r>
          </w:hyperlink>
        </w:p>
        <w:p w14:paraId="463508F0" w14:textId="77777777" w:rsidR="002D7997" w:rsidRDefault="002D7997">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co5mo09tphwl">
            <w:r>
              <w:rPr>
                <w:color w:val="000000"/>
              </w:rPr>
              <w:t>References</w:t>
            </w:r>
            <w:r>
              <w:rPr>
                <w:color w:val="000000"/>
              </w:rPr>
              <w:tab/>
              <w:t>19</w:t>
            </w:r>
          </w:hyperlink>
        </w:p>
        <w:p w14:paraId="7BA4A757" w14:textId="77777777" w:rsidR="002D7997" w:rsidRDefault="00000000">
          <w:pPr>
            <w:widowControl w:val="0"/>
            <w:tabs>
              <w:tab w:val="right" w:pos="9025"/>
            </w:tabs>
            <w:spacing w:before="60" w:line="240" w:lineRule="auto"/>
            <w:jc w:val="left"/>
            <w:rPr>
              <w:b/>
              <w:bCs/>
              <w:color w:val="000000"/>
            </w:rPr>
          </w:pPr>
          <w:r>
            <w:fldChar w:fldCharType="end"/>
          </w:r>
        </w:p>
      </w:sdtContent>
    </w:sdt>
    <w:p w14:paraId="76B4B1BC" w14:textId="77777777" w:rsidR="002D7997" w:rsidRDefault="00000000">
      <w:pPr>
        <w:rPr>
          <w:b/>
          <w:bCs/>
          <w:sz w:val="28"/>
          <w:szCs w:val="28"/>
        </w:rPr>
      </w:pPr>
      <w:r>
        <w:br w:type="page"/>
      </w:r>
    </w:p>
    <w:p w14:paraId="0D136054" w14:textId="77777777" w:rsidR="002D7997" w:rsidRDefault="00000000">
      <w:pPr>
        <w:pStyle w:val="Heading1"/>
      </w:pPr>
      <w:bookmarkStart w:id="0" w:name="_heading=h.swp1hrw5w6ar" w:colFirst="0" w:colLast="0"/>
      <w:bookmarkEnd w:id="0"/>
      <w:r>
        <w:lastRenderedPageBreak/>
        <w:t>1. Introduction</w:t>
      </w:r>
    </w:p>
    <w:p w14:paraId="3B6320B3" w14:textId="77777777" w:rsidR="002D7997" w:rsidRDefault="00000000">
      <w:pPr>
        <w:pStyle w:val="Heading2"/>
      </w:pPr>
      <w:bookmarkStart w:id="1" w:name="_heading=h.x9xmndfdazwk" w:colFirst="0" w:colLast="0"/>
      <w:bookmarkEnd w:id="1"/>
      <w:r>
        <w:t>1.1 Company Overview</w:t>
      </w:r>
    </w:p>
    <w:p w14:paraId="64EA56FB" w14:textId="1D2A24C2" w:rsidR="002D7997" w:rsidRDefault="00000000">
      <w:r>
        <w:t xml:space="preserve">AstraZeneca is a UK-based biopharmaceutical company, focusing on discovering, developing and selling innovative medicinal products for oncology, rare diseases, cardio-vascular, renal, metabolism, respiratory and immunology domains. As demonstrated in Figure 1, </w:t>
      </w:r>
      <w:proofErr w:type="gramStart"/>
      <w:r>
        <w:t>the majority of</w:t>
      </w:r>
      <w:proofErr w:type="gramEnd"/>
      <w:r>
        <w:t xml:space="preserve"> the net revenue of AstraZeneca, approximately 15193.53 million pounds, came from its therapeutic domain of oncology. </w:t>
      </w:r>
      <w:proofErr w:type="gramStart"/>
      <w:r>
        <w:t>The majority of</w:t>
      </w:r>
      <w:proofErr w:type="gramEnd"/>
      <w:r>
        <w:t xml:space="preserve"> biopharmaceutical products cure diseases in areas of cancer, cardiovascular, gastrointestinal, infection, neuroscience, respiratory and inflammation. AstraZeneca is a globally reputed brand in biopharmaceuticals, medicines. </w:t>
      </w:r>
      <w:proofErr w:type="spellStart"/>
      <w:r>
        <w:t>Tagrisso</w:t>
      </w:r>
      <w:proofErr w:type="spellEnd"/>
      <w:r>
        <w:t xml:space="preserve"> is the cornerstone drug of AstraZeneca’s oncology business, having the highest selling revenue (</w:t>
      </w:r>
      <w:proofErr w:type="spellStart"/>
      <w:r>
        <w:t>Patsnap</w:t>
      </w:r>
      <w:proofErr w:type="spellEnd"/>
      <w:r>
        <w:t xml:space="preserve"> Synapse, 2025). Most of the products of AstraZeneca are drugs, pharmaceutical medicines. Main competitors of AstraZeneca are “Pfizer, Inc.”, “GlaxoSmithKline (GSK)”, “Novartis International AG”, “Merck Sharp &amp; Dohme Corp. (MSD)”. However, AstraZeneca has not invented any health tracking devices yet. This report has focused on AstraZeneca, a healthcare service organisation headquartered in the UK. </w:t>
      </w:r>
    </w:p>
    <w:p w14:paraId="0D17C0DD" w14:textId="77777777" w:rsidR="002D7997" w:rsidRDefault="00000000">
      <w:pPr>
        <w:jc w:val="center"/>
      </w:pPr>
      <w:r>
        <w:rPr>
          <w:noProof/>
        </w:rPr>
        <w:drawing>
          <wp:inline distT="114300" distB="114300" distL="114300" distR="114300" wp14:anchorId="5E2498F8" wp14:editId="3D0D569C">
            <wp:extent cx="4262438" cy="2258667"/>
            <wp:effectExtent l="12700" t="12700" r="12700" b="127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262438" cy="2258667"/>
                    </a:xfrm>
                    <a:prstGeom prst="rect">
                      <a:avLst/>
                    </a:prstGeom>
                    <a:ln w="12700">
                      <a:solidFill>
                        <a:srgbClr val="000000"/>
                      </a:solidFill>
                      <a:prstDash val="solid"/>
                    </a:ln>
                  </pic:spPr>
                </pic:pic>
              </a:graphicData>
            </a:graphic>
          </wp:inline>
        </w:drawing>
      </w:r>
    </w:p>
    <w:p w14:paraId="634EA46B" w14:textId="77777777" w:rsidR="002D7997" w:rsidRDefault="00000000">
      <w:pPr>
        <w:jc w:val="center"/>
        <w:rPr>
          <w:b/>
          <w:bCs/>
        </w:rPr>
      </w:pPr>
      <w:r>
        <w:rPr>
          <w:b/>
          <w:bCs/>
        </w:rPr>
        <w:t xml:space="preserve">Figure 1: Net revenue of AstraZeneca from different therapeutic areas </w:t>
      </w:r>
    </w:p>
    <w:p w14:paraId="5B06774F" w14:textId="77777777" w:rsidR="002D7997" w:rsidRDefault="00000000">
      <w:pPr>
        <w:jc w:val="center"/>
      </w:pPr>
      <w:r>
        <w:t>(Source: Mikulic, 2025)</w:t>
      </w:r>
    </w:p>
    <w:p w14:paraId="221BF4C2" w14:textId="77777777" w:rsidR="002D7997" w:rsidRDefault="00000000">
      <w:pPr>
        <w:pStyle w:val="Heading2"/>
      </w:pPr>
      <w:bookmarkStart w:id="2" w:name="_heading=h.41h81fd4xpyc" w:colFirst="0" w:colLast="0"/>
      <w:bookmarkEnd w:id="2"/>
      <w:r>
        <w:t xml:space="preserve">1.2 Purpose and presentation of the study </w:t>
      </w:r>
    </w:p>
    <w:p w14:paraId="25896EE6" w14:textId="77777777" w:rsidR="002D7997" w:rsidRDefault="00000000">
      <w:r>
        <w:t xml:space="preserve">The purpose of this study is to develop a comprehensive plan for AstraZeneca to launch a wearable health device that would track heartbeat rate, oxygen level and sleeping pattern of customers in 6 months. The study has presented an appraisal of the strategic planning tool, internal and external stakeholders for the product development team, marketing and sales department. A detailed explanation of stakeholders’ roles and responsibilities, communication, and engagement plan has been developed with the RACI matrix. A critical explanation of the </w:t>
      </w:r>
      <w:r>
        <w:lastRenderedPageBreak/>
        <w:t xml:space="preserve">responsibilities of stakeholders with the 4C’s model has been designed in the study. The impact of a stakeholder engagement program for business performance and future recommendations has been presented in this study to support wearable health device launching of AstraZeneca. </w:t>
      </w:r>
    </w:p>
    <w:p w14:paraId="24703EC7" w14:textId="77777777" w:rsidR="002D7997" w:rsidRDefault="00000000">
      <w:pPr>
        <w:pStyle w:val="Heading1"/>
      </w:pPr>
      <w:bookmarkStart w:id="3" w:name="_heading=h.pceyvt8m9m9n" w:colFirst="0" w:colLast="0"/>
      <w:bookmarkEnd w:id="3"/>
      <w:r>
        <w:t xml:space="preserve">2. SWOT analysis </w:t>
      </w:r>
    </w:p>
    <w:tbl>
      <w:tblPr>
        <w:tblStyle w:val="ab"/>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2D7997" w14:paraId="5D1C8141" w14:textId="77777777">
        <w:tc>
          <w:tcPr>
            <w:tcW w:w="4514" w:type="dxa"/>
            <w:shd w:val="clear" w:color="auto" w:fill="FCE5CD"/>
            <w:tcMar>
              <w:top w:w="100" w:type="dxa"/>
              <w:left w:w="100" w:type="dxa"/>
              <w:bottom w:w="100" w:type="dxa"/>
              <w:right w:w="100" w:type="dxa"/>
            </w:tcMar>
          </w:tcPr>
          <w:p w14:paraId="01252E3D" w14:textId="77777777" w:rsidR="002D7997" w:rsidRDefault="00000000">
            <w:pPr>
              <w:widowControl w:val="0"/>
              <w:pBdr>
                <w:top w:val="nil"/>
                <w:left w:val="nil"/>
                <w:bottom w:val="nil"/>
                <w:right w:val="nil"/>
                <w:between w:val="nil"/>
              </w:pBdr>
              <w:jc w:val="center"/>
              <w:rPr>
                <w:b/>
                <w:bCs/>
                <w:i/>
                <w:iCs/>
              </w:rPr>
            </w:pPr>
            <w:r>
              <w:rPr>
                <w:b/>
                <w:bCs/>
                <w:i/>
                <w:iCs/>
              </w:rPr>
              <w:t xml:space="preserve">Strengths </w:t>
            </w:r>
          </w:p>
        </w:tc>
        <w:tc>
          <w:tcPr>
            <w:tcW w:w="4515" w:type="dxa"/>
            <w:shd w:val="clear" w:color="auto" w:fill="FCE5CD"/>
            <w:tcMar>
              <w:top w:w="100" w:type="dxa"/>
              <w:left w:w="100" w:type="dxa"/>
              <w:bottom w:w="100" w:type="dxa"/>
              <w:right w:w="100" w:type="dxa"/>
            </w:tcMar>
          </w:tcPr>
          <w:p w14:paraId="0A6B9AC0" w14:textId="77777777" w:rsidR="002D7997" w:rsidRDefault="00000000">
            <w:pPr>
              <w:widowControl w:val="0"/>
              <w:pBdr>
                <w:top w:val="nil"/>
                <w:left w:val="nil"/>
                <w:bottom w:val="nil"/>
                <w:right w:val="nil"/>
                <w:between w:val="nil"/>
              </w:pBdr>
              <w:jc w:val="center"/>
              <w:rPr>
                <w:b/>
                <w:bCs/>
                <w:i/>
                <w:iCs/>
              </w:rPr>
            </w:pPr>
            <w:r>
              <w:rPr>
                <w:b/>
                <w:bCs/>
                <w:i/>
                <w:iCs/>
              </w:rPr>
              <w:t xml:space="preserve">Weakness </w:t>
            </w:r>
          </w:p>
        </w:tc>
      </w:tr>
      <w:tr w:rsidR="002D7997" w14:paraId="6811A33B" w14:textId="77777777">
        <w:tc>
          <w:tcPr>
            <w:tcW w:w="4514" w:type="dxa"/>
            <w:shd w:val="clear" w:color="auto" w:fill="FFF2CC"/>
            <w:tcMar>
              <w:top w:w="100" w:type="dxa"/>
              <w:left w:w="100" w:type="dxa"/>
              <w:bottom w:w="100" w:type="dxa"/>
              <w:right w:w="100" w:type="dxa"/>
            </w:tcMar>
          </w:tcPr>
          <w:p w14:paraId="29978739" w14:textId="77777777" w:rsidR="002D7997" w:rsidRDefault="00000000">
            <w:pPr>
              <w:widowControl w:val="0"/>
              <w:numPr>
                <w:ilvl w:val="0"/>
                <w:numId w:val="1"/>
              </w:numPr>
              <w:pBdr>
                <w:top w:val="nil"/>
                <w:left w:val="nil"/>
                <w:bottom w:val="nil"/>
                <w:right w:val="nil"/>
                <w:between w:val="nil"/>
              </w:pBdr>
            </w:pPr>
            <w:r>
              <w:t xml:space="preserve">Gross profit of AstraZeneca was 32.87 billion pounds in 2024, which is a 16.84% increase from 2023 (Macro Trends, </w:t>
            </w:r>
            <w:proofErr w:type="spellStart"/>
            <w:r>
              <w:t>n.d</w:t>
            </w:r>
            <w:proofErr w:type="spellEnd"/>
            <w:r>
              <w:t xml:space="preserve">). </w:t>
            </w:r>
          </w:p>
          <w:p w14:paraId="352B6761" w14:textId="77777777" w:rsidR="002D7997" w:rsidRDefault="00000000">
            <w:pPr>
              <w:widowControl w:val="0"/>
              <w:numPr>
                <w:ilvl w:val="0"/>
                <w:numId w:val="1"/>
              </w:numPr>
              <w:pBdr>
                <w:top w:val="nil"/>
                <w:left w:val="nil"/>
                <w:bottom w:val="nil"/>
                <w:right w:val="nil"/>
                <w:between w:val="nil"/>
              </w:pBdr>
            </w:pPr>
            <w:r>
              <w:t xml:space="preserve">Strong support of employees increases the effectiveness of the business (Rivaldo and Nabella, 2023). </w:t>
            </w:r>
          </w:p>
        </w:tc>
        <w:tc>
          <w:tcPr>
            <w:tcW w:w="4515" w:type="dxa"/>
            <w:shd w:val="clear" w:color="auto" w:fill="FFF2CC"/>
            <w:tcMar>
              <w:top w:w="100" w:type="dxa"/>
              <w:left w:w="100" w:type="dxa"/>
              <w:bottom w:w="100" w:type="dxa"/>
              <w:right w:w="100" w:type="dxa"/>
            </w:tcMar>
          </w:tcPr>
          <w:p w14:paraId="5D29CDA0" w14:textId="77777777" w:rsidR="002D7997" w:rsidRDefault="00000000">
            <w:pPr>
              <w:widowControl w:val="0"/>
              <w:numPr>
                <w:ilvl w:val="0"/>
                <w:numId w:val="1"/>
              </w:numPr>
              <w:pBdr>
                <w:top w:val="nil"/>
                <w:left w:val="nil"/>
                <w:bottom w:val="nil"/>
                <w:right w:val="nil"/>
                <w:between w:val="nil"/>
              </w:pBdr>
            </w:pPr>
            <w:r>
              <w:t xml:space="preserve">AstraZeneca has a significant patent challenge owing to the blockbuster SPC drug supply issues (Schulze, 2025). </w:t>
            </w:r>
          </w:p>
          <w:p w14:paraId="27C267B7" w14:textId="77777777" w:rsidR="002D7997" w:rsidRDefault="00000000">
            <w:pPr>
              <w:widowControl w:val="0"/>
              <w:numPr>
                <w:ilvl w:val="0"/>
                <w:numId w:val="1"/>
              </w:numPr>
              <w:pBdr>
                <w:top w:val="nil"/>
                <w:left w:val="nil"/>
                <w:bottom w:val="nil"/>
                <w:right w:val="nil"/>
                <w:between w:val="nil"/>
              </w:pBdr>
            </w:pPr>
            <w:r>
              <w:t>Negative brand image reduces customer engagement rate (</w:t>
            </w:r>
            <w:proofErr w:type="spellStart"/>
            <w:r>
              <w:t>Bigné</w:t>
            </w:r>
            <w:proofErr w:type="spellEnd"/>
            <w:r>
              <w:t>, Ruiz-</w:t>
            </w:r>
            <w:proofErr w:type="spellStart"/>
            <w:r>
              <w:t>Mafé</w:t>
            </w:r>
            <w:proofErr w:type="spellEnd"/>
            <w:r>
              <w:t xml:space="preserve"> and </w:t>
            </w:r>
            <w:proofErr w:type="spellStart"/>
            <w:r>
              <w:t>Badenes</w:t>
            </w:r>
            <w:proofErr w:type="spellEnd"/>
            <w:r>
              <w:t xml:space="preserve">-Rocha, 2023). </w:t>
            </w:r>
          </w:p>
        </w:tc>
      </w:tr>
      <w:tr w:rsidR="002D7997" w14:paraId="4398DC15" w14:textId="77777777">
        <w:tc>
          <w:tcPr>
            <w:tcW w:w="4514" w:type="dxa"/>
            <w:shd w:val="clear" w:color="auto" w:fill="FCE5CD"/>
            <w:tcMar>
              <w:top w:w="100" w:type="dxa"/>
              <w:left w:w="100" w:type="dxa"/>
              <w:bottom w:w="100" w:type="dxa"/>
              <w:right w:w="100" w:type="dxa"/>
            </w:tcMar>
          </w:tcPr>
          <w:p w14:paraId="07B000C7" w14:textId="77777777" w:rsidR="002D7997" w:rsidRDefault="00000000">
            <w:pPr>
              <w:widowControl w:val="0"/>
              <w:pBdr>
                <w:top w:val="nil"/>
                <w:left w:val="nil"/>
                <w:bottom w:val="nil"/>
                <w:right w:val="nil"/>
                <w:between w:val="nil"/>
              </w:pBdr>
              <w:jc w:val="center"/>
              <w:rPr>
                <w:b/>
                <w:bCs/>
                <w:i/>
                <w:iCs/>
              </w:rPr>
            </w:pPr>
            <w:r>
              <w:rPr>
                <w:b/>
                <w:bCs/>
                <w:i/>
                <w:iCs/>
              </w:rPr>
              <w:t xml:space="preserve">Opportunity </w:t>
            </w:r>
          </w:p>
        </w:tc>
        <w:tc>
          <w:tcPr>
            <w:tcW w:w="4515" w:type="dxa"/>
            <w:shd w:val="clear" w:color="auto" w:fill="FCE5CD"/>
            <w:tcMar>
              <w:top w:w="100" w:type="dxa"/>
              <w:left w:w="100" w:type="dxa"/>
              <w:bottom w:w="100" w:type="dxa"/>
              <w:right w:w="100" w:type="dxa"/>
            </w:tcMar>
          </w:tcPr>
          <w:p w14:paraId="061A8CD1" w14:textId="77777777" w:rsidR="002D7997" w:rsidRDefault="00000000">
            <w:pPr>
              <w:widowControl w:val="0"/>
              <w:pBdr>
                <w:top w:val="nil"/>
                <w:left w:val="nil"/>
                <w:bottom w:val="nil"/>
                <w:right w:val="nil"/>
                <w:between w:val="nil"/>
              </w:pBdr>
              <w:jc w:val="center"/>
              <w:rPr>
                <w:b/>
                <w:bCs/>
                <w:i/>
                <w:iCs/>
              </w:rPr>
            </w:pPr>
            <w:r>
              <w:rPr>
                <w:b/>
                <w:bCs/>
                <w:i/>
                <w:iCs/>
              </w:rPr>
              <w:t xml:space="preserve">Threat </w:t>
            </w:r>
          </w:p>
        </w:tc>
      </w:tr>
      <w:tr w:rsidR="002D7997" w14:paraId="7E11B700" w14:textId="77777777">
        <w:tc>
          <w:tcPr>
            <w:tcW w:w="4514" w:type="dxa"/>
            <w:shd w:val="clear" w:color="auto" w:fill="FFF2CC"/>
            <w:tcMar>
              <w:top w:w="100" w:type="dxa"/>
              <w:left w:w="100" w:type="dxa"/>
              <w:bottom w:w="100" w:type="dxa"/>
              <w:right w:w="100" w:type="dxa"/>
            </w:tcMar>
          </w:tcPr>
          <w:p w14:paraId="5A3FE745" w14:textId="77777777" w:rsidR="002D7997" w:rsidRDefault="00000000">
            <w:pPr>
              <w:widowControl w:val="0"/>
              <w:numPr>
                <w:ilvl w:val="0"/>
                <w:numId w:val="2"/>
              </w:numPr>
              <w:pBdr>
                <w:top w:val="nil"/>
                <w:left w:val="nil"/>
                <w:bottom w:val="nil"/>
                <w:right w:val="nil"/>
                <w:between w:val="nil"/>
              </w:pBdr>
            </w:pPr>
            <w:r>
              <w:t xml:space="preserve">The ambition of AstraZeneca is to attain 59.95 billion euros by 2030 (AstraZeneca, 2024). </w:t>
            </w:r>
          </w:p>
          <w:p w14:paraId="60983382" w14:textId="77777777" w:rsidR="002D7997" w:rsidRDefault="00000000">
            <w:pPr>
              <w:widowControl w:val="0"/>
              <w:numPr>
                <w:ilvl w:val="0"/>
                <w:numId w:val="2"/>
              </w:numPr>
              <w:pBdr>
                <w:top w:val="nil"/>
                <w:left w:val="nil"/>
                <w:bottom w:val="nil"/>
                <w:right w:val="nil"/>
                <w:between w:val="nil"/>
              </w:pBdr>
            </w:pPr>
            <w:r>
              <w:t>Expanding business practice into international locations presents an opportunity to increase financial revenue (</w:t>
            </w:r>
            <w:proofErr w:type="spellStart"/>
            <w:r>
              <w:t>Nosike</w:t>
            </w:r>
            <w:proofErr w:type="spellEnd"/>
            <w:r>
              <w:t xml:space="preserve">, </w:t>
            </w:r>
            <w:proofErr w:type="spellStart"/>
            <w:r>
              <w:t>Ojobor</w:t>
            </w:r>
            <w:proofErr w:type="spellEnd"/>
            <w:r>
              <w:t xml:space="preserve"> and Nwosu, 2024). </w:t>
            </w:r>
          </w:p>
        </w:tc>
        <w:tc>
          <w:tcPr>
            <w:tcW w:w="4515" w:type="dxa"/>
            <w:shd w:val="clear" w:color="auto" w:fill="FFF2CC"/>
            <w:tcMar>
              <w:top w:w="100" w:type="dxa"/>
              <w:left w:w="100" w:type="dxa"/>
              <w:bottom w:w="100" w:type="dxa"/>
              <w:right w:w="100" w:type="dxa"/>
            </w:tcMar>
          </w:tcPr>
          <w:p w14:paraId="49FCDC37" w14:textId="77777777" w:rsidR="002D7997" w:rsidRDefault="00000000">
            <w:pPr>
              <w:widowControl w:val="0"/>
              <w:numPr>
                <w:ilvl w:val="0"/>
                <w:numId w:val="2"/>
              </w:numPr>
              <w:pBdr>
                <w:top w:val="nil"/>
                <w:left w:val="nil"/>
                <w:bottom w:val="nil"/>
                <w:right w:val="nil"/>
                <w:between w:val="nil"/>
              </w:pBdr>
            </w:pPr>
            <w:r>
              <w:t xml:space="preserve">Huge market competition exacerbates the profitability of an organisation (Lee and Lee, 2022). </w:t>
            </w:r>
          </w:p>
          <w:p w14:paraId="04990998" w14:textId="77777777" w:rsidR="002D7997" w:rsidRDefault="00000000">
            <w:pPr>
              <w:widowControl w:val="0"/>
              <w:numPr>
                <w:ilvl w:val="0"/>
                <w:numId w:val="2"/>
              </w:numPr>
              <w:pBdr>
                <w:top w:val="nil"/>
                <w:left w:val="nil"/>
                <w:bottom w:val="nil"/>
                <w:right w:val="nil"/>
                <w:between w:val="nil"/>
              </w:pBdr>
            </w:pPr>
            <w:r>
              <w:t xml:space="preserve">Cybercrime vulnerability endangers business operations, data security and financial profitability (George, Baskar and </w:t>
            </w:r>
            <w:proofErr w:type="spellStart"/>
            <w:r>
              <w:t>Srikaanth</w:t>
            </w:r>
            <w:proofErr w:type="spellEnd"/>
            <w:r>
              <w:t xml:space="preserve">, 2024). </w:t>
            </w:r>
          </w:p>
        </w:tc>
      </w:tr>
    </w:tbl>
    <w:p w14:paraId="08A67057" w14:textId="77777777" w:rsidR="002D7997" w:rsidRDefault="00000000">
      <w:pPr>
        <w:jc w:val="center"/>
        <w:rPr>
          <w:b/>
          <w:bCs/>
        </w:rPr>
      </w:pPr>
      <w:r>
        <w:rPr>
          <w:b/>
          <w:bCs/>
        </w:rPr>
        <w:t xml:space="preserve">Table 1: SWOT analysis of AstraZeneca </w:t>
      </w:r>
    </w:p>
    <w:p w14:paraId="74307E76" w14:textId="77777777" w:rsidR="002D7997" w:rsidRDefault="00000000">
      <w:pPr>
        <w:jc w:val="center"/>
      </w:pPr>
      <w:r>
        <w:t xml:space="preserve">(Source: Self-created) </w:t>
      </w:r>
    </w:p>
    <w:p w14:paraId="0370724D" w14:textId="77777777" w:rsidR="002D7997" w:rsidRDefault="00000000">
      <w:pPr>
        <w:rPr>
          <w:b/>
          <w:bCs/>
        </w:rPr>
      </w:pPr>
      <w:r>
        <w:rPr>
          <w:b/>
          <w:bCs/>
        </w:rPr>
        <w:t xml:space="preserve">Analysis </w:t>
      </w:r>
    </w:p>
    <w:p w14:paraId="0BDDAA26" w14:textId="77777777" w:rsidR="002D7997" w:rsidRDefault="00000000">
      <w:r>
        <w:t xml:space="preserve">The above SWOT analysis has demonstrated strengths, weaknesses, opportunities and threats of AstraZeneca. Potential strengths of AstraZeneca are an increased net profit, which will increase 16.84% from 2023 and become 32.87 billion pounds in 2024. Net profit of an organisation serves as a potential asset to support research and innovation (Humeniuk </w:t>
      </w:r>
      <w:r>
        <w:rPr>
          <w:i/>
          <w:iCs/>
        </w:rPr>
        <w:t xml:space="preserve">et al., </w:t>
      </w:r>
      <w:r>
        <w:t xml:space="preserve">2022). Employee support also increases operational effectiveness, encouraging innovation and implementation in R&amp;D-oriented industries (Rivaldo &amp; Nabella, 2023). However, some </w:t>
      </w:r>
      <w:r>
        <w:lastRenderedPageBreak/>
        <w:t>weaknesses characterised by major patent reclaiming concerns over blockbuster SPC drug provision matters arise, posing threats to revenue streams due to expiring protective strategies (Schulze, 2025). In addition, a negative brand image will hamper customer interaction, damaging confidence and customer market share (</w:t>
      </w:r>
      <w:proofErr w:type="spellStart"/>
      <w:r>
        <w:t>Bigné</w:t>
      </w:r>
      <w:proofErr w:type="spellEnd"/>
      <w:r>
        <w:t>, Ruiz-</w:t>
      </w:r>
      <w:proofErr w:type="spellStart"/>
      <w:r>
        <w:t>Mafé</w:t>
      </w:r>
      <w:proofErr w:type="spellEnd"/>
      <w:r>
        <w:t xml:space="preserve"> &amp; </w:t>
      </w:r>
      <w:proofErr w:type="spellStart"/>
      <w:r>
        <w:t>Badenes</w:t>
      </w:r>
      <w:proofErr w:type="spellEnd"/>
      <w:r>
        <w:t xml:space="preserve">-Rocha, 2023). The comparative analysis of potential strengths and weaknesses of AstraZeneca calls for urgent action to implement transparency and value-based business practices. </w:t>
      </w:r>
    </w:p>
    <w:p w14:paraId="51D533CB" w14:textId="77777777" w:rsidR="002D7997" w:rsidRDefault="00000000">
      <w:r>
        <w:t>The potential financial strength of AstraZeneca supports the potential opportunity of global expansion of the brand. The expansion opportunities are also high, and AstraZeneca is estimated to generate revenues of up to 59.95billion pounds by 2030, supported by aggressive growth strategies (AstraZeneca, 2024). A global market segmentation provides access to tap into new sources of revenue and exploit increasing oncological and rare disease markets (</w:t>
      </w:r>
      <w:proofErr w:type="spellStart"/>
      <w:r>
        <w:t>Nosike</w:t>
      </w:r>
      <w:proofErr w:type="spellEnd"/>
      <w:r>
        <w:t xml:space="preserve">, </w:t>
      </w:r>
      <w:proofErr w:type="spellStart"/>
      <w:r>
        <w:t>Ojobor</w:t>
      </w:r>
      <w:proofErr w:type="spellEnd"/>
      <w:r>
        <w:t xml:space="preserve"> &amp; Nwosu, 2024). On the other hand, there remain significant threats: the appealing market competition narrows down the profitability by initiating a fight concerning prices and generics (Lee and Lee, 2022), and cybercrime risks jeopardise business survival and operational integrity, data integrity, and financial sustainability (George, Baskar and </w:t>
      </w:r>
      <w:proofErr w:type="spellStart"/>
      <w:r>
        <w:t>Srikaanth</w:t>
      </w:r>
      <w:proofErr w:type="spellEnd"/>
      <w:r>
        <w:t>, 2024). Altogether, AstraZeneca needs to leverage its financial strength and global ambitions to prevent patent crashes, brand issues and external threats, and thus attain sustainable leadership.</w:t>
      </w:r>
    </w:p>
    <w:p w14:paraId="7B30D13A" w14:textId="77777777" w:rsidR="002D7997" w:rsidRDefault="00000000">
      <w:pPr>
        <w:pStyle w:val="Heading1"/>
      </w:pPr>
      <w:bookmarkStart w:id="4" w:name="_heading=h.n8vh4w27l0mh" w:colFirst="0" w:colLast="0"/>
      <w:bookmarkEnd w:id="4"/>
      <w:r>
        <w:t>3. Identification of stakeholders</w:t>
      </w:r>
    </w:p>
    <w:tbl>
      <w:tblPr>
        <w:tblStyle w:val="ac"/>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65"/>
        <w:gridCol w:w="3735"/>
        <w:gridCol w:w="3000"/>
      </w:tblGrid>
      <w:tr w:rsidR="002D7997" w14:paraId="5E2FD809" w14:textId="77777777">
        <w:tc>
          <w:tcPr>
            <w:tcW w:w="2265" w:type="dxa"/>
            <w:shd w:val="clear" w:color="auto" w:fill="A4C2F4"/>
            <w:tcMar>
              <w:top w:w="100" w:type="dxa"/>
              <w:left w:w="100" w:type="dxa"/>
              <w:bottom w:w="100" w:type="dxa"/>
              <w:right w:w="100" w:type="dxa"/>
            </w:tcMar>
          </w:tcPr>
          <w:p w14:paraId="1AD7A026" w14:textId="77777777" w:rsidR="002D7997" w:rsidRDefault="002D7997">
            <w:pPr>
              <w:widowControl w:val="0"/>
              <w:pBdr>
                <w:top w:val="nil"/>
                <w:left w:val="nil"/>
                <w:bottom w:val="nil"/>
                <w:right w:val="nil"/>
                <w:between w:val="nil"/>
              </w:pBdr>
            </w:pPr>
          </w:p>
        </w:tc>
        <w:tc>
          <w:tcPr>
            <w:tcW w:w="3735" w:type="dxa"/>
            <w:shd w:val="clear" w:color="auto" w:fill="A4C2F4"/>
            <w:tcMar>
              <w:top w:w="100" w:type="dxa"/>
              <w:left w:w="100" w:type="dxa"/>
              <w:bottom w:w="100" w:type="dxa"/>
              <w:right w:w="100" w:type="dxa"/>
            </w:tcMar>
          </w:tcPr>
          <w:p w14:paraId="5D2791DE" w14:textId="77777777" w:rsidR="002D7997" w:rsidRDefault="00000000">
            <w:pPr>
              <w:widowControl w:val="0"/>
              <w:pBdr>
                <w:top w:val="nil"/>
                <w:left w:val="nil"/>
                <w:bottom w:val="nil"/>
                <w:right w:val="nil"/>
                <w:between w:val="nil"/>
              </w:pBdr>
              <w:jc w:val="center"/>
              <w:rPr>
                <w:b/>
                <w:bCs/>
                <w:i/>
                <w:iCs/>
              </w:rPr>
            </w:pPr>
            <w:r>
              <w:rPr>
                <w:b/>
                <w:bCs/>
                <w:i/>
                <w:iCs/>
              </w:rPr>
              <w:t xml:space="preserve">Internal stakeholders </w:t>
            </w:r>
          </w:p>
        </w:tc>
        <w:tc>
          <w:tcPr>
            <w:tcW w:w="3000" w:type="dxa"/>
            <w:shd w:val="clear" w:color="auto" w:fill="A4C2F4"/>
            <w:tcMar>
              <w:top w:w="100" w:type="dxa"/>
              <w:left w:w="100" w:type="dxa"/>
              <w:bottom w:w="100" w:type="dxa"/>
              <w:right w:w="100" w:type="dxa"/>
            </w:tcMar>
          </w:tcPr>
          <w:p w14:paraId="5213D71A" w14:textId="77777777" w:rsidR="002D7997" w:rsidRDefault="00000000">
            <w:pPr>
              <w:widowControl w:val="0"/>
              <w:pBdr>
                <w:top w:val="nil"/>
                <w:left w:val="nil"/>
                <w:bottom w:val="nil"/>
                <w:right w:val="nil"/>
                <w:between w:val="nil"/>
              </w:pBdr>
              <w:jc w:val="center"/>
              <w:rPr>
                <w:b/>
                <w:bCs/>
                <w:i/>
                <w:iCs/>
              </w:rPr>
            </w:pPr>
            <w:r>
              <w:rPr>
                <w:b/>
                <w:bCs/>
                <w:i/>
                <w:iCs/>
              </w:rPr>
              <w:t xml:space="preserve">External stakeholders </w:t>
            </w:r>
          </w:p>
        </w:tc>
      </w:tr>
      <w:tr w:rsidR="002D7997" w14:paraId="72377D84" w14:textId="77777777">
        <w:tc>
          <w:tcPr>
            <w:tcW w:w="2265" w:type="dxa"/>
            <w:shd w:val="clear" w:color="auto" w:fill="A4C2F4"/>
            <w:tcMar>
              <w:top w:w="100" w:type="dxa"/>
              <w:left w:w="100" w:type="dxa"/>
              <w:bottom w:w="100" w:type="dxa"/>
              <w:right w:w="100" w:type="dxa"/>
            </w:tcMar>
          </w:tcPr>
          <w:p w14:paraId="6C7FB812" w14:textId="77777777" w:rsidR="002D7997" w:rsidRDefault="00000000">
            <w:pPr>
              <w:widowControl w:val="0"/>
              <w:pBdr>
                <w:top w:val="nil"/>
                <w:left w:val="nil"/>
                <w:bottom w:val="nil"/>
                <w:right w:val="nil"/>
                <w:between w:val="nil"/>
              </w:pBdr>
              <w:jc w:val="center"/>
              <w:rPr>
                <w:b/>
                <w:bCs/>
                <w:i/>
                <w:iCs/>
              </w:rPr>
            </w:pPr>
            <w:r>
              <w:rPr>
                <w:b/>
                <w:bCs/>
                <w:i/>
                <w:iCs/>
              </w:rPr>
              <w:t xml:space="preserve">Product development team </w:t>
            </w:r>
          </w:p>
        </w:tc>
        <w:tc>
          <w:tcPr>
            <w:tcW w:w="3735" w:type="dxa"/>
            <w:shd w:val="clear" w:color="auto" w:fill="C9DAF8"/>
            <w:tcMar>
              <w:top w:w="100" w:type="dxa"/>
              <w:left w:w="100" w:type="dxa"/>
              <w:bottom w:w="100" w:type="dxa"/>
              <w:right w:w="100" w:type="dxa"/>
            </w:tcMar>
          </w:tcPr>
          <w:p w14:paraId="7AC56C78" w14:textId="77777777" w:rsidR="002D7997" w:rsidRDefault="00000000">
            <w:pPr>
              <w:widowControl w:val="0"/>
              <w:numPr>
                <w:ilvl w:val="0"/>
                <w:numId w:val="4"/>
              </w:numPr>
              <w:pBdr>
                <w:top w:val="nil"/>
                <w:left w:val="nil"/>
                <w:bottom w:val="nil"/>
                <w:right w:val="nil"/>
                <w:between w:val="nil"/>
              </w:pBdr>
            </w:pPr>
            <w:r>
              <w:t xml:space="preserve">CEO </w:t>
            </w:r>
          </w:p>
          <w:p w14:paraId="02DF2106" w14:textId="77777777" w:rsidR="002D7997" w:rsidRDefault="00000000">
            <w:pPr>
              <w:widowControl w:val="0"/>
              <w:numPr>
                <w:ilvl w:val="0"/>
                <w:numId w:val="4"/>
              </w:numPr>
              <w:pBdr>
                <w:top w:val="nil"/>
                <w:left w:val="nil"/>
                <w:bottom w:val="nil"/>
                <w:right w:val="nil"/>
                <w:between w:val="nil"/>
              </w:pBdr>
            </w:pPr>
            <w:r>
              <w:t xml:space="preserve">Board of Directors </w:t>
            </w:r>
          </w:p>
          <w:p w14:paraId="4502862C" w14:textId="77777777" w:rsidR="002D7997" w:rsidRDefault="00000000">
            <w:pPr>
              <w:widowControl w:val="0"/>
              <w:numPr>
                <w:ilvl w:val="0"/>
                <w:numId w:val="4"/>
              </w:numPr>
              <w:pBdr>
                <w:top w:val="nil"/>
                <w:left w:val="nil"/>
                <w:bottom w:val="nil"/>
                <w:right w:val="nil"/>
                <w:between w:val="nil"/>
              </w:pBdr>
            </w:pPr>
            <w:r>
              <w:t xml:space="preserve">Project manager </w:t>
            </w:r>
          </w:p>
          <w:p w14:paraId="0CE21929" w14:textId="77777777" w:rsidR="002D7997" w:rsidRDefault="00000000">
            <w:pPr>
              <w:widowControl w:val="0"/>
              <w:numPr>
                <w:ilvl w:val="0"/>
                <w:numId w:val="4"/>
              </w:numPr>
              <w:pBdr>
                <w:top w:val="nil"/>
                <w:left w:val="nil"/>
                <w:bottom w:val="nil"/>
                <w:right w:val="nil"/>
                <w:between w:val="nil"/>
              </w:pBdr>
            </w:pPr>
            <w:r>
              <w:t xml:space="preserve">Doctors </w:t>
            </w:r>
          </w:p>
          <w:p w14:paraId="58EBF5D6" w14:textId="77777777" w:rsidR="002D7997" w:rsidRDefault="00000000">
            <w:pPr>
              <w:widowControl w:val="0"/>
              <w:numPr>
                <w:ilvl w:val="0"/>
                <w:numId w:val="4"/>
              </w:numPr>
              <w:pBdr>
                <w:top w:val="nil"/>
                <w:left w:val="nil"/>
                <w:bottom w:val="nil"/>
                <w:right w:val="nil"/>
                <w:between w:val="nil"/>
              </w:pBdr>
            </w:pPr>
            <w:r>
              <w:t xml:space="preserve">Device engineer </w:t>
            </w:r>
          </w:p>
        </w:tc>
        <w:tc>
          <w:tcPr>
            <w:tcW w:w="3000" w:type="dxa"/>
            <w:shd w:val="clear" w:color="auto" w:fill="C9DAF8"/>
            <w:tcMar>
              <w:top w:w="100" w:type="dxa"/>
              <w:left w:w="100" w:type="dxa"/>
              <w:bottom w:w="100" w:type="dxa"/>
              <w:right w:w="100" w:type="dxa"/>
            </w:tcMar>
          </w:tcPr>
          <w:p w14:paraId="6F42F891" w14:textId="77777777" w:rsidR="002D7997" w:rsidRDefault="00000000">
            <w:pPr>
              <w:widowControl w:val="0"/>
              <w:numPr>
                <w:ilvl w:val="0"/>
                <w:numId w:val="4"/>
              </w:numPr>
              <w:pBdr>
                <w:top w:val="nil"/>
                <w:left w:val="nil"/>
                <w:bottom w:val="nil"/>
                <w:right w:val="nil"/>
                <w:between w:val="nil"/>
              </w:pBdr>
            </w:pPr>
            <w:r>
              <w:t xml:space="preserve">Resource suppliers </w:t>
            </w:r>
          </w:p>
          <w:p w14:paraId="7746CD1B" w14:textId="77777777" w:rsidR="002D7997" w:rsidRDefault="00000000">
            <w:pPr>
              <w:widowControl w:val="0"/>
              <w:numPr>
                <w:ilvl w:val="0"/>
                <w:numId w:val="4"/>
              </w:numPr>
              <w:pBdr>
                <w:top w:val="nil"/>
                <w:left w:val="nil"/>
                <w:bottom w:val="nil"/>
                <w:right w:val="nil"/>
                <w:between w:val="nil"/>
              </w:pBdr>
            </w:pPr>
            <w:r>
              <w:t xml:space="preserve">Financial investors </w:t>
            </w:r>
          </w:p>
        </w:tc>
      </w:tr>
      <w:tr w:rsidR="002D7997" w14:paraId="739C9FB9" w14:textId="77777777">
        <w:tc>
          <w:tcPr>
            <w:tcW w:w="2265" w:type="dxa"/>
            <w:shd w:val="clear" w:color="auto" w:fill="A4C2F4"/>
            <w:tcMar>
              <w:top w:w="100" w:type="dxa"/>
              <w:left w:w="100" w:type="dxa"/>
              <w:bottom w:w="100" w:type="dxa"/>
              <w:right w:w="100" w:type="dxa"/>
            </w:tcMar>
          </w:tcPr>
          <w:p w14:paraId="55D722C5" w14:textId="77777777" w:rsidR="002D7997" w:rsidRDefault="00000000">
            <w:pPr>
              <w:widowControl w:val="0"/>
              <w:pBdr>
                <w:top w:val="nil"/>
                <w:left w:val="nil"/>
                <w:bottom w:val="nil"/>
                <w:right w:val="nil"/>
                <w:between w:val="nil"/>
              </w:pBdr>
              <w:jc w:val="center"/>
              <w:rPr>
                <w:b/>
                <w:bCs/>
                <w:i/>
                <w:iCs/>
              </w:rPr>
            </w:pPr>
            <w:r>
              <w:rPr>
                <w:b/>
                <w:bCs/>
                <w:i/>
                <w:iCs/>
              </w:rPr>
              <w:t xml:space="preserve">Marketing channel </w:t>
            </w:r>
          </w:p>
        </w:tc>
        <w:tc>
          <w:tcPr>
            <w:tcW w:w="3735" w:type="dxa"/>
            <w:shd w:val="clear" w:color="auto" w:fill="C9DAF8"/>
            <w:tcMar>
              <w:top w:w="100" w:type="dxa"/>
              <w:left w:w="100" w:type="dxa"/>
              <w:bottom w:w="100" w:type="dxa"/>
              <w:right w:w="100" w:type="dxa"/>
            </w:tcMar>
          </w:tcPr>
          <w:p w14:paraId="395DB61C" w14:textId="77777777" w:rsidR="002D7997" w:rsidRDefault="00000000">
            <w:pPr>
              <w:widowControl w:val="0"/>
              <w:numPr>
                <w:ilvl w:val="0"/>
                <w:numId w:val="3"/>
              </w:numPr>
              <w:pBdr>
                <w:top w:val="nil"/>
                <w:left w:val="nil"/>
                <w:bottom w:val="nil"/>
                <w:right w:val="nil"/>
                <w:between w:val="nil"/>
              </w:pBdr>
            </w:pPr>
            <w:r>
              <w:t xml:space="preserve">Project manager </w:t>
            </w:r>
          </w:p>
          <w:p w14:paraId="5B202224" w14:textId="77777777" w:rsidR="002D7997" w:rsidRDefault="00000000">
            <w:pPr>
              <w:widowControl w:val="0"/>
              <w:numPr>
                <w:ilvl w:val="0"/>
                <w:numId w:val="3"/>
              </w:numPr>
              <w:pBdr>
                <w:top w:val="nil"/>
                <w:left w:val="nil"/>
                <w:bottom w:val="nil"/>
                <w:right w:val="nil"/>
                <w:between w:val="nil"/>
              </w:pBdr>
            </w:pPr>
            <w:r>
              <w:t xml:space="preserve">Advertising team </w:t>
            </w:r>
          </w:p>
          <w:p w14:paraId="7ACAB456" w14:textId="77777777" w:rsidR="002D7997" w:rsidRDefault="00000000">
            <w:pPr>
              <w:widowControl w:val="0"/>
              <w:numPr>
                <w:ilvl w:val="0"/>
                <w:numId w:val="3"/>
              </w:numPr>
              <w:pBdr>
                <w:top w:val="nil"/>
                <w:left w:val="nil"/>
                <w:bottom w:val="nil"/>
                <w:right w:val="nil"/>
                <w:between w:val="nil"/>
              </w:pBdr>
            </w:pPr>
            <w:r>
              <w:t xml:space="preserve">Personal content creators </w:t>
            </w:r>
          </w:p>
          <w:p w14:paraId="4D7551B6" w14:textId="77777777" w:rsidR="002D7997" w:rsidRDefault="00000000">
            <w:pPr>
              <w:widowControl w:val="0"/>
              <w:numPr>
                <w:ilvl w:val="0"/>
                <w:numId w:val="3"/>
              </w:numPr>
              <w:pBdr>
                <w:top w:val="nil"/>
                <w:left w:val="nil"/>
                <w:bottom w:val="nil"/>
                <w:right w:val="nil"/>
                <w:between w:val="nil"/>
              </w:pBdr>
            </w:pPr>
            <w:r>
              <w:t xml:space="preserve">Graphic design makers </w:t>
            </w:r>
          </w:p>
          <w:p w14:paraId="28CC805F" w14:textId="77777777" w:rsidR="002D7997" w:rsidRDefault="00000000">
            <w:pPr>
              <w:widowControl w:val="0"/>
              <w:numPr>
                <w:ilvl w:val="0"/>
                <w:numId w:val="3"/>
              </w:numPr>
              <w:pBdr>
                <w:top w:val="nil"/>
                <w:left w:val="nil"/>
                <w:bottom w:val="nil"/>
                <w:right w:val="nil"/>
                <w:between w:val="nil"/>
              </w:pBdr>
            </w:pPr>
            <w:r>
              <w:t xml:space="preserve">Personalised media channels </w:t>
            </w:r>
          </w:p>
        </w:tc>
        <w:tc>
          <w:tcPr>
            <w:tcW w:w="3000" w:type="dxa"/>
            <w:shd w:val="clear" w:color="auto" w:fill="C9DAF8"/>
            <w:tcMar>
              <w:top w:w="100" w:type="dxa"/>
              <w:left w:w="100" w:type="dxa"/>
              <w:bottom w:w="100" w:type="dxa"/>
              <w:right w:w="100" w:type="dxa"/>
            </w:tcMar>
          </w:tcPr>
          <w:p w14:paraId="48657A67" w14:textId="77777777" w:rsidR="002D7997" w:rsidRDefault="00000000">
            <w:pPr>
              <w:widowControl w:val="0"/>
              <w:numPr>
                <w:ilvl w:val="0"/>
                <w:numId w:val="3"/>
              </w:numPr>
              <w:pBdr>
                <w:top w:val="nil"/>
                <w:left w:val="nil"/>
                <w:bottom w:val="nil"/>
                <w:right w:val="nil"/>
                <w:between w:val="nil"/>
              </w:pBdr>
            </w:pPr>
            <w:r>
              <w:t xml:space="preserve">Social media health-related content creators </w:t>
            </w:r>
          </w:p>
          <w:p w14:paraId="78159C9A" w14:textId="77777777" w:rsidR="002D7997" w:rsidRDefault="00000000">
            <w:pPr>
              <w:widowControl w:val="0"/>
              <w:numPr>
                <w:ilvl w:val="0"/>
                <w:numId w:val="3"/>
              </w:numPr>
              <w:pBdr>
                <w:top w:val="nil"/>
                <w:left w:val="nil"/>
                <w:bottom w:val="nil"/>
                <w:right w:val="nil"/>
                <w:between w:val="nil"/>
              </w:pBdr>
            </w:pPr>
            <w:r>
              <w:t>Gym trainers</w:t>
            </w:r>
          </w:p>
          <w:p w14:paraId="7025C251" w14:textId="77777777" w:rsidR="002D7997" w:rsidRDefault="00000000">
            <w:pPr>
              <w:widowControl w:val="0"/>
              <w:numPr>
                <w:ilvl w:val="0"/>
                <w:numId w:val="3"/>
              </w:numPr>
              <w:pBdr>
                <w:top w:val="nil"/>
                <w:left w:val="nil"/>
                <w:bottom w:val="nil"/>
                <w:right w:val="nil"/>
                <w:between w:val="nil"/>
              </w:pBdr>
            </w:pPr>
            <w:r>
              <w:t xml:space="preserve">Healthy lifestyle influencers </w:t>
            </w:r>
          </w:p>
        </w:tc>
      </w:tr>
      <w:tr w:rsidR="002D7997" w14:paraId="5A1B0E3A" w14:textId="77777777">
        <w:tc>
          <w:tcPr>
            <w:tcW w:w="2265" w:type="dxa"/>
            <w:shd w:val="clear" w:color="auto" w:fill="A4C2F4"/>
            <w:tcMar>
              <w:top w:w="100" w:type="dxa"/>
              <w:left w:w="100" w:type="dxa"/>
              <w:bottom w:w="100" w:type="dxa"/>
              <w:right w:w="100" w:type="dxa"/>
            </w:tcMar>
          </w:tcPr>
          <w:p w14:paraId="5AA8779D" w14:textId="77777777" w:rsidR="002D7997" w:rsidRDefault="00000000">
            <w:pPr>
              <w:widowControl w:val="0"/>
              <w:pBdr>
                <w:top w:val="nil"/>
                <w:left w:val="nil"/>
                <w:bottom w:val="nil"/>
                <w:right w:val="nil"/>
                <w:between w:val="nil"/>
              </w:pBdr>
              <w:jc w:val="center"/>
              <w:rPr>
                <w:b/>
                <w:bCs/>
                <w:i/>
                <w:iCs/>
              </w:rPr>
            </w:pPr>
            <w:r>
              <w:rPr>
                <w:b/>
                <w:bCs/>
                <w:i/>
                <w:iCs/>
              </w:rPr>
              <w:t xml:space="preserve">Sales department </w:t>
            </w:r>
          </w:p>
        </w:tc>
        <w:tc>
          <w:tcPr>
            <w:tcW w:w="3735" w:type="dxa"/>
            <w:shd w:val="clear" w:color="auto" w:fill="C9DAF8"/>
            <w:tcMar>
              <w:top w:w="100" w:type="dxa"/>
              <w:left w:w="100" w:type="dxa"/>
              <w:bottom w:w="100" w:type="dxa"/>
              <w:right w:w="100" w:type="dxa"/>
            </w:tcMar>
          </w:tcPr>
          <w:p w14:paraId="0C01A22C" w14:textId="77777777" w:rsidR="002D7997" w:rsidRDefault="00000000">
            <w:pPr>
              <w:widowControl w:val="0"/>
              <w:numPr>
                <w:ilvl w:val="0"/>
                <w:numId w:val="5"/>
              </w:numPr>
              <w:pBdr>
                <w:top w:val="nil"/>
                <w:left w:val="nil"/>
                <w:bottom w:val="nil"/>
                <w:right w:val="nil"/>
                <w:between w:val="nil"/>
              </w:pBdr>
            </w:pPr>
            <w:r>
              <w:t>Project managers</w:t>
            </w:r>
          </w:p>
          <w:p w14:paraId="35B7272F" w14:textId="77777777" w:rsidR="002D7997" w:rsidRDefault="00000000">
            <w:pPr>
              <w:widowControl w:val="0"/>
              <w:numPr>
                <w:ilvl w:val="0"/>
                <w:numId w:val="5"/>
              </w:numPr>
              <w:pBdr>
                <w:top w:val="nil"/>
                <w:left w:val="nil"/>
                <w:bottom w:val="nil"/>
                <w:right w:val="nil"/>
                <w:between w:val="nil"/>
              </w:pBdr>
            </w:pPr>
            <w:r>
              <w:lastRenderedPageBreak/>
              <w:t xml:space="preserve">Employees </w:t>
            </w:r>
          </w:p>
          <w:p w14:paraId="4E670E90" w14:textId="77777777" w:rsidR="002D7997" w:rsidRDefault="00000000">
            <w:pPr>
              <w:widowControl w:val="0"/>
              <w:numPr>
                <w:ilvl w:val="0"/>
                <w:numId w:val="5"/>
              </w:numPr>
              <w:pBdr>
                <w:top w:val="nil"/>
                <w:left w:val="nil"/>
                <w:bottom w:val="nil"/>
                <w:right w:val="nil"/>
                <w:between w:val="nil"/>
              </w:pBdr>
            </w:pPr>
            <w:r>
              <w:t xml:space="preserve">Executive members </w:t>
            </w:r>
          </w:p>
          <w:p w14:paraId="62A69801" w14:textId="77777777" w:rsidR="002D7997" w:rsidRDefault="00000000">
            <w:pPr>
              <w:widowControl w:val="0"/>
              <w:numPr>
                <w:ilvl w:val="0"/>
                <w:numId w:val="5"/>
              </w:numPr>
              <w:pBdr>
                <w:top w:val="nil"/>
                <w:left w:val="nil"/>
                <w:bottom w:val="nil"/>
                <w:right w:val="nil"/>
                <w:between w:val="nil"/>
              </w:pBdr>
            </w:pPr>
            <w:r>
              <w:t xml:space="preserve">Medical representatives </w:t>
            </w:r>
          </w:p>
          <w:p w14:paraId="2C225B92" w14:textId="77777777" w:rsidR="002D7997" w:rsidRDefault="00000000">
            <w:pPr>
              <w:widowControl w:val="0"/>
              <w:numPr>
                <w:ilvl w:val="0"/>
                <w:numId w:val="5"/>
              </w:numPr>
              <w:pBdr>
                <w:top w:val="nil"/>
                <w:left w:val="nil"/>
                <w:bottom w:val="nil"/>
                <w:right w:val="nil"/>
                <w:between w:val="nil"/>
              </w:pBdr>
            </w:pPr>
            <w:r>
              <w:t xml:space="preserve">Stockists </w:t>
            </w:r>
          </w:p>
          <w:p w14:paraId="3D1FB785" w14:textId="77777777" w:rsidR="002D7997" w:rsidRDefault="00000000">
            <w:pPr>
              <w:widowControl w:val="0"/>
              <w:numPr>
                <w:ilvl w:val="0"/>
                <w:numId w:val="5"/>
              </w:numPr>
              <w:pBdr>
                <w:top w:val="nil"/>
                <w:left w:val="nil"/>
                <w:bottom w:val="nil"/>
                <w:right w:val="nil"/>
                <w:between w:val="nil"/>
              </w:pBdr>
            </w:pPr>
            <w:r>
              <w:t xml:space="preserve">Shareholders </w:t>
            </w:r>
          </w:p>
        </w:tc>
        <w:tc>
          <w:tcPr>
            <w:tcW w:w="3000" w:type="dxa"/>
            <w:shd w:val="clear" w:color="auto" w:fill="C9DAF8"/>
            <w:tcMar>
              <w:top w:w="100" w:type="dxa"/>
              <w:left w:w="100" w:type="dxa"/>
              <w:bottom w:w="100" w:type="dxa"/>
              <w:right w:w="100" w:type="dxa"/>
            </w:tcMar>
          </w:tcPr>
          <w:p w14:paraId="04D04E19" w14:textId="77777777" w:rsidR="002D7997" w:rsidRDefault="00000000">
            <w:pPr>
              <w:widowControl w:val="0"/>
              <w:numPr>
                <w:ilvl w:val="0"/>
                <w:numId w:val="5"/>
              </w:numPr>
              <w:pBdr>
                <w:top w:val="nil"/>
                <w:left w:val="nil"/>
                <w:bottom w:val="nil"/>
                <w:right w:val="nil"/>
                <w:between w:val="nil"/>
              </w:pBdr>
            </w:pPr>
            <w:r>
              <w:lastRenderedPageBreak/>
              <w:t xml:space="preserve">Customers </w:t>
            </w:r>
          </w:p>
          <w:p w14:paraId="4650D452" w14:textId="77777777" w:rsidR="002D7997" w:rsidRDefault="00000000">
            <w:pPr>
              <w:widowControl w:val="0"/>
              <w:numPr>
                <w:ilvl w:val="0"/>
                <w:numId w:val="5"/>
              </w:numPr>
              <w:pBdr>
                <w:top w:val="nil"/>
                <w:left w:val="nil"/>
                <w:bottom w:val="nil"/>
                <w:right w:val="nil"/>
                <w:between w:val="nil"/>
              </w:pBdr>
            </w:pPr>
            <w:r>
              <w:lastRenderedPageBreak/>
              <w:t xml:space="preserve">Suppliers </w:t>
            </w:r>
          </w:p>
          <w:p w14:paraId="25EE3352" w14:textId="77777777" w:rsidR="002D7997" w:rsidRDefault="00000000">
            <w:pPr>
              <w:widowControl w:val="0"/>
              <w:numPr>
                <w:ilvl w:val="0"/>
                <w:numId w:val="5"/>
              </w:numPr>
              <w:pBdr>
                <w:top w:val="nil"/>
                <w:left w:val="nil"/>
                <w:bottom w:val="nil"/>
                <w:right w:val="nil"/>
                <w:between w:val="nil"/>
              </w:pBdr>
            </w:pPr>
            <w:r>
              <w:t xml:space="preserve">Vendors </w:t>
            </w:r>
          </w:p>
          <w:p w14:paraId="3E3388FC" w14:textId="77777777" w:rsidR="002D7997" w:rsidRDefault="00000000">
            <w:pPr>
              <w:widowControl w:val="0"/>
              <w:numPr>
                <w:ilvl w:val="0"/>
                <w:numId w:val="5"/>
              </w:numPr>
              <w:pBdr>
                <w:top w:val="nil"/>
                <w:left w:val="nil"/>
                <w:bottom w:val="nil"/>
                <w:right w:val="nil"/>
                <w:between w:val="nil"/>
              </w:pBdr>
            </w:pPr>
            <w:r>
              <w:t xml:space="preserve"> Media houses </w:t>
            </w:r>
          </w:p>
        </w:tc>
      </w:tr>
    </w:tbl>
    <w:p w14:paraId="5AFDA960" w14:textId="77777777" w:rsidR="002D7997" w:rsidRDefault="00000000">
      <w:pPr>
        <w:jc w:val="center"/>
        <w:rPr>
          <w:b/>
          <w:bCs/>
        </w:rPr>
      </w:pPr>
      <w:r>
        <w:rPr>
          <w:b/>
          <w:bCs/>
        </w:rPr>
        <w:lastRenderedPageBreak/>
        <w:t xml:space="preserve">Table 2: Identification of internal and external stakeholders for product development, marketing channel and sales department </w:t>
      </w:r>
    </w:p>
    <w:p w14:paraId="5057ADB4" w14:textId="77777777" w:rsidR="002D7997" w:rsidRDefault="00000000">
      <w:pPr>
        <w:jc w:val="center"/>
      </w:pPr>
      <w:r>
        <w:t xml:space="preserve">(Source: Self-created) </w:t>
      </w:r>
    </w:p>
    <w:p w14:paraId="4EAFA676" w14:textId="77777777" w:rsidR="002D7997" w:rsidRDefault="00000000">
      <w:pPr>
        <w:rPr>
          <w:b/>
          <w:bCs/>
        </w:rPr>
      </w:pPr>
      <w:r>
        <w:rPr>
          <w:b/>
          <w:bCs/>
        </w:rPr>
        <w:t xml:space="preserve">Analysis </w:t>
      </w:r>
    </w:p>
    <w:p w14:paraId="4391CF10" w14:textId="77777777" w:rsidR="002D7997" w:rsidRDefault="00000000">
      <w:r>
        <w:t xml:space="preserve">The success of the wearable health device launching program depends on efficient product development, marketing channels and the sales department. Internal stakeholders are members of the organisation who are involved with the project. On the other hand, external stakeholders are those members who are indirectly involved with the project (Maqbool, Rashid and Ashfaq, 2022). A list of internal and external stakeholders for product development, marketing and sales channels of AstraZeneca has been given. </w:t>
      </w:r>
    </w:p>
    <w:p w14:paraId="4BC17C9E" w14:textId="77777777" w:rsidR="002D7997" w:rsidRDefault="00000000">
      <w:pPr>
        <w:rPr>
          <w:b/>
          <w:bCs/>
          <w:i/>
          <w:iCs/>
        </w:rPr>
      </w:pPr>
      <w:r>
        <w:rPr>
          <w:b/>
          <w:bCs/>
          <w:i/>
          <w:iCs/>
        </w:rPr>
        <w:t xml:space="preserve">Product development team </w:t>
      </w:r>
    </w:p>
    <w:p w14:paraId="58D69123" w14:textId="77777777" w:rsidR="002D7997" w:rsidRDefault="00000000">
      <w:r>
        <w:t xml:space="preserve">The product development team consists of those persons who are directly and indirectly involved with designing wearable health devices. Internal stakeholders of AstraZeneca involved in product development are the CEO, board of executives, project managers, device engineers and doctors. The recommendations from doctors have a potential impact on influencing the purchasing decision of patients (Ren and Ma, 2022). Therefore, doctors will be involved in designing devices according to health requirements and patterns. External stakeholders involved in product development are resource suppliers and financial investors </w:t>
      </w:r>
    </w:p>
    <w:p w14:paraId="3A8AE074" w14:textId="77777777" w:rsidR="002D7997" w:rsidRDefault="00000000">
      <w:pPr>
        <w:rPr>
          <w:b/>
          <w:bCs/>
          <w:i/>
          <w:iCs/>
        </w:rPr>
      </w:pPr>
      <w:r>
        <w:rPr>
          <w:b/>
          <w:bCs/>
          <w:i/>
          <w:iCs/>
        </w:rPr>
        <w:t xml:space="preserve">Marketing channel </w:t>
      </w:r>
    </w:p>
    <w:p w14:paraId="7CD19BD4" w14:textId="77777777" w:rsidR="002D7997" w:rsidRDefault="00000000">
      <w:r>
        <w:t>The marketing channel of AstraZeneca would be involved in spreading the product idea among the common people. An effective marketing strategy helps an organisation to target potential customers and gain more financial revenue (</w:t>
      </w:r>
      <w:proofErr w:type="spellStart"/>
      <w:r>
        <w:t>Sudirjo</w:t>
      </w:r>
      <w:proofErr w:type="spellEnd"/>
      <w:r>
        <w:t xml:space="preserve">, 2023). Internal stakeholders are the project manager, the advertising team, the personal content creators, the graphic designers, and the personalised media channel of AstraZeneca. On the other hand, external stakeholders are social media influencers who make content on health-related topics and lifestyle, gym trainers. </w:t>
      </w:r>
    </w:p>
    <w:p w14:paraId="1053FE1E" w14:textId="77777777" w:rsidR="002D7997" w:rsidRDefault="00000000">
      <w:pPr>
        <w:rPr>
          <w:b/>
          <w:bCs/>
          <w:i/>
          <w:iCs/>
        </w:rPr>
      </w:pPr>
      <w:r>
        <w:rPr>
          <w:b/>
          <w:bCs/>
          <w:i/>
          <w:iCs/>
        </w:rPr>
        <w:t xml:space="preserve">Sales department </w:t>
      </w:r>
    </w:p>
    <w:p w14:paraId="0148802C" w14:textId="77777777" w:rsidR="002D7997" w:rsidRDefault="00000000">
      <w:r>
        <w:t xml:space="preserve">A proper sales channel would help AstraZeneca to gain financial revenue by selling wearable health devices to patients and target customers. The sales revenue from the product would help </w:t>
      </w:r>
      <w:r>
        <w:lastRenderedPageBreak/>
        <w:t xml:space="preserve">increase the branding revenue and the net profitability of the product (Rustan </w:t>
      </w:r>
      <w:r>
        <w:rPr>
          <w:i/>
          <w:iCs/>
        </w:rPr>
        <w:t xml:space="preserve">et al., </w:t>
      </w:r>
      <w:r>
        <w:t xml:space="preserve">2022). Internal stakeholders of the sales department are project managers, employees, executive members, medical representatives, stockists, and shareholders. Apart from that, external stakeholders are customers, suppliers, vendors, and media houses. The mutual support of internal and external stakeholders might help AstraZeneca to reach a larger number of target customers in a short span. </w:t>
      </w:r>
    </w:p>
    <w:p w14:paraId="5569BF19" w14:textId="77777777" w:rsidR="002D7997" w:rsidRDefault="00000000">
      <w:pPr>
        <w:pStyle w:val="Heading1"/>
        <w:rPr>
          <w:color w:val="FF0000"/>
        </w:rPr>
      </w:pPr>
      <w:bookmarkStart w:id="5" w:name="_heading=h.os99mlyyul1c" w:colFirst="0" w:colLast="0"/>
      <w:bookmarkEnd w:id="5"/>
      <w:r>
        <w:t xml:space="preserve"> 4. Stakeholder analysis</w:t>
      </w:r>
    </w:p>
    <w:p w14:paraId="54D4F4E1" w14:textId="77777777" w:rsidR="002D7997" w:rsidRDefault="00000000">
      <w:pPr>
        <w:pStyle w:val="Heading2"/>
      </w:pPr>
      <w:bookmarkStart w:id="6" w:name="_heading=h.w7bis9ujp1sx" w:colFirst="0" w:colLast="0"/>
      <w:bookmarkEnd w:id="6"/>
      <w:r>
        <w:t xml:space="preserve">4.1 Role and responsibilities of stakeholders </w:t>
      </w:r>
    </w:p>
    <w:p w14:paraId="08C33608" w14:textId="77777777" w:rsidR="002D7997" w:rsidRDefault="00000000">
      <w:r>
        <w:t>Potential stakeholders of AstraZeneca to support the business idea of launching medical devices for checking heartbeat rate, oxygen level and sleeping pattern are the project manager, research and development (R&amp;D) team, government, technical team, doctors, customers, investors, resource suppliers, etc. A brief explanation of internal and external stakeholders for product development, marketing, sales department and other aspects has been discussed in Table 2. Alignment of external stakeholder demand with internal stakeholders' support evaluates project success (</w:t>
      </w:r>
      <w:proofErr w:type="spellStart"/>
      <w:r>
        <w:t>Alnhari</w:t>
      </w:r>
      <w:proofErr w:type="spellEnd"/>
      <w:r>
        <w:t xml:space="preserve"> and Qureshi, 2024). In this project, personalised gym trainers, physicians and healthcare professionals would be involved in making a product relevant to customers by personalising the marketing idea.  </w:t>
      </w:r>
    </w:p>
    <w:p w14:paraId="43FC7FA9" w14:textId="77777777" w:rsidR="002D7997" w:rsidRDefault="00000000">
      <w:r>
        <w:t xml:space="preserve">Appropriate product design helps a company to target potential customers by aligning with market trends. Technological team members would help team members to design products according to market preference (Rožman, </w:t>
      </w:r>
      <w:proofErr w:type="spellStart"/>
      <w:r>
        <w:t>Tominc</w:t>
      </w:r>
      <w:proofErr w:type="spellEnd"/>
      <w:r>
        <w:t xml:space="preserve"> and Štrukelj, 2023). Understanding stakeholder relationships, effective communication helps a company to understand customer preferences (Ashcroft </w:t>
      </w:r>
      <w:r>
        <w:rPr>
          <w:i/>
          <w:iCs/>
        </w:rPr>
        <w:t xml:space="preserve">et al., </w:t>
      </w:r>
      <w:r>
        <w:t>2016). The authors broaden the construct of relationship marketing to include the different stakeholder groups, such as employees, suppliers, influencers and others (Christopher, Payne and Ballantyne, 2013). Hence, demonstrate that value should be jointly created between these groups to achieve the overall organisational performance.</w:t>
      </w:r>
    </w:p>
    <w:p w14:paraId="101A3FB5" w14:textId="77777777" w:rsidR="00D51421" w:rsidRDefault="00D51421"/>
    <w:p w14:paraId="48BA5D6C" w14:textId="77777777" w:rsidR="002D7997" w:rsidRDefault="00000000">
      <w:pPr>
        <w:pStyle w:val="Heading2"/>
      </w:pPr>
      <w:bookmarkStart w:id="7" w:name="_heading=h.swdij9eczkck" w:colFirst="0" w:colLast="0"/>
      <w:bookmarkEnd w:id="7"/>
      <w:r>
        <w:t xml:space="preserve">4.2 Benefits and challenges of stakeholders </w:t>
      </w:r>
    </w:p>
    <w:p w14:paraId="309EC8B5" w14:textId="77777777" w:rsidR="002D7997" w:rsidRDefault="00000000">
      <w:r>
        <w:t xml:space="preserve"> The benefits of stakeholders in this project of AstraZeneca are a share of equity, financial gains, and gaining recognition from the biopharmaceutical company. Major problems that are witnessed during the actual implementation of groupware include coordination challenges, unequal participation, social challenges, and unfriendly adoption (Ellis, Gibbs and Rein, 1991). Due to high competition in the medical health device industry, gaining recognition from target customers. Therefore, the marketing channel has included gym trainers at the basic level for </w:t>
      </w:r>
      <w:r>
        <w:lastRenderedPageBreak/>
        <w:t xml:space="preserve">expanding branding awareness and to attract health-conscious customers in the UK. Personalised media channels, brand influencers of AstraZeneca, would be involved in spreading the branding idea. Financial shortage is also a potential challenge for AstraZeneca, as initially, product sales would be less than its expectations.  However, support of financial investors, local bank loans and angel investors would address financial shortcoming issues. Thus, stakeholders of AstraZeneca would experience both positive benefits as well as challenges by participating in this health device project. </w:t>
      </w:r>
    </w:p>
    <w:p w14:paraId="66D2D48E" w14:textId="77777777" w:rsidR="00D51421" w:rsidRDefault="00D51421"/>
    <w:p w14:paraId="5686A4BD" w14:textId="77777777" w:rsidR="002D7997" w:rsidRDefault="00000000">
      <w:pPr>
        <w:pStyle w:val="Heading1"/>
      </w:pPr>
      <w:bookmarkStart w:id="8" w:name="_heading=h.fpqhnjq0gv0d" w:colFirst="0" w:colLast="0"/>
      <w:bookmarkEnd w:id="8"/>
      <w:r>
        <w:t>5. Theoretical implication</w:t>
      </w:r>
    </w:p>
    <w:p w14:paraId="066AD076" w14:textId="77777777" w:rsidR="002D7997" w:rsidRDefault="00000000">
      <w:pPr>
        <w:pStyle w:val="Heading2"/>
      </w:pPr>
      <w:bookmarkStart w:id="9" w:name="_heading=h.ra0382iddrw3" w:colFirst="0" w:colLast="0"/>
      <w:bookmarkEnd w:id="9"/>
      <w:r>
        <w:t>5.1 Stakeholder matrix</w:t>
      </w:r>
    </w:p>
    <w:p w14:paraId="4ACC04A0" w14:textId="77777777" w:rsidR="002D7997" w:rsidRDefault="00000000">
      <w:r>
        <w:t xml:space="preserve">The underlying of the key stakeholders in the organisation can be done with a power-interest matrix. Mendelow introduced the stakeholder matrix to underline the key aspects of stakeholder engagement, which comprises the analysis of the power dynamics (van den Broek </w:t>
      </w:r>
      <w:r>
        <w:rPr>
          <w:i/>
          <w:iCs/>
        </w:rPr>
        <w:t>et al</w:t>
      </w:r>
      <w:r>
        <w:t xml:space="preserve">. 2020). The identification of the key stakeholders and their power and interest on the product launch can be identified in the figure below (Figure 2). </w:t>
      </w:r>
    </w:p>
    <w:p w14:paraId="0FDA4C17" w14:textId="77777777" w:rsidR="002D7997" w:rsidRDefault="00000000">
      <w:pPr>
        <w:jc w:val="center"/>
      </w:pPr>
      <w:r>
        <w:rPr>
          <w:noProof/>
        </w:rPr>
        <mc:AlternateContent>
          <mc:Choice Requires="wpg">
            <w:drawing>
              <wp:inline distT="114300" distB="114300" distL="114300" distR="114300" wp14:anchorId="43C06375" wp14:editId="46B44F9A">
                <wp:extent cx="4191000" cy="3581400"/>
                <wp:effectExtent l="0" t="0" r="0" b="0"/>
                <wp:docPr id="7" name="Group 7"/>
                <wp:cNvGraphicFramePr/>
                <a:graphic xmlns:a="http://schemas.openxmlformats.org/drawingml/2006/main">
                  <a:graphicData uri="http://schemas.microsoft.com/office/word/2010/wordprocessingGroup">
                    <wpg:wgp>
                      <wpg:cNvGrpSpPr/>
                      <wpg:grpSpPr>
                        <a:xfrm>
                          <a:off x="0" y="0"/>
                          <a:ext cx="4191000" cy="3581400"/>
                          <a:chOff x="3250500" y="1989300"/>
                          <a:chExt cx="4191000" cy="3581400"/>
                        </a:xfrm>
                      </wpg:grpSpPr>
                      <wpg:grpSp>
                        <wpg:cNvPr id="1078789733" name="Group 1078789733"/>
                        <wpg:cNvGrpSpPr/>
                        <wpg:grpSpPr>
                          <a:xfrm>
                            <a:off x="3250500" y="1989300"/>
                            <a:ext cx="4191000" cy="3581400"/>
                            <a:chOff x="3250500" y="1989300"/>
                            <a:chExt cx="4191000" cy="3581425"/>
                          </a:xfrm>
                        </wpg:grpSpPr>
                        <wps:wsp>
                          <wps:cNvPr id="690784244" name="Rectangle 690784244"/>
                          <wps:cNvSpPr/>
                          <wps:spPr>
                            <a:xfrm>
                              <a:off x="3250500" y="1989300"/>
                              <a:ext cx="4191000" cy="3581425"/>
                            </a:xfrm>
                            <a:prstGeom prst="rect">
                              <a:avLst/>
                            </a:prstGeom>
                            <a:noFill/>
                            <a:ln>
                              <a:noFill/>
                            </a:ln>
                          </wps:spPr>
                          <wps:txbx>
                            <w:txbxContent>
                              <w:p w14:paraId="554F37BB" w14:textId="77777777" w:rsidR="002D7997" w:rsidRDefault="002D7997">
                                <w:pPr>
                                  <w:spacing w:line="240" w:lineRule="auto"/>
                                  <w:jc w:val="left"/>
                                  <w:textDirection w:val="btLr"/>
                                </w:pPr>
                              </w:p>
                            </w:txbxContent>
                          </wps:txbx>
                          <wps:bodyPr spcFirstLastPara="1" wrap="square" lIns="91425" tIns="91425" rIns="91425" bIns="91425" anchor="ctr" anchorCtr="0">
                            <a:noAutofit/>
                          </wps:bodyPr>
                        </wps:wsp>
                        <wpg:grpSp>
                          <wpg:cNvPr id="1298904883" name="Group 1298904883"/>
                          <wpg:cNvGrpSpPr/>
                          <wpg:grpSpPr>
                            <a:xfrm>
                              <a:off x="3250500" y="1989300"/>
                              <a:ext cx="4191000" cy="3581400"/>
                              <a:chOff x="891950" y="492850"/>
                              <a:chExt cx="4167750" cy="3557600"/>
                            </a:xfrm>
                          </wpg:grpSpPr>
                          <wps:wsp>
                            <wps:cNvPr id="1080036337" name="Rectangle 1080036337"/>
                            <wps:cNvSpPr/>
                            <wps:spPr>
                              <a:xfrm>
                                <a:off x="891950" y="492850"/>
                                <a:ext cx="4167750" cy="3557600"/>
                              </a:xfrm>
                              <a:prstGeom prst="rect">
                                <a:avLst/>
                              </a:prstGeom>
                              <a:noFill/>
                              <a:ln>
                                <a:noFill/>
                              </a:ln>
                            </wps:spPr>
                            <wps:txbx>
                              <w:txbxContent>
                                <w:p w14:paraId="0BBF3A86" w14:textId="77777777" w:rsidR="002D7997" w:rsidRDefault="002D7997">
                                  <w:pPr>
                                    <w:spacing w:line="240" w:lineRule="auto"/>
                                    <w:jc w:val="left"/>
                                    <w:textDirection w:val="btLr"/>
                                  </w:pPr>
                                </w:p>
                              </w:txbxContent>
                            </wps:txbx>
                            <wps:bodyPr spcFirstLastPara="1" wrap="square" lIns="91425" tIns="91425" rIns="91425" bIns="91425" anchor="ctr" anchorCtr="0">
                              <a:noAutofit/>
                            </wps:bodyPr>
                          </wps:wsp>
                          <wps:wsp>
                            <wps:cNvPr id="1999638298" name="Straight Arrow Connector 1999638298"/>
                            <wps:cNvCnPr/>
                            <wps:spPr>
                              <a:xfrm rot="10800000">
                                <a:off x="1300475" y="492850"/>
                                <a:ext cx="0" cy="3159600"/>
                              </a:xfrm>
                              <a:prstGeom prst="straightConnector1">
                                <a:avLst/>
                              </a:prstGeom>
                              <a:noFill/>
                              <a:ln w="9525" cap="flat" cmpd="sng">
                                <a:solidFill>
                                  <a:srgbClr val="000000"/>
                                </a:solidFill>
                                <a:prstDash val="solid"/>
                                <a:round/>
                                <a:headEnd type="none" w="sm" len="sm"/>
                                <a:tailEnd type="triangle" w="med" len="med"/>
                              </a:ln>
                            </wps:spPr>
                            <wps:bodyPr/>
                          </wps:wsp>
                          <wps:wsp>
                            <wps:cNvPr id="1686617563" name="Straight Arrow Connector 1686617563"/>
                            <wps:cNvCnPr/>
                            <wps:spPr>
                              <a:xfrm>
                                <a:off x="1303100" y="3636900"/>
                                <a:ext cx="3756600" cy="25200"/>
                              </a:xfrm>
                              <a:prstGeom prst="straightConnector1">
                                <a:avLst/>
                              </a:prstGeom>
                              <a:noFill/>
                              <a:ln w="9525" cap="flat" cmpd="sng">
                                <a:solidFill>
                                  <a:srgbClr val="000000"/>
                                </a:solidFill>
                                <a:prstDash val="solid"/>
                                <a:round/>
                                <a:headEnd type="none" w="sm" len="sm"/>
                                <a:tailEnd type="triangle" w="med" len="med"/>
                              </a:ln>
                            </wps:spPr>
                            <wps:bodyPr/>
                          </wps:wsp>
                          <wps:wsp>
                            <wps:cNvPr id="1806232810" name="Rectangle 1806232810"/>
                            <wps:cNvSpPr/>
                            <wps:spPr>
                              <a:xfrm>
                                <a:off x="1384375" y="636900"/>
                                <a:ext cx="1741200" cy="1556700"/>
                              </a:xfrm>
                              <a:prstGeom prst="rect">
                                <a:avLst/>
                              </a:prstGeom>
                              <a:solidFill>
                                <a:srgbClr val="FCE5CD"/>
                              </a:solidFill>
                              <a:ln>
                                <a:noFill/>
                              </a:ln>
                            </wps:spPr>
                            <wps:txbx>
                              <w:txbxContent>
                                <w:p w14:paraId="03624286" w14:textId="77777777" w:rsidR="002D7997" w:rsidRDefault="00000000">
                                  <w:pPr>
                                    <w:spacing w:line="240" w:lineRule="auto"/>
                                    <w:jc w:val="center"/>
                                    <w:textDirection w:val="btLr"/>
                                  </w:pPr>
                                  <w:r>
                                    <w:rPr>
                                      <w:b/>
                                      <w:color w:val="000000"/>
                                      <w:sz w:val="28"/>
                                    </w:rPr>
                                    <w:t>Keep Satisfied</w:t>
                                  </w:r>
                                </w:p>
                                <w:p w14:paraId="6B9EB57D" w14:textId="77777777" w:rsidR="002D7997" w:rsidRDefault="002D7997">
                                  <w:pPr>
                                    <w:spacing w:line="240" w:lineRule="auto"/>
                                    <w:jc w:val="center"/>
                                    <w:textDirection w:val="btLr"/>
                                  </w:pPr>
                                </w:p>
                                <w:p w14:paraId="42A5800F" w14:textId="77777777" w:rsidR="002D7997" w:rsidRDefault="00000000">
                                  <w:pPr>
                                    <w:spacing w:line="240" w:lineRule="auto"/>
                                    <w:jc w:val="center"/>
                                    <w:textDirection w:val="btLr"/>
                                  </w:pPr>
                                  <w:r>
                                    <w:rPr>
                                      <w:b/>
                                      <w:color w:val="000000"/>
                                      <w:sz w:val="20"/>
                                    </w:rPr>
                                    <w:t>Board of Directors</w:t>
                                  </w:r>
                                </w:p>
                                <w:p w14:paraId="622E9ED5" w14:textId="77777777" w:rsidR="002D7997" w:rsidRDefault="00000000">
                                  <w:pPr>
                                    <w:spacing w:line="240" w:lineRule="auto"/>
                                    <w:jc w:val="center"/>
                                    <w:textDirection w:val="btLr"/>
                                  </w:pPr>
                                  <w:r>
                                    <w:rPr>
                                      <w:b/>
                                      <w:color w:val="000000"/>
                                      <w:sz w:val="20"/>
                                    </w:rPr>
                                    <w:t>Data protection authorities</w:t>
                                  </w:r>
                                </w:p>
                                <w:p w14:paraId="319033FC" w14:textId="77777777" w:rsidR="002D7997" w:rsidRDefault="00000000">
                                  <w:pPr>
                                    <w:spacing w:line="240" w:lineRule="auto"/>
                                    <w:jc w:val="center"/>
                                    <w:textDirection w:val="btLr"/>
                                  </w:pPr>
                                  <w:r>
                                    <w:rPr>
                                      <w:b/>
                                      <w:color w:val="000000"/>
                                      <w:sz w:val="20"/>
                                    </w:rPr>
                                    <w:t>Insurance providers</w:t>
                                  </w:r>
                                </w:p>
                              </w:txbxContent>
                            </wps:txbx>
                            <wps:bodyPr spcFirstLastPara="1" wrap="square" lIns="91425" tIns="91425" rIns="91425" bIns="91425" anchor="t" anchorCtr="0">
                              <a:noAutofit/>
                            </wps:bodyPr>
                          </wps:wsp>
                          <wps:wsp>
                            <wps:cNvPr id="1069266209" name="Rectangle 1069266209"/>
                            <wps:cNvSpPr/>
                            <wps:spPr>
                              <a:xfrm>
                                <a:off x="3227925" y="636800"/>
                                <a:ext cx="1669500" cy="1556700"/>
                              </a:xfrm>
                              <a:prstGeom prst="rect">
                                <a:avLst/>
                              </a:prstGeom>
                              <a:solidFill>
                                <a:srgbClr val="D0E0E3"/>
                              </a:solidFill>
                              <a:ln>
                                <a:noFill/>
                              </a:ln>
                            </wps:spPr>
                            <wps:txbx>
                              <w:txbxContent>
                                <w:p w14:paraId="6CE5390C" w14:textId="77777777" w:rsidR="002D7997" w:rsidRDefault="00000000">
                                  <w:pPr>
                                    <w:spacing w:line="240" w:lineRule="auto"/>
                                    <w:jc w:val="center"/>
                                    <w:textDirection w:val="btLr"/>
                                  </w:pPr>
                                  <w:r>
                                    <w:rPr>
                                      <w:b/>
                                      <w:color w:val="000000"/>
                                      <w:sz w:val="28"/>
                                    </w:rPr>
                                    <w:t>Key players</w:t>
                                  </w:r>
                                </w:p>
                                <w:p w14:paraId="30CA7B6B" w14:textId="77777777" w:rsidR="002D7997" w:rsidRDefault="002D7997">
                                  <w:pPr>
                                    <w:spacing w:line="240" w:lineRule="auto"/>
                                    <w:jc w:val="center"/>
                                    <w:textDirection w:val="btLr"/>
                                  </w:pPr>
                                </w:p>
                                <w:p w14:paraId="62ED8DAA" w14:textId="77777777" w:rsidR="002D7997" w:rsidRDefault="00000000">
                                  <w:pPr>
                                    <w:spacing w:line="240" w:lineRule="auto"/>
                                    <w:jc w:val="center"/>
                                    <w:textDirection w:val="btLr"/>
                                  </w:pPr>
                                  <w:r>
                                    <w:rPr>
                                      <w:b/>
                                      <w:color w:val="000000"/>
                                      <w:sz w:val="20"/>
                                    </w:rPr>
                                    <w:t>Executive leadership</w:t>
                                  </w:r>
                                </w:p>
                                <w:p w14:paraId="4E608BC6" w14:textId="77777777" w:rsidR="002D7997" w:rsidRDefault="00000000">
                                  <w:pPr>
                                    <w:spacing w:line="240" w:lineRule="auto"/>
                                    <w:jc w:val="center"/>
                                    <w:textDirection w:val="btLr"/>
                                  </w:pPr>
                                  <w:r>
                                    <w:rPr>
                                      <w:b/>
                                      <w:color w:val="000000"/>
                                      <w:sz w:val="20"/>
                                    </w:rPr>
                                    <w:t>Regulatory bodies</w:t>
                                  </w:r>
                                </w:p>
                                <w:p w14:paraId="68DEFCAD" w14:textId="77777777" w:rsidR="002D7997" w:rsidRDefault="00000000">
                                  <w:pPr>
                                    <w:spacing w:line="240" w:lineRule="auto"/>
                                    <w:jc w:val="center"/>
                                    <w:textDirection w:val="btLr"/>
                                  </w:pPr>
                                  <w:r>
                                    <w:rPr>
                                      <w:b/>
                                      <w:color w:val="000000"/>
                                      <w:sz w:val="20"/>
                                    </w:rPr>
                                    <w:t>NHS England</w:t>
                                  </w:r>
                                </w:p>
                              </w:txbxContent>
                            </wps:txbx>
                            <wps:bodyPr spcFirstLastPara="1" wrap="square" lIns="91425" tIns="91425" rIns="91425" bIns="91425" anchor="t" anchorCtr="0">
                              <a:noAutofit/>
                            </wps:bodyPr>
                          </wps:wsp>
                          <wps:wsp>
                            <wps:cNvPr id="303495820" name="Rectangle 303495820"/>
                            <wps:cNvSpPr/>
                            <wps:spPr>
                              <a:xfrm>
                                <a:off x="1404850" y="2285850"/>
                                <a:ext cx="1741200" cy="1269600"/>
                              </a:xfrm>
                              <a:prstGeom prst="rect">
                                <a:avLst/>
                              </a:prstGeom>
                              <a:solidFill>
                                <a:srgbClr val="D9D2E9"/>
                              </a:solidFill>
                              <a:ln>
                                <a:noFill/>
                              </a:ln>
                            </wps:spPr>
                            <wps:txbx>
                              <w:txbxContent>
                                <w:p w14:paraId="35BB105C" w14:textId="77777777" w:rsidR="002D7997" w:rsidRDefault="00000000">
                                  <w:pPr>
                                    <w:spacing w:line="240" w:lineRule="auto"/>
                                    <w:jc w:val="center"/>
                                    <w:textDirection w:val="btLr"/>
                                  </w:pPr>
                                  <w:r>
                                    <w:rPr>
                                      <w:b/>
                                      <w:color w:val="000000"/>
                                      <w:sz w:val="28"/>
                                    </w:rPr>
                                    <w:t>Minimal effort</w:t>
                                  </w:r>
                                </w:p>
                                <w:p w14:paraId="646F658C" w14:textId="77777777" w:rsidR="002D7997" w:rsidRDefault="002D7997">
                                  <w:pPr>
                                    <w:spacing w:line="240" w:lineRule="auto"/>
                                    <w:jc w:val="center"/>
                                    <w:textDirection w:val="btLr"/>
                                  </w:pPr>
                                </w:p>
                                <w:p w14:paraId="20979AAE" w14:textId="77777777" w:rsidR="002D7997" w:rsidRDefault="00000000">
                                  <w:pPr>
                                    <w:spacing w:line="240" w:lineRule="auto"/>
                                    <w:jc w:val="center"/>
                                    <w:textDirection w:val="btLr"/>
                                  </w:pPr>
                                  <w:r>
                                    <w:rPr>
                                      <w:b/>
                                      <w:color w:val="000000"/>
                                      <w:sz w:val="20"/>
                                    </w:rPr>
                                    <w:t>Media</w:t>
                                  </w:r>
                                </w:p>
                                <w:p w14:paraId="7315D17C" w14:textId="77777777" w:rsidR="002D7997" w:rsidRDefault="00000000">
                                  <w:pPr>
                                    <w:spacing w:line="240" w:lineRule="auto"/>
                                    <w:jc w:val="center"/>
                                    <w:textDirection w:val="btLr"/>
                                  </w:pPr>
                                  <w:r>
                                    <w:rPr>
                                      <w:b/>
                                      <w:color w:val="000000"/>
                                      <w:sz w:val="20"/>
                                    </w:rPr>
                                    <w:t>Suppliers</w:t>
                                  </w:r>
                                </w:p>
                              </w:txbxContent>
                            </wps:txbx>
                            <wps:bodyPr spcFirstLastPara="1" wrap="square" lIns="91425" tIns="91425" rIns="91425" bIns="91425" anchor="t" anchorCtr="0">
                              <a:noAutofit/>
                            </wps:bodyPr>
                          </wps:wsp>
                          <wps:wsp>
                            <wps:cNvPr id="29771246" name="Rectangle 29771246"/>
                            <wps:cNvSpPr/>
                            <wps:spPr>
                              <a:xfrm>
                                <a:off x="3217675" y="2285850"/>
                                <a:ext cx="1669500" cy="1290000"/>
                              </a:xfrm>
                              <a:prstGeom prst="rect">
                                <a:avLst/>
                              </a:prstGeom>
                              <a:solidFill>
                                <a:srgbClr val="FFF2CC"/>
                              </a:solidFill>
                              <a:ln>
                                <a:noFill/>
                              </a:ln>
                            </wps:spPr>
                            <wps:txbx>
                              <w:txbxContent>
                                <w:p w14:paraId="0B9768F3" w14:textId="77777777" w:rsidR="002D7997" w:rsidRDefault="00000000">
                                  <w:pPr>
                                    <w:spacing w:line="240" w:lineRule="auto"/>
                                    <w:jc w:val="center"/>
                                    <w:textDirection w:val="btLr"/>
                                  </w:pPr>
                                  <w:r>
                                    <w:rPr>
                                      <w:b/>
                                      <w:color w:val="000000"/>
                                      <w:sz w:val="28"/>
                                    </w:rPr>
                                    <w:t>Keep informed</w:t>
                                  </w:r>
                                </w:p>
                                <w:p w14:paraId="4AA1EA06" w14:textId="77777777" w:rsidR="002D7997" w:rsidRDefault="002D7997">
                                  <w:pPr>
                                    <w:spacing w:line="240" w:lineRule="auto"/>
                                    <w:jc w:val="center"/>
                                    <w:textDirection w:val="btLr"/>
                                  </w:pPr>
                                </w:p>
                                <w:p w14:paraId="409BC76A" w14:textId="77777777" w:rsidR="002D7997" w:rsidRDefault="00000000">
                                  <w:pPr>
                                    <w:spacing w:line="240" w:lineRule="auto"/>
                                    <w:jc w:val="center"/>
                                    <w:textDirection w:val="btLr"/>
                                  </w:pPr>
                                  <w:r>
                                    <w:rPr>
                                      <w:b/>
                                      <w:color w:val="000000"/>
                                      <w:sz w:val="20"/>
                                    </w:rPr>
                                    <w:t>Patients and end users</w:t>
                                  </w:r>
                                </w:p>
                                <w:p w14:paraId="333E022E" w14:textId="77777777" w:rsidR="002D7997" w:rsidRDefault="00000000">
                                  <w:pPr>
                                    <w:spacing w:line="240" w:lineRule="auto"/>
                                    <w:jc w:val="center"/>
                                    <w:textDirection w:val="btLr"/>
                                  </w:pPr>
                                  <w:r>
                                    <w:rPr>
                                      <w:b/>
                                      <w:color w:val="000000"/>
                                      <w:sz w:val="20"/>
                                    </w:rPr>
                                    <w:t>Healthcare professionals</w:t>
                                  </w:r>
                                </w:p>
                              </w:txbxContent>
                            </wps:txbx>
                            <wps:bodyPr spcFirstLastPara="1" wrap="square" lIns="91425" tIns="91425" rIns="91425" bIns="91425" anchor="t" anchorCtr="0">
                              <a:noAutofit/>
                            </wps:bodyPr>
                          </wps:wsp>
                          <wps:wsp>
                            <wps:cNvPr id="1598311229" name="Rectangle 1598311229"/>
                            <wps:cNvSpPr/>
                            <wps:spPr>
                              <a:xfrm>
                                <a:off x="2090575" y="3743550"/>
                                <a:ext cx="2099700" cy="306900"/>
                              </a:xfrm>
                              <a:prstGeom prst="rect">
                                <a:avLst/>
                              </a:prstGeom>
                              <a:solidFill>
                                <a:srgbClr val="FFF2CC"/>
                              </a:solidFill>
                              <a:ln>
                                <a:noFill/>
                              </a:ln>
                            </wps:spPr>
                            <wps:txbx>
                              <w:txbxContent>
                                <w:p w14:paraId="5C617C4C" w14:textId="77777777" w:rsidR="002D7997" w:rsidRDefault="00000000">
                                  <w:pPr>
                                    <w:spacing w:line="240" w:lineRule="auto"/>
                                    <w:jc w:val="center"/>
                                    <w:textDirection w:val="btLr"/>
                                  </w:pPr>
                                  <w:r>
                                    <w:rPr>
                                      <w:b/>
                                      <w:color w:val="000000"/>
                                      <w:sz w:val="28"/>
                                    </w:rPr>
                                    <w:t>Interest</w:t>
                                  </w:r>
                                </w:p>
                              </w:txbxContent>
                            </wps:txbx>
                            <wps:bodyPr spcFirstLastPara="1" wrap="square" lIns="91425" tIns="91425" rIns="91425" bIns="91425" anchor="t" anchorCtr="0">
                              <a:noAutofit/>
                            </wps:bodyPr>
                          </wps:wsp>
                          <wps:wsp>
                            <wps:cNvPr id="1365496964" name="Rectangle 1365496964"/>
                            <wps:cNvSpPr/>
                            <wps:spPr>
                              <a:xfrm rot="-5399560">
                                <a:off x="-118428" y="2130005"/>
                                <a:ext cx="2345400" cy="324300"/>
                              </a:xfrm>
                              <a:prstGeom prst="rect">
                                <a:avLst/>
                              </a:prstGeom>
                              <a:solidFill>
                                <a:srgbClr val="B6D7A8"/>
                              </a:solidFill>
                              <a:ln>
                                <a:noFill/>
                              </a:ln>
                            </wps:spPr>
                            <wps:txbx>
                              <w:txbxContent>
                                <w:p w14:paraId="113310E7" w14:textId="77777777" w:rsidR="002D7997" w:rsidRDefault="00000000">
                                  <w:pPr>
                                    <w:spacing w:line="240" w:lineRule="auto"/>
                                    <w:jc w:val="center"/>
                                    <w:textDirection w:val="btLr"/>
                                  </w:pPr>
                                  <w:r>
                                    <w:rPr>
                                      <w:b/>
                                      <w:color w:val="000000"/>
                                      <w:sz w:val="28"/>
                                    </w:rPr>
                                    <w:t>Power</w:t>
                                  </w:r>
                                </w:p>
                              </w:txbxContent>
                            </wps:txbx>
                            <wps:bodyPr spcFirstLastPara="1" wrap="square" lIns="91425" tIns="91425" rIns="91425" bIns="91425" anchor="t" anchorCtr="0">
                              <a:noAutofit/>
                            </wps:bodyPr>
                          </wps:wsp>
                        </wpg:grpSp>
                      </wpg:grpSp>
                    </wpg:wgp>
                  </a:graphicData>
                </a:graphic>
              </wp:inline>
            </w:drawing>
          </mc:Choice>
          <mc:Fallback>
            <w:pict>
              <v:group w14:anchorId="43C06375" id="Group 7" o:spid="_x0000_s1026" style="width:330pt;height:282pt;mso-position-horizontal-relative:char;mso-position-vertical-relative:line" coordorigin="32505,19893" coordsize="41910,35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">
                <v:group id="Group 1078789733" o:spid="_x0000_s1027" style="position:absolute;left:32505;top:19893;width:41910;height:35814" coordorigin="32505,19893" coordsize="41910,35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">
                  <v:rect id="Rectangle 690784244" o:spid="_x0000_s1028" style="position:absolute;left:32505;top:19893;width:41910;height:358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" filled="f" stroked="f">
                    <v:textbox inset="2.53958mm,2.53958mm,2.53958mm,2.53958mm">
                      <w:txbxContent>
                        <w:p w14:paraId="554F37BB" w14:textId="77777777" w:rsidR="002D7997" w:rsidRDefault="002D7997">
                          <w:pPr>
                            <w:spacing w:line="240" w:lineRule="auto"/>
                            <w:jc w:val="left"/>
                            <w:textDirection w:val="btLr"/>
                          </w:pPr>
                        </w:p>
                      </w:txbxContent>
                    </v:textbox>
                  </v:rect>
                  <v:group id="Group 1298904883" o:spid="_x0000_s1029" style="position:absolute;left:32505;top:19893;width:41910;height:35814" coordorigin="8919,4928" coordsize="41677,35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">
                    <v:rect id="Rectangle 1080036337" o:spid="_x0000_s1030" style="position:absolute;left:8919;top:4928;width:41678;height:355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" filled="f" stroked="f">
                      <v:textbox inset="2.53958mm,2.53958mm,2.53958mm,2.53958mm">
                        <w:txbxContent>
                          <w:p w14:paraId="0BBF3A86" w14:textId="77777777" w:rsidR="002D7997" w:rsidRDefault="002D7997">
                            <w:pPr>
                              <w:spacing w:line="240" w:lineRule="auto"/>
                              <w:jc w:val="left"/>
                              <w:textDirection w:val="btLr"/>
                            </w:pPr>
                          </w:p>
                        </w:txbxContent>
                      </v:textbox>
                    </v:rect>
                    <v:shapetype id="_x0000_t32" coordsize="21600,21600" o:spt="32" o:oned="t" path="m,l21600,21600e" filled="f">
                      <v:path arrowok="t" fillok="f" o:connecttype="none"/>
                      <o:lock v:ext="edit" shapetype="t"/>
                    </v:shapetype>
                    <v:shape id="Straight Arrow Connector 1999638298" o:spid="_x0000_s1031" type="#_x0000_t32" style="position:absolute;left:13004;top:4928;width:0;height:31596;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">
                      <v:stroke startarrowwidth="narrow" startarrowlength="short" endarrow="block"/>
                    </v:shape>
                    <v:shape id="Straight Arrow Connector 1686617563" o:spid="_x0000_s1032" type="#_x0000_t32" style="position:absolute;left:13031;top:36369;width:37566;height:2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">
                      <v:stroke startarrowwidth="narrow" startarrowlength="short" endarrow="block"/>
                    </v:shape>
                    <v:rect id="Rectangle 1806232810" o:spid="_x0000_s1033" style="position:absolute;left:13843;top:6369;width:17412;height:15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" fillcolor="#fce5cd" stroked="f">
                      <v:textbox inset="2.53958mm,2.53958mm,2.53958mm,2.53958mm">
                        <w:txbxContent>
                          <w:p w14:paraId="03624286" w14:textId="77777777" w:rsidR="002D7997" w:rsidRDefault="00000000">
                            <w:pPr>
                              <w:spacing w:line="240" w:lineRule="auto"/>
                              <w:jc w:val="center"/>
                              <w:textDirection w:val="btLr"/>
                            </w:pPr>
                            <w:r>
                              <w:rPr>
                                <w:b/>
                                <w:color w:val="000000"/>
                                <w:sz w:val="28"/>
                              </w:rPr>
                              <w:t>Keep Satisfied</w:t>
                            </w:r>
                          </w:p>
                          <w:p w14:paraId="6B9EB57D" w14:textId="77777777" w:rsidR="002D7997" w:rsidRDefault="002D7997">
                            <w:pPr>
                              <w:spacing w:line="240" w:lineRule="auto"/>
                              <w:jc w:val="center"/>
                              <w:textDirection w:val="btLr"/>
                            </w:pPr>
                          </w:p>
                          <w:p w14:paraId="42A5800F" w14:textId="77777777" w:rsidR="002D7997" w:rsidRDefault="00000000">
                            <w:pPr>
                              <w:spacing w:line="240" w:lineRule="auto"/>
                              <w:jc w:val="center"/>
                              <w:textDirection w:val="btLr"/>
                            </w:pPr>
                            <w:r>
                              <w:rPr>
                                <w:b/>
                                <w:color w:val="000000"/>
                                <w:sz w:val="20"/>
                              </w:rPr>
                              <w:t>Board of Directors</w:t>
                            </w:r>
                          </w:p>
                          <w:p w14:paraId="622E9ED5" w14:textId="77777777" w:rsidR="002D7997" w:rsidRDefault="00000000">
                            <w:pPr>
                              <w:spacing w:line="240" w:lineRule="auto"/>
                              <w:jc w:val="center"/>
                              <w:textDirection w:val="btLr"/>
                            </w:pPr>
                            <w:r>
                              <w:rPr>
                                <w:b/>
                                <w:color w:val="000000"/>
                                <w:sz w:val="20"/>
                              </w:rPr>
                              <w:t>Data protection authorities</w:t>
                            </w:r>
                          </w:p>
                          <w:p w14:paraId="319033FC" w14:textId="77777777" w:rsidR="002D7997" w:rsidRDefault="00000000">
                            <w:pPr>
                              <w:spacing w:line="240" w:lineRule="auto"/>
                              <w:jc w:val="center"/>
                              <w:textDirection w:val="btLr"/>
                            </w:pPr>
                            <w:r>
                              <w:rPr>
                                <w:b/>
                                <w:color w:val="000000"/>
                                <w:sz w:val="20"/>
                              </w:rPr>
                              <w:t>Insurance providers</w:t>
                            </w:r>
                          </w:p>
                        </w:txbxContent>
                      </v:textbox>
                    </v:rect>
                    <v:rect id="Rectangle 1069266209" o:spid="_x0000_s1034" style="position:absolute;left:32279;top:6368;width:16695;height:15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" fillcolor="#d0e0e3" stroked="f">
                      <v:textbox inset="2.53958mm,2.53958mm,2.53958mm,2.53958mm">
                        <w:txbxContent>
                          <w:p w14:paraId="6CE5390C" w14:textId="77777777" w:rsidR="002D7997" w:rsidRDefault="00000000">
                            <w:pPr>
                              <w:spacing w:line="240" w:lineRule="auto"/>
                              <w:jc w:val="center"/>
                              <w:textDirection w:val="btLr"/>
                            </w:pPr>
                            <w:r>
                              <w:rPr>
                                <w:b/>
                                <w:color w:val="000000"/>
                                <w:sz w:val="28"/>
                              </w:rPr>
                              <w:t>Key players</w:t>
                            </w:r>
                          </w:p>
                          <w:p w14:paraId="30CA7B6B" w14:textId="77777777" w:rsidR="002D7997" w:rsidRDefault="002D7997">
                            <w:pPr>
                              <w:spacing w:line="240" w:lineRule="auto"/>
                              <w:jc w:val="center"/>
                              <w:textDirection w:val="btLr"/>
                            </w:pPr>
                          </w:p>
                          <w:p w14:paraId="62ED8DAA" w14:textId="77777777" w:rsidR="002D7997" w:rsidRDefault="00000000">
                            <w:pPr>
                              <w:spacing w:line="240" w:lineRule="auto"/>
                              <w:jc w:val="center"/>
                              <w:textDirection w:val="btLr"/>
                            </w:pPr>
                            <w:r>
                              <w:rPr>
                                <w:b/>
                                <w:color w:val="000000"/>
                                <w:sz w:val="20"/>
                              </w:rPr>
                              <w:t>Executive leadership</w:t>
                            </w:r>
                          </w:p>
                          <w:p w14:paraId="4E608BC6" w14:textId="77777777" w:rsidR="002D7997" w:rsidRDefault="00000000">
                            <w:pPr>
                              <w:spacing w:line="240" w:lineRule="auto"/>
                              <w:jc w:val="center"/>
                              <w:textDirection w:val="btLr"/>
                            </w:pPr>
                            <w:r>
                              <w:rPr>
                                <w:b/>
                                <w:color w:val="000000"/>
                                <w:sz w:val="20"/>
                              </w:rPr>
                              <w:t>Regulatory bodies</w:t>
                            </w:r>
                          </w:p>
                          <w:p w14:paraId="68DEFCAD" w14:textId="77777777" w:rsidR="002D7997" w:rsidRDefault="00000000">
                            <w:pPr>
                              <w:spacing w:line="240" w:lineRule="auto"/>
                              <w:jc w:val="center"/>
                              <w:textDirection w:val="btLr"/>
                            </w:pPr>
                            <w:r>
                              <w:rPr>
                                <w:b/>
                                <w:color w:val="000000"/>
                                <w:sz w:val="20"/>
                              </w:rPr>
                              <w:t>NHS England</w:t>
                            </w:r>
                          </w:p>
                        </w:txbxContent>
                      </v:textbox>
                    </v:rect>
                    <v:rect id="Rectangle 303495820" o:spid="_x0000_s1035" style="position:absolute;left:14048;top:22858;width:17412;height:1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" fillcolor="#d9d2e9" stroked="f">
                      <v:textbox inset="2.53958mm,2.53958mm,2.53958mm,2.53958mm">
                        <w:txbxContent>
                          <w:p w14:paraId="35BB105C" w14:textId="77777777" w:rsidR="002D7997" w:rsidRDefault="00000000">
                            <w:pPr>
                              <w:spacing w:line="240" w:lineRule="auto"/>
                              <w:jc w:val="center"/>
                              <w:textDirection w:val="btLr"/>
                            </w:pPr>
                            <w:r>
                              <w:rPr>
                                <w:b/>
                                <w:color w:val="000000"/>
                                <w:sz w:val="28"/>
                              </w:rPr>
                              <w:t>Minimal effort</w:t>
                            </w:r>
                          </w:p>
                          <w:p w14:paraId="646F658C" w14:textId="77777777" w:rsidR="002D7997" w:rsidRDefault="002D7997">
                            <w:pPr>
                              <w:spacing w:line="240" w:lineRule="auto"/>
                              <w:jc w:val="center"/>
                              <w:textDirection w:val="btLr"/>
                            </w:pPr>
                          </w:p>
                          <w:p w14:paraId="20979AAE" w14:textId="77777777" w:rsidR="002D7997" w:rsidRDefault="00000000">
                            <w:pPr>
                              <w:spacing w:line="240" w:lineRule="auto"/>
                              <w:jc w:val="center"/>
                              <w:textDirection w:val="btLr"/>
                            </w:pPr>
                            <w:r>
                              <w:rPr>
                                <w:b/>
                                <w:color w:val="000000"/>
                                <w:sz w:val="20"/>
                              </w:rPr>
                              <w:t>Media</w:t>
                            </w:r>
                          </w:p>
                          <w:p w14:paraId="7315D17C" w14:textId="77777777" w:rsidR="002D7997" w:rsidRDefault="00000000">
                            <w:pPr>
                              <w:spacing w:line="240" w:lineRule="auto"/>
                              <w:jc w:val="center"/>
                              <w:textDirection w:val="btLr"/>
                            </w:pPr>
                            <w:r>
                              <w:rPr>
                                <w:b/>
                                <w:color w:val="000000"/>
                                <w:sz w:val="20"/>
                              </w:rPr>
                              <w:t>Suppliers</w:t>
                            </w:r>
                          </w:p>
                        </w:txbxContent>
                      </v:textbox>
                    </v:rect>
                    <v:rect id="Rectangle 29771246" o:spid="_x0000_s1036" style="position:absolute;left:32176;top:22858;width:16695;height:12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" fillcolor="#fff2cc" stroked="f">
                      <v:textbox inset="2.53958mm,2.53958mm,2.53958mm,2.53958mm">
                        <w:txbxContent>
                          <w:p w14:paraId="0B9768F3" w14:textId="77777777" w:rsidR="002D7997" w:rsidRDefault="00000000">
                            <w:pPr>
                              <w:spacing w:line="240" w:lineRule="auto"/>
                              <w:jc w:val="center"/>
                              <w:textDirection w:val="btLr"/>
                            </w:pPr>
                            <w:r>
                              <w:rPr>
                                <w:b/>
                                <w:color w:val="000000"/>
                                <w:sz w:val="28"/>
                              </w:rPr>
                              <w:t>Keep informed</w:t>
                            </w:r>
                          </w:p>
                          <w:p w14:paraId="4AA1EA06" w14:textId="77777777" w:rsidR="002D7997" w:rsidRDefault="002D7997">
                            <w:pPr>
                              <w:spacing w:line="240" w:lineRule="auto"/>
                              <w:jc w:val="center"/>
                              <w:textDirection w:val="btLr"/>
                            </w:pPr>
                          </w:p>
                          <w:p w14:paraId="409BC76A" w14:textId="77777777" w:rsidR="002D7997" w:rsidRDefault="00000000">
                            <w:pPr>
                              <w:spacing w:line="240" w:lineRule="auto"/>
                              <w:jc w:val="center"/>
                              <w:textDirection w:val="btLr"/>
                            </w:pPr>
                            <w:r>
                              <w:rPr>
                                <w:b/>
                                <w:color w:val="000000"/>
                                <w:sz w:val="20"/>
                              </w:rPr>
                              <w:t>Patients and end users</w:t>
                            </w:r>
                          </w:p>
                          <w:p w14:paraId="333E022E" w14:textId="77777777" w:rsidR="002D7997" w:rsidRDefault="00000000">
                            <w:pPr>
                              <w:spacing w:line="240" w:lineRule="auto"/>
                              <w:jc w:val="center"/>
                              <w:textDirection w:val="btLr"/>
                            </w:pPr>
                            <w:r>
                              <w:rPr>
                                <w:b/>
                                <w:color w:val="000000"/>
                                <w:sz w:val="20"/>
                              </w:rPr>
                              <w:t>Healthcare professionals</w:t>
                            </w:r>
                          </w:p>
                        </w:txbxContent>
                      </v:textbox>
                    </v:rect>
                    <v:rect id="Rectangle 1598311229" o:spid="_x0000_s1037" style="position:absolute;left:20905;top:37435;width:20997;height:3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" fillcolor="#fff2cc" stroked="f">
                      <v:textbox inset="2.53958mm,2.53958mm,2.53958mm,2.53958mm">
                        <w:txbxContent>
                          <w:p w14:paraId="5C617C4C" w14:textId="77777777" w:rsidR="002D7997" w:rsidRDefault="00000000">
                            <w:pPr>
                              <w:spacing w:line="240" w:lineRule="auto"/>
                              <w:jc w:val="center"/>
                              <w:textDirection w:val="btLr"/>
                            </w:pPr>
                            <w:r>
                              <w:rPr>
                                <w:b/>
                                <w:color w:val="000000"/>
                                <w:sz w:val="28"/>
                              </w:rPr>
                              <w:t>Interest</w:t>
                            </w:r>
                          </w:p>
                        </w:txbxContent>
                      </v:textbox>
                    </v:rect>
                    <v:rect id="Rectangle 1365496964" o:spid="_x0000_s1038" style="position:absolute;left:-1184;top:21299;width:23454;height:3243;rotation:-589775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" fillcolor="#b6d7a8" stroked="f">
                      <v:textbox inset="2.53958mm,2.53958mm,2.53958mm,2.53958mm">
                        <w:txbxContent>
                          <w:p w14:paraId="113310E7" w14:textId="77777777" w:rsidR="002D7997" w:rsidRDefault="00000000">
                            <w:pPr>
                              <w:spacing w:line="240" w:lineRule="auto"/>
                              <w:jc w:val="center"/>
                              <w:textDirection w:val="btLr"/>
                            </w:pPr>
                            <w:r>
                              <w:rPr>
                                <w:b/>
                                <w:color w:val="000000"/>
                                <w:sz w:val="28"/>
                              </w:rPr>
                              <w:t>Power</w:t>
                            </w:r>
                          </w:p>
                        </w:txbxContent>
                      </v:textbox>
                    </v:rect>
                  </v:group>
                </v:group>
                <w10:anchorlock/>
              </v:group>
            </w:pict>
          </mc:Fallback>
        </mc:AlternateContent>
      </w:r>
    </w:p>
    <w:p w14:paraId="44A5B94A" w14:textId="77777777" w:rsidR="002D7997" w:rsidRDefault="00000000">
      <w:pPr>
        <w:jc w:val="center"/>
        <w:rPr>
          <w:b/>
          <w:bCs/>
        </w:rPr>
      </w:pPr>
      <w:r>
        <w:rPr>
          <w:b/>
          <w:bCs/>
        </w:rPr>
        <w:t>Figure 2: Mendelow’s Stakeholder Matrix for AstraZeneca</w:t>
      </w:r>
    </w:p>
    <w:p w14:paraId="24C228CC" w14:textId="77777777" w:rsidR="002D7997" w:rsidRDefault="00000000">
      <w:r>
        <w:t xml:space="preserve">The above classification of the stakeholders found internally and externally in AstraZeneca has determined the distribution of power and interest. The influence of key players and critical stakeholders is identified mainly from the corporation’s external landscape. </w:t>
      </w:r>
    </w:p>
    <w:p w14:paraId="47A3D694" w14:textId="77777777" w:rsidR="002D7997" w:rsidRDefault="00000000">
      <w:pPr>
        <w:pStyle w:val="Heading2"/>
      </w:pPr>
      <w:bookmarkStart w:id="10" w:name="_heading=h.sqjvg956raib" w:colFirst="0" w:colLast="0"/>
      <w:bookmarkEnd w:id="10"/>
      <w:r>
        <w:lastRenderedPageBreak/>
        <w:t>5.2 Engagement plan</w:t>
      </w:r>
    </w:p>
    <w:p w14:paraId="736BB5A4" w14:textId="77777777" w:rsidR="002D7997" w:rsidRDefault="00000000">
      <w:r>
        <w:t xml:space="preserve">The engagement of the stakeholders involves a very dynamic and systematic plan of the organisation to carefully cater to and satisfy the needs of the key parties in the process. The involvement of the stakeholders can be done with the help of an effective systematic plan, which can foster responsible research and innovation (Hollman </w:t>
      </w:r>
      <w:r>
        <w:rPr>
          <w:i/>
          <w:iCs/>
        </w:rPr>
        <w:t>et al</w:t>
      </w:r>
      <w:r>
        <w:t xml:space="preserve">. 2022). In the following way, the engagement plan for the </w:t>
      </w:r>
      <w:proofErr w:type="gramStart"/>
      <w:r>
        <w:t>aforementioned stakeholders</w:t>
      </w:r>
      <w:proofErr w:type="gramEnd"/>
      <w:r>
        <w:t xml:space="preserve"> can be fostered effectively. </w:t>
      </w:r>
    </w:p>
    <w:tbl>
      <w:tblPr>
        <w:tblStyle w:val="ad"/>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2D7997" w14:paraId="4DD05EA2" w14:textId="77777777">
        <w:tc>
          <w:tcPr>
            <w:tcW w:w="2258" w:type="dxa"/>
            <w:tcMar>
              <w:top w:w="100" w:type="dxa"/>
              <w:left w:w="100" w:type="dxa"/>
              <w:bottom w:w="100" w:type="dxa"/>
              <w:right w:w="100" w:type="dxa"/>
            </w:tcMar>
          </w:tcPr>
          <w:p w14:paraId="06245888" w14:textId="77777777" w:rsidR="002D7997" w:rsidRDefault="00000000">
            <w:pPr>
              <w:widowControl w:val="0"/>
              <w:pBdr>
                <w:top w:val="nil"/>
                <w:left w:val="nil"/>
                <w:bottom w:val="nil"/>
                <w:right w:val="nil"/>
                <w:between w:val="nil"/>
              </w:pBdr>
              <w:jc w:val="center"/>
              <w:rPr>
                <w:b/>
                <w:bCs/>
              </w:rPr>
            </w:pPr>
            <w:r>
              <w:rPr>
                <w:b/>
                <w:bCs/>
              </w:rPr>
              <w:t>Stakeholder group</w:t>
            </w:r>
          </w:p>
        </w:tc>
        <w:tc>
          <w:tcPr>
            <w:tcW w:w="2257" w:type="dxa"/>
            <w:tcMar>
              <w:top w:w="100" w:type="dxa"/>
              <w:left w:w="100" w:type="dxa"/>
              <w:bottom w:w="100" w:type="dxa"/>
              <w:right w:w="100" w:type="dxa"/>
            </w:tcMar>
          </w:tcPr>
          <w:p w14:paraId="3B6507F0" w14:textId="77777777" w:rsidR="002D7997" w:rsidRDefault="00000000">
            <w:pPr>
              <w:widowControl w:val="0"/>
              <w:pBdr>
                <w:top w:val="nil"/>
                <w:left w:val="nil"/>
                <w:bottom w:val="nil"/>
                <w:right w:val="nil"/>
                <w:between w:val="nil"/>
              </w:pBdr>
              <w:jc w:val="center"/>
              <w:rPr>
                <w:b/>
                <w:bCs/>
              </w:rPr>
            </w:pPr>
            <w:r>
              <w:rPr>
                <w:b/>
                <w:bCs/>
              </w:rPr>
              <w:t>Engagement objective</w:t>
            </w:r>
          </w:p>
        </w:tc>
        <w:tc>
          <w:tcPr>
            <w:tcW w:w="2257" w:type="dxa"/>
            <w:tcMar>
              <w:top w:w="100" w:type="dxa"/>
              <w:left w:w="100" w:type="dxa"/>
              <w:bottom w:w="100" w:type="dxa"/>
              <w:right w:w="100" w:type="dxa"/>
            </w:tcMar>
          </w:tcPr>
          <w:p w14:paraId="2DEE544F" w14:textId="77777777" w:rsidR="002D7997" w:rsidRDefault="00000000">
            <w:pPr>
              <w:widowControl w:val="0"/>
              <w:pBdr>
                <w:top w:val="nil"/>
                <w:left w:val="nil"/>
                <w:bottom w:val="nil"/>
                <w:right w:val="nil"/>
                <w:between w:val="nil"/>
              </w:pBdr>
              <w:jc w:val="center"/>
              <w:rPr>
                <w:b/>
                <w:bCs/>
              </w:rPr>
            </w:pPr>
            <w:r>
              <w:rPr>
                <w:b/>
                <w:bCs/>
              </w:rPr>
              <w:t>Engagement method</w:t>
            </w:r>
          </w:p>
        </w:tc>
        <w:tc>
          <w:tcPr>
            <w:tcW w:w="2257" w:type="dxa"/>
            <w:tcMar>
              <w:top w:w="100" w:type="dxa"/>
              <w:left w:w="100" w:type="dxa"/>
              <w:bottom w:w="100" w:type="dxa"/>
              <w:right w:w="100" w:type="dxa"/>
            </w:tcMar>
          </w:tcPr>
          <w:p w14:paraId="2B253789" w14:textId="77777777" w:rsidR="002D7997" w:rsidRDefault="00000000">
            <w:pPr>
              <w:widowControl w:val="0"/>
              <w:pBdr>
                <w:top w:val="nil"/>
                <w:left w:val="nil"/>
                <w:bottom w:val="nil"/>
                <w:right w:val="nil"/>
                <w:between w:val="nil"/>
              </w:pBdr>
              <w:jc w:val="center"/>
              <w:rPr>
                <w:b/>
                <w:bCs/>
              </w:rPr>
            </w:pPr>
            <w:r>
              <w:rPr>
                <w:b/>
                <w:bCs/>
              </w:rPr>
              <w:t>Frequency</w:t>
            </w:r>
          </w:p>
        </w:tc>
      </w:tr>
      <w:tr w:rsidR="002D7997" w14:paraId="1C154FE7" w14:textId="77777777">
        <w:tc>
          <w:tcPr>
            <w:tcW w:w="2258" w:type="dxa"/>
            <w:tcMar>
              <w:top w:w="100" w:type="dxa"/>
              <w:left w:w="100" w:type="dxa"/>
              <w:bottom w:w="100" w:type="dxa"/>
              <w:right w:w="100" w:type="dxa"/>
            </w:tcMar>
          </w:tcPr>
          <w:p w14:paraId="4DCB3ADA" w14:textId="77777777" w:rsidR="002D7997" w:rsidRDefault="00000000">
            <w:pPr>
              <w:widowControl w:val="0"/>
              <w:pBdr>
                <w:top w:val="nil"/>
                <w:left w:val="nil"/>
                <w:bottom w:val="nil"/>
                <w:right w:val="nil"/>
                <w:between w:val="nil"/>
              </w:pBdr>
              <w:jc w:val="center"/>
            </w:pPr>
            <w:r>
              <w:t>Executive leadership</w:t>
            </w:r>
          </w:p>
        </w:tc>
        <w:tc>
          <w:tcPr>
            <w:tcW w:w="2257" w:type="dxa"/>
            <w:tcMar>
              <w:top w:w="100" w:type="dxa"/>
              <w:left w:w="100" w:type="dxa"/>
              <w:bottom w:w="100" w:type="dxa"/>
              <w:right w:w="100" w:type="dxa"/>
            </w:tcMar>
          </w:tcPr>
          <w:p w14:paraId="089D9A69" w14:textId="77777777" w:rsidR="002D7997" w:rsidRDefault="00000000">
            <w:pPr>
              <w:widowControl w:val="0"/>
              <w:pBdr>
                <w:top w:val="nil"/>
                <w:left w:val="nil"/>
                <w:bottom w:val="nil"/>
                <w:right w:val="nil"/>
                <w:between w:val="nil"/>
              </w:pBdr>
              <w:jc w:val="center"/>
            </w:pPr>
            <w:r>
              <w:t>Strategic alignment and investment approval</w:t>
            </w:r>
          </w:p>
        </w:tc>
        <w:tc>
          <w:tcPr>
            <w:tcW w:w="2257" w:type="dxa"/>
            <w:tcMar>
              <w:top w:w="100" w:type="dxa"/>
              <w:left w:w="100" w:type="dxa"/>
              <w:bottom w:w="100" w:type="dxa"/>
              <w:right w:w="100" w:type="dxa"/>
            </w:tcMar>
          </w:tcPr>
          <w:p w14:paraId="21396020" w14:textId="77777777" w:rsidR="002D7997" w:rsidRDefault="00000000">
            <w:pPr>
              <w:widowControl w:val="0"/>
              <w:pBdr>
                <w:top w:val="nil"/>
                <w:left w:val="nil"/>
                <w:bottom w:val="nil"/>
                <w:right w:val="nil"/>
                <w:between w:val="nil"/>
              </w:pBdr>
              <w:jc w:val="center"/>
            </w:pPr>
            <w:r>
              <w:t>Steering committees and dashboards</w:t>
            </w:r>
          </w:p>
        </w:tc>
        <w:tc>
          <w:tcPr>
            <w:tcW w:w="2257" w:type="dxa"/>
            <w:tcMar>
              <w:top w:w="100" w:type="dxa"/>
              <w:left w:w="100" w:type="dxa"/>
              <w:bottom w:w="100" w:type="dxa"/>
              <w:right w:w="100" w:type="dxa"/>
            </w:tcMar>
          </w:tcPr>
          <w:p w14:paraId="31296505" w14:textId="77777777" w:rsidR="002D7997" w:rsidRDefault="00000000">
            <w:pPr>
              <w:widowControl w:val="0"/>
              <w:pBdr>
                <w:top w:val="nil"/>
                <w:left w:val="nil"/>
                <w:bottom w:val="nil"/>
                <w:right w:val="nil"/>
                <w:between w:val="nil"/>
              </w:pBdr>
              <w:jc w:val="center"/>
            </w:pPr>
            <w:r>
              <w:t>Monthly</w:t>
            </w:r>
          </w:p>
        </w:tc>
      </w:tr>
      <w:tr w:rsidR="002D7997" w14:paraId="205227E1" w14:textId="77777777">
        <w:tc>
          <w:tcPr>
            <w:tcW w:w="2258" w:type="dxa"/>
            <w:tcMar>
              <w:top w:w="100" w:type="dxa"/>
              <w:left w:w="100" w:type="dxa"/>
              <w:bottom w:w="100" w:type="dxa"/>
              <w:right w:w="100" w:type="dxa"/>
            </w:tcMar>
          </w:tcPr>
          <w:p w14:paraId="78A717A6" w14:textId="77777777" w:rsidR="002D7997" w:rsidRDefault="00000000">
            <w:pPr>
              <w:widowControl w:val="0"/>
              <w:pBdr>
                <w:top w:val="nil"/>
                <w:left w:val="nil"/>
                <w:bottom w:val="nil"/>
                <w:right w:val="nil"/>
                <w:between w:val="nil"/>
              </w:pBdr>
              <w:jc w:val="center"/>
            </w:pPr>
            <w:r>
              <w:t>Regulators</w:t>
            </w:r>
          </w:p>
        </w:tc>
        <w:tc>
          <w:tcPr>
            <w:tcW w:w="2257" w:type="dxa"/>
            <w:tcMar>
              <w:top w:w="100" w:type="dxa"/>
              <w:left w:w="100" w:type="dxa"/>
              <w:bottom w:w="100" w:type="dxa"/>
              <w:right w:w="100" w:type="dxa"/>
            </w:tcMar>
          </w:tcPr>
          <w:p w14:paraId="3D432721" w14:textId="77777777" w:rsidR="002D7997" w:rsidRDefault="00000000">
            <w:pPr>
              <w:widowControl w:val="0"/>
              <w:pBdr>
                <w:top w:val="nil"/>
                <w:left w:val="nil"/>
                <w:bottom w:val="nil"/>
                <w:right w:val="nil"/>
                <w:between w:val="nil"/>
              </w:pBdr>
              <w:jc w:val="center"/>
            </w:pPr>
            <w:r>
              <w:t>Compliance and product approval</w:t>
            </w:r>
          </w:p>
        </w:tc>
        <w:tc>
          <w:tcPr>
            <w:tcW w:w="2257" w:type="dxa"/>
            <w:tcMar>
              <w:top w:w="100" w:type="dxa"/>
              <w:left w:w="100" w:type="dxa"/>
              <w:bottom w:w="100" w:type="dxa"/>
              <w:right w:w="100" w:type="dxa"/>
            </w:tcMar>
          </w:tcPr>
          <w:p w14:paraId="5440DF26" w14:textId="77777777" w:rsidR="002D7997" w:rsidRDefault="00000000">
            <w:pPr>
              <w:widowControl w:val="0"/>
              <w:pBdr>
                <w:top w:val="nil"/>
                <w:left w:val="nil"/>
                <w:bottom w:val="nil"/>
                <w:right w:val="nil"/>
                <w:between w:val="nil"/>
              </w:pBdr>
              <w:jc w:val="center"/>
            </w:pPr>
            <w:r>
              <w:t>Regulatory submissions and consultations</w:t>
            </w:r>
          </w:p>
        </w:tc>
        <w:tc>
          <w:tcPr>
            <w:tcW w:w="2257" w:type="dxa"/>
            <w:tcMar>
              <w:top w:w="100" w:type="dxa"/>
              <w:left w:w="100" w:type="dxa"/>
              <w:bottom w:w="100" w:type="dxa"/>
              <w:right w:w="100" w:type="dxa"/>
            </w:tcMar>
          </w:tcPr>
          <w:p w14:paraId="57BD9D8E" w14:textId="77777777" w:rsidR="002D7997" w:rsidRDefault="00000000">
            <w:pPr>
              <w:widowControl w:val="0"/>
              <w:pBdr>
                <w:top w:val="nil"/>
                <w:left w:val="nil"/>
                <w:bottom w:val="nil"/>
                <w:right w:val="nil"/>
                <w:between w:val="nil"/>
              </w:pBdr>
              <w:jc w:val="center"/>
            </w:pPr>
            <w:r>
              <w:t>Milestone-based</w:t>
            </w:r>
          </w:p>
        </w:tc>
      </w:tr>
      <w:tr w:rsidR="002D7997" w14:paraId="06167C1A" w14:textId="77777777">
        <w:tc>
          <w:tcPr>
            <w:tcW w:w="2258" w:type="dxa"/>
            <w:tcMar>
              <w:top w:w="100" w:type="dxa"/>
              <w:left w:w="100" w:type="dxa"/>
              <w:bottom w:w="100" w:type="dxa"/>
              <w:right w:w="100" w:type="dxa"/>
            </w:tcMar>
          </w:tcPr>
          <w:p w14:paraId="0AD0ADAC" w14:textId="77777777" w:rsidR="002D7997" w:rsidRDefault="00000000">
            <w:pPr>
              <w:widowControl w:val="0"/>
              <w:pBdr>
                <w:top w:val="nil"/>
                <w:left w:val="nil"/>
                <w:bottom w:val="nil"/>
                <w:right w:val="nil"/>
                <w:between w:val="nil"/>
              </w:pBdr>
              <w:jc w:val="center"/>
            </w:pPr>
            <w:r>
              <w:t>NHS</w:t>
            </w:r>
          </w:p>
        </w:tc>
        <w:tc>
          <w:tcPr>
            <w:tcW w:w="2257" w:type="dxa"/>
            <w:tcMar>
              <w:top w:w="100" w:type="dxa"/>
              <w:left w:w="100" w:type="dxa"/>
              <w:bottom w:w="100" w:type="dxa"/>
              <w:right w:w="100" w:type="dxa"/>
            </w:tcMar>
          </w:tcPr>
          <w:p w14:paraId="02A3452D" w14:textId="77777777" w:rsidR="002D7997" w:rsidRDefault="00000000">
            <w:pPr>
              <w:widowControl w:val="0"/>
              <w:pBdr>
                <w:top w:val="nil"/>
                <w:left w:val="nil"/>
                <w:bottom w:val="nil"/>
                <w:right w:val="nil"/>
                <w:between w:val="nil"/>
              </w:pBdr>
              <w:jc w:val="center"/>
            </w:pPr>
            <w:r>
              <w:t>Adoption and clinical approval</w:t>
            </w:r>
          </w:p>
        </w:tc>
        <w:tc>
          <w:tcPr>
            <w:tcW w:w="2257" w:type="dxa"/>
            <w:tcMar>
              <w:top w:w="100" w:type="dxa"/>
              <w:left w:w="100" w:type="dxa"/>
              <w:bottom w:w="100" w:type="dxa"/>
              <w:right w:w="100" w:type="dxa"/>
            </w:tcMar>
          </w:tcPr>
          <w:p w14:paraId="4CA190D6" w14:textId="77777777" w:rsidR="002D7997" w:rsidRDefault="00000000">
            <w:pPr>
              <w:widowControl w:val="0"/>
              <w:pBdr>
                <w:top w:val="nil"/>
                <w:left w:val="nil"/>
                <w:bottom w:val="nil"/>
                <w:right w:val="nil"/>
                <w:between w:val="nil"/>
              </w:pBdr>
              <w:jc w:val="center"/>
            </w:pPr>
            <w:r>
              <w:t>Pilots, workshops, and CPD sessions</w:t>
            </w:r>
          </w:p>
        </w:tc>
        <w:tc>
          <w:tcPr>
            <w:tcW w:w="2257" w:type="dxa"/>
            <w:tcMar>
              <w:top w:w="100" w:type="dxa"/>
              <w:left w:w="100" w:type="dxa"/>
              <w:bottom w:w="100" w:type="dxa"/>
              <w:right w:w="100" w:type="dxa"/>
            </w:tcMar>
          </w:tcPr>
          <w:p w14:paraId="6D3E3224" w14:textId="77777777" w:rsidR="002D7997" w:rsidRDefault="00000000">
            <w:pPr>
              <w:widowControl w:val="0"/>
              <w:pBdr>
                <w:top w:val="nil"/>
                <w:left w:val="nil"/>
                <w:bottom w:val="nil"/>
                <w:right w:val="nil"/>
                <w:between w:val="nil"/>
              </w:pBdr>
              <w:jc w:val="center"/>
            </w:pPr>
            <w:r>
              <w:t>Quarterly</w:t>
            </w:r>
          </w:p>
        </w:tc>
      </w:tr>
      <w:tr w:rsidR="002D7997" w14:paraId="5CC569FB" w14:textId="77777777">
        <w:tc>
          <w:tcPr>
            <w:tcW w:w="2258" w:type="dxa"/>
            <w:tcMar>
              <w:top w:w="100" w:type="dxa"/>
              <w:left w:w="100" w:type="dxa"/>
              <w:bottom w:w="100" w:type="dxa"/>
              <w:right w:w="100" w:type="dxa"/>
            </w:tcMar>
          </w:tcPr>
          <w:p w14:paraId="27A3B003" w14:textId="77777777" w:rsidR="002D7997" w:rsidRDefault="00000000">
            <w:pPr>
              <w:widowControl w:val="0"/>
              <w:pBdr>
                <w:top w:val="nil"/>
                <w:left w:val="nil"/>
                <w:bottom w:val="nil"/>
                <w:right w:val="nil"/>
                <w:between w:val="nil"/>
              </w:pBdr>
              <w:jc w:val="center"/>
            </w:pPr>
            <w:r>
              <w:t>Patients</w:t>
            </w:r>
          </w:p>
        </w:tc>
        <w:tc>
          <w:tcPr>
            <w:tcW w:w="2257" w:type="dxa"/>
            <w:tcMar>
              <w:top w:w="100" w:type="dxa"/>
              <w:left w:w="100" w:type="dxa"/>
              <w:bottom w:w="100" w:type="dxa"/>
              <w:right w:w="100" w:type="dxa"/>
            </w:tcMar>
          </w:tcPr>
          <w:p w14:paraId="4DA43044" w14:textId="77777777" w:rsidR="002D7997" w:rsidRDefault="00000000">
            <w:pPr>
              <w:widowControl w:val="0"/>
              <w:pBdr>
                <w:top w:val="nil"/>
                <w:left w:val="nil"/>
                <w:bottom w:val="nil"/>
                <w:right w:val="nil"/>
                <w:between w:val="nil"/>
              </w:pBdr>
              <w:jc w:val="center"/>
            </w:pPr>
            <w:r>
              <w:t xml:space="preserve">Trust, usability and adoption </w:t>
            </w:r>
          </w:p>
        </w:tc>
        <w:tc>
          <w:tcPr>
            <w:tcW w:w="2257" w:type="dxa"/>
            <w:tcMar>
              <w:top w:w="100" w:type="dxa"/>
              <w:left w:w="100" w:type="dxa"/>
              <w:bottom w:w="100" w:type="dxa"/>
              <w:right w:w="100" w:type="dxa"/>
            </w:tcMar>
          </w:tcPr>
          <w:p w14:paraId="2EDC7DFD" w14:textId="77777777" w:rsidR="002D7997" w:rsidRDefault="00000000">
            <w:pPr>
              <w:widowControl w:val="0"/>
              <w:pBdr>
                <w:top w:val="nil"/>
                <w:left w:val="nil"/>
                <w:bottom w:val="nil"/>
                <w:right w:val="nil"/>
                <w:between w:val="nil"/>
              </w:pBdr>
              <w:jc w:val="center"/>
            </w:pPr>
            <w:r>
              <w:t>User testing, feedback surveys</w:t>
            </w:r>
          </w:p>
        </w:tc>
        <w:tc>
          <w:tcPr>
            <w:tcW w:w="2257" w:type="dxa"/>
            <w:tcMar>
              <w:top w:w="100" w:type="dxa"/>
              <w:left w:w="100" w:type="dxa"/>
              <w:bottom w:w="100" w:type="dxa"/>
              <w:right w:w="100" w:type="dxa"/>
            </w:tcMar>
          </w:tcPr>
          <w:p w14:paraId="5BDA3238" w14:textId="77777777" w:rsidR="002D7997" w:rsidRDefault="00000000">
            <w:pPr>
              <w:widowControl w:val="0"/>
              <w:pBdr>
                <w:top w:val="nil"/>
                <w:left w:val="nil"/>
                <w:bottom w:val="nil"/>
                <w:right w:val="nil"/>
                <w:between w:val="nil"/>
              </w:pBdr>
              <w:jc w:val="center"/>
            </w:pPr>
            <w:r>
              <w:t>Continuous</w:t>
            </w:r>
          </w:p>
        </w:tc>
      </w:tr>
      <w:tr w:rsidR="002D7997" w14:paraId="41283245" w14:textId="77777777">
        <w:tc>
          <w:tcPr>
            <w:tcW w:w="2258" w:type="dxa"/>
            <w:tcMar>
              <w:top w:w="100" w:type="dxa"/>
              <w:left w:w="100" w:type="dxa"/>
              <w:bottom w:w="100" w:type="dxa"/>
              <w:right w:w="100" w:type="dxa"/>
            </w:tcMar>
          </w:tcPr>
          <w:p w14:paraId="1C7FA1A5" w14:textId="77777777" w:rsidR="002D7997" w:rsidRDefault="00000000">
            <w:pPr>
              <w:widowControl w:val="0"/>
              <w:pBdr>
                <w:top w:val="nil"/>
                <w:left w:val="nil"/>
                <w:bottom w:val="nil"/>
                <w:right w:val="nil"/>
                <w:between w:val="nil"/>
              </w:pBdr>
              <w:jc w:val="center"/>
            </w:pPr>
            <w:r>
              <w:t>Tech partners</w:t>
            </w:r>
          </w:p>
        </w:tc>
        <w:tc>
          <w:tcPr>
            <w:tcW w:w="2257" w:type="dxa"/>
            <w:tcMar>
              <w:top w:w="100" w:type="dxa"/>
              <w:left w:w="100" w:type="dxa"/>
              <w:bottom w:w="100" w:type="dxa"/>
              <w:right w:w="100" w:type="dxa"/>
            </w:tcMar>
          </w:tcPr>
          <w:p w14:paraId="6768FA26" w14:textId="77777777" w:rsidR="002D7997" w:rsidRDefault="00000000">
            <w:pPr>
              <w:widowControl w:val="0"/>
              <w:pBdr>
                <w:top w:val="nil"/>
                <w:left w:val="nil"/>
                <w:bottom w:val="nil"/>
                <w:right w:val="nil"/>
                <w:between w:val="nil"/>
              </w:pBdr>
              <w:jc w:val="center"/>
            </w:pPr>
            <w:r>
              <w:t>Technical integration and innovation</w:t>
            </w:r>
          </w:p>
        </w:tc>
        <w:tc>
          <w:tcPr>
            <w:tcW w:w="2257" w:type="dxa"/>
            <w:tcMar>
              <w:top w:w="100" w:type="dxa"/>
              <w:left w:w="100" w:type="dxa"/>
              <w:bottom w:w="100" w:type="dxa"/>
              <w:right w:w="100" w:type="dxa"/>
            </w:tcMar>
          </w:tcPr>
          <w:p w14:paraId="41518162" w14:textId="77777777" w:rsidR="002D7997" w:rsidRDefault="00000000">
            <w:pPr>
              <w:widowControl w:val="0"/>
              <w:pBdr>
                <w:top w:val="nil"/>
                <w:left w:val="nil"/>
                <w:bottom w:val="nil"/>
                <w:right w:val="nil"/>
                <w:between w:val="nil"/>
              </w:pBdr>
              <w:jc w:val="center"/>
            </w:pPr>
            <w:r>
              <w:t>Agile sprint reviews</w:t>
            </w:r>
          </w:p>
        </w:tc>
        <w:tc>
          <w:tcPr>
            <w:tcW w:w="2257" w:type="dxa"/>
            <w:tcMar>
              <w:top w:w="100" w:type="dxa"/>
              <w:left w:w="100" w:type="dxa"/>
              <w:bottom w:w="100" w:type="dxa"/>
              <w:right w:w="100" w:type="dxa"/>
            </w:tcMar>
          </w:tcPr>
          <w:p w14:paraId="6EDD76EC" w14:textId="77777777" w:rsidR="002D7997" w:rsidRDefault="00000000">
            <w:pPr>
              <w:widowControl w:val="0"/>
              <w:pBdr>
                <w:top w:val="nil"/>
                <w:left w:val="nil"/>
                <w:bottom w:val="nil"/>
                <w:right w:val="nil"/>
                <w:between w:val="nil"/>
              </w:pBdr>
              <w:jc w:val="center"/>
            </w:pPr>
            <w:r>
              <w:t>Bi-weekly</w:t>
            </w:r>
          </w:p>
        </w:tc>
      </w:tr>
      <w:tr w:rsidR="002D7997" w14:paraId="7A79A9FF" w14:textId="77777777">
        <w:trPr>
          <w:trHeight w:val="626"/>
        </w:trPr>
        <w:tc>
          <w:tcPr>
            <w:tcW w:w="2258" w:type="dxa"/>
            <w:tcMar>
              <w:top w:w="100" w:type="dxa"/>
              <w:left w:w="100" w:type="dxa"/>
              <w:bottom w:w="100" w:type="dxa"/>
              <w:right w:w="100" w:type="dxa"/>
            </w:tcMar>
          </w:tcPr>
          <w:p w14:paraId="3E1D68B1" w14:textId="77777777" w:rsidR="002D7997" w:rsidRDefault="00000000">
            <w:pPr>
              <w:widowControl w:val="0"/>
              <w:pBdr>
                <w:top w:val="nil"/>
                <w:left w:val="nil"/>
                <w:bottom w:val="nil"/>
                <w:right w:val="nil"/>
                <w:between w:val="nil"/>
              </w:pBdr>
              <w:jc w:val="center"/>
            </w:pPr>
            <w:r>
              <w:t>Investors</w:t>
            </w:r>
          </w:p>
        </w:tc>
        <w:tc>
          <w:tcPr>
            <w:tcW w:w="2257" w:type="dxa"/>
            <w:tcMar>
              <w:top w:w="100" w:type="dxa"/>
              <w:left w:w="100" w:type="dxa"/>
              <w:bottom w:w="100" w:type="dxa"/>
              <w:right w:w="100" w:type="dxa"/>
            </w:tcMar>
          </w:tcPr>
          <w:p w14:paraId="09463029" w14:textId="77777777" w:rsidR="002D7997" w:rsidRDefault="00000000">
            <w:pPr>
              <w:widowControl w:val="0"/>
              <w:pBdr>
                <w:top w:val="nil"/>
                <w:left w:val="nil"/>
                <w:bottom w:val="nil"/>
                <w:right w:val="nil"/>
                <w:between w:val="nil"/>
              </w:pBdr>
              <w:jc w:val="center"/>
            </w:pPr>
            <w:r>
              <w:t>Confidence and ROI clarity</w:t>
            </w:r>
          </w:p>
        </w:tc>
        <w:tc>
          <w:tcPr>
            <w:tcW w:w="2257" w:type="dxa"/>
            <w:tcMar>
              <w:top w:w="100" w:type="dxa"/>
              <w:left w:w="100" w:type="dxa"/>
              <w:bottom w:w="100" w:type="dxa"/>
              <w:right w:w="100" w:type="dxa"/>
            </w:tcMar>
          </w:tcPr>
          <w:p w14:paraId="64B250E9" w14:textId="77777777" w:rsidR="002D7997" w:rsidRDefault="00000000">
            <w:pPr>
              <w:widowControl w:val="0"/>
              <w:pBdr>
                <w:top w:val="nil"/>
                <w:left w:val="nil"/>
                <w:bottom w:val="nil"/>
                <w:right w:val="nil"/>
                <w:between w:val="nil"/>
              </w:pBdr>
              <w:jc w:val="center"/>
            </w:pPr>
            <w:r>
              <w:t>Earnings calls and ESG reports</w:t>
            </w:r>
          </w:p>
        </w:tc>
        <w:tc>
          <w:tcPr>
            <w:tcW w:w="2257" w:type="dxa"/>
            <w:tcMar>
              <w:top w:w="100" w:type="dxa"/>
              <w:left w:w="100" w:type="dxa"/>
              <w:bottom w:w="100" w:type="dxa"/>
              <w:right w:w="100" w:type="dxa"/>
            </w:tcMar>
          </w:tcPr>
          <w:p w14:paraId="27D6E771" w14:textId="77777777" w:rsidR="002D7997" w:rsidRDefault="00000000">
            <w:pPr>
              <w:widowControl w:val="0"/>
              <w:pBdr>
                <w:top w:val="nil"/>
                <w:left w:val="nil"/>
                <w:bottom w:val="nil"/>
                <w:right w:val="nil"/>
                <w:between w:val="nil"/>
              </w:pBdr>
              <w:jc w:val="center"/>
            </w:pPr>
            <w:r>
              <w:t>Quarterly</w:t>
            </w:r>
          </w:p>
        </w:tc>
      </w:tr>
    </w:tbl>
    <w:p w14:paraId="287B9493" w14:textId="77777777" w:rsidR="002D7997" w:rsidRDefault="00000000">
      <w:pPr>
        <w:jc w:val="center"/>
        <w:rPr>
          <w:b/>
          <w:bCs/>
        </w:rPr>
      </w:pPr>
      <w:r>
        <w:rPr>
          <w:b/>
          <w:bCs/>
        </w:rPr>
        <w:t>Table 3: Stakeholder engagement plan for AstraZeneca</w:t>
      </w:r>
    </w:p>
    <w:p w14:paraId="27FF8579" w14:textId="77777777" w:rsidR="002D7997" w:rsidRDefault="00000000">
      <w:pPr>
        <w:pStyle w:val="Heading2"/>
      </w:pPr>
      <w:bookmarkStart w:id="11" w:name="_heading=h.q932a2ktaslw" w:colFirst="0" w:colLast="0"/>
      <w:bookmarkEnd w:id="11"/>
      <w:r>
        <w:t>5.3 Communication plan</w:t>
      </w:r>
    </w:p>
    <w:p w14:paraId="10B04408" w14:textId="77777777" w:rsidR="002D7997" w:rsidRDefault="00000000">
      <w:r>
        <w:t xml:space="preserve">The aspect of communication also brings a major emphasis on the key activities of the healthcare organisation in meeting the right factors of performance. Through the establishment of an effective communication plan, the resource managers and dedicated professionals can examine their emphasis on the performance of organisational communication towards the key stakeholders. Brown </w:t>
      </w:r>
      <w:r>
        <w:rPr>
          <w:i/>
          <w:iCs/>
        </w:rPr>
        <w:t>et al</w:t>
      </w:r>
      <w:r>
        <w:t xml:space="preserve">. (2021) emphasise the development of the right activities through planning and engagement to achieve the right engagement of the stakeholders. </w:t>
      </w:r>
    </w:p>
    <w:p w14:paraId="552EAEE9" w14:textId="77777777" w:rsidR="002D7997" w:rsidRDefault="002D7997"/>
    <w:tbl>
      <w:tblPr>
        <w:tblStyle w:val="ae"/>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2D7997" w14:paraId="673BB656" w14:textId="77777777">
        <w:tc>
          <w:tcPr>
            <w:tcW w:w="1805" w:type="dxa"/>
            <w:tcMar>
              <w:top w:w="100" w:type="dxa"/>
              <w:left w:w="100" w:type="dxa"/>
              <w:bottom w:w="100" w:type="dxa"/>
              <w:right w:w="100" w:type="dxa"/>
            </w:tcMar>
          </w:tcPr>
          <w:p w14:paraId="7AF90FD6" w14:textId="77777777" w:rsidR="002D7997" w:rsidRDefault="00000000">
            <w:pPr>
              <w:widowControl w:val="0"/>
              <w:pBdr>
                <w:top w:val="nil"/>
                <w:left w:val="nil"/>
                <w:bottom w:val="nil"/>
                <w:right w:val="nil"/>
                <w:between w:val="nil"/>
              </w:pBdr>
              <w:jc w:val="center"/>
              <w:rPr>
                <w:b/>
                <w:bCs/>
              </w:rPr>
            </w:pPr>
            <w:r>
              <w:rPr>
                <w:b/>
                <w:bCs/>
              </w:rPr>
              <w:t xml:space="preserve">Stakeholder </w:t>
            </w:r>
          </w:p>
        </w:tc>
        <w:tc>
          <w:tcPr>
            <w:tcW w:w="1806" w:type="dxa"/>
            <w:tcMar>
              <w:top w:w="100" w:type="dxa"/>
              <w:left w:w="100" w:type="dxa"/>
              <w:bottom w:w="100" w:type="dxa"/>
              <w:right w:w="100" w:type="dxa"/>
            </w:tcMar>
          </w:tcPr>
          <w:p w14:paraId="3FE173DC" w14:textId="77777777" w:rsidR="002D7997" w:rsidRDefault="00000000">
            <w:pPr>
              <w:widowControl w:val="0"/>
              <w:pBdr>
                <w:top w:val="nil"/>
                <w:left w:val="nil"/>
                <w:bottom w:val="nil"/>
                <w:right w:val="nil"/>
                <w:between w:val="nil"/>
              </w:pBdr>
              <w:jc w:val="center"/>
              <w:rPr>
                <w:b/>
                <w:bCs/>
              </w:rPr>
            </w:pPr>
            <w:r>
              <w:rPr>
                <w:b/>
                <w:bCs/>
              </w:rPr>
              <w:t>Key message</w:t>
            </w:r>
          </w:p>
        </w:tc>
        <w:tc>
          <w:tcPr>
            <w:tcW w:w="1806" w:type="dxa"/>
            <w:tcMar>
              <w:top w:w="100" w:type="dxa"/>
              <w:left w:w="100" w:type="dxa"/>
              <w:bottom w:w="100" w:type="dxa"/>
              <w:right w:w="100" w:type="dxa"/>
            </w:tcMar>
          </w:tcPr>
          <w:p w14:paraId="4726A726" w14:textId="77777777" w:rsidR="002D7997" w:rsidRDefault="00000000">
            <w:pPr>
              <w:widowControl w:val="0"/>
              <w:pBdr>
                <w:top w:val="nil"/>
                <w:left w:val="nil"/>
                <w:bottom w:val="nil"/>
                <w:right w:val="nil"/>
                <w:between w:val="nil"/>
              </w:pBdr>
              <w:jc w:val="center"/>
              <w:rPr>
                <w:b/>
                <w:bCs/>
              </w:rPr>
            </w:pPr>
            <w:r>
              <w:rPr>
                <w:b/>
                <w:bCs/>
              </w:rPr>
              <w:t>Channel</w:t>
            </w:r>
          </w:p>
        </w:tc>
        <w:tc>
          <w:tcPr>
            <w:tcW w:w="1806" w:type="dxa"/>
            <w:tcMar>
              <w:top w:w="100" w:type="dxa"/>
              <w:left w:w="100" w:type="dxa"/>
              <w:bottom w:w="100" w:type="dxa"/>
              <w:right w:w="100" w:type="dxa"/>
            </w:tcMar>
          </w:tcPr>
          <w:p w14:paraId="30E729AF" w14:textId="77777777" w:rsidR="002D7997" w:rsidRDefault="00000000">
            <w:pPr>
              <w:widowControl w:val="0"/>
              <w:pBdr>
                <w:top w:val="nil"/>
                <w:left w:val="nil"/>
                <w:bottom w:val="nil"/>
                <w:right w:val="nil"/>
                <w:between w:val="nil"/>
              </w:pBdr>
              <w:jc w:val="center"/>
              <w:rPr>
                <w:b/>
                <w:bCs/>
              </w:rPr>
            </w:pPr>
            <w:r>
              <w:rPr>
                <w:b/>
                <w:bCs/>
              </w:rPr>
              <w:t>Owner</w:t>
            </w:r>
          </w:p>
        </w:tc>
        <w:tc>
          <w:tcPr>
            <w:tcW w:w="1806" w:type="dxa"/>
            <w:tcMar>
              <w:top w:w="100" w:type="dxa"/>
              <w:left w:w="100" w:type="dxa"/>
              <w:bottom w:w="100" w:type="dxa"/>
              <w:right w:w="100" w:type="dxa"/>
            </w:tcMar>
          </w:tcPr>
          <w:p w14:paraId="2F36DFFD" w14:textId="77777777" w:rsidR="002D7997" w:rsidRDefault="00000000">
            <w:pPr>
              <w:widowControl w:val="0"/>
              <w:pBdr>
                <w:top w:val="nil"/>
                <w:left w:val="nil"/>
                <w:bottom w:val="nil"/>
                <w:right w:val="nil"/>
                <w:between w:val="nil"/>
              </w:pBdr>
              <w:jc w:val="center"/>
              <w:rPr>
                <w:b/>
                <w:bCs/>
              </w:rPr>
            </w:pPr>
            <w:r>
              <w:rPr>
                <w:b/>
                <w:bCs/>
              </w:rPr>
              <w:t>Timing</w:t>
            </w:r>
          </w:p>
        </w:tc>
      </w:tr>
      <w:tr w:rsidR="002D7997" w14:paraId="4FBDAF93" w14:textId="77777777">
        <w:tc>
          <w:tcPr>
            <w:tcW w:w="1805" w:type="dxa"/>
            <w:tcMar>
              <w:top w:w="100" w:type="dxa"/>
              <w:left w:w="100" w:type="dxa"/>
              <w:bottom w:w="100" w:type="dxa"/>
              <w:right w:w="100" w:type="dxa"/>
            </w:tcMar>
          </w:tcPr>
          <w:p w14:paraId="78CF01BE" w14:textId="77777777" w:rsidR="002D7997" w:rsidRDefault="00000000">
            <w:pPr>
              <w:widowControl w:val="0"/>
              <w:pBdr>
                <w:top w:val="nil"/>
                <w:left w:val="nil"/>
                <w:bottom w:val="nil"/>
                <w:right w:val="nil"/>
                <w:between w:val="nil"/>
              </w:pBdr>
              <w:jc w:val="left"/>
            </w:pPr>
            <w:r>
              <w:t xml:space="preserve">Board </w:t>
            </w:r>
          </w:p>
        </w:tc>
        <w:tc>
          <w:tcPr>
            <w:tcW w:w="1806" w:type="dxa"/>
            <w:tcMar>
              <w:top w:w="100" w:type="dxa"/>
              <w:left w:w="100" w:type="dxa"/>
              <w:bottom w:w="100" w:type="dxa"/>
              <w:right w:w="100" w:type="dxa"/>
            </w:tcMar>
          </w:tcPr>
          <w:p w14:paraId="3882C392" w14:textId="77777777" w:rsidR="002D7997" w:rsidRDefault="00000000">
            <w:pPr>
              <w:widowControl w:val="0"/>
              <w:pBdr>
                <w:top w:val="nil"/>
                <w:left w:val="nil"/>
                <w:bottom w:val="nil"/>
                <w:right w:val="nil"/>
                <w:between w:val="nil"/>
              </w:pBdr>
              <w:jc w:val="left"/>
            </w:pPr>
            <w:r>
              <w:t>Strategic fit, risk and return</w:t>
            </w:r>
          </w:p>
        </w:tc>
        <w:tc>
          <w:tcPr>
            <w:tcW w:w="1806" w:type="dxa"/>
            <w:tcMar>
              <w:top w:w="100" w:type="dxa"/>
              <w:left w:w="100" w:type="dxa"/>
              <w:bottom w:w="100" w:type="dxa"/>
              <w:right w:w="100" w:type="dxa"/>
            </w:tcMar>
          </w:tcPr>
          <w:p w14:paraId="0B958119" w14:textId="77777777" w:rsidR="002D7997" w:rsidRDefault="00000000">
            <w:pPr>
              <w:widowControl w:val="0"/>
              <w:pBdr>
                <w:top w:val="nil"/>
                <w:left w:val="nil"/>
                <w:bottom w:val="nil"/>
                <w:right w:val="nil"/>
                <w:between w:val="nil"/>
              </w:pBdr>
              <w:jc w:val="left"/>
            </w:pPr>
            <w:r>
              <w:t>Board reports</w:t>
            </w:r>
          </w:p>
        </w:tc>
        <w:tc>
          <w:tcPr>
            <w:tcW w:w="1806" w:type="dxa"/>
            <w:tcMar>
              <w:top w:w="100" w:type="dxa"/>
              <w:left w:w="100" w:type="dxa"/>
              <w:bottom w:w="100" w:type="dxa"/>
              <w:right w:w="100" w:type="dxa"/>
            </w:tcMar>
          </w:tcPr>
          <w:p w14:paraId="01865362" w14:textId="77777777" w:rsidR="002D7997" w:rsidRDefault="00000000">
            <w:pPr>
              <w:widowControl w:val="0"/>
              <w:pBdr>
                <w:top w:val="nil"/>
                <w:left w:val="nil"/>
                <w:bottom w:val="nil"/>
                <w:right w:val="nil"/>
                <w:between w:val="nil"/>
              </w:pBdr>
              <w:jc w:val="left"/>
            </w:pPr>
            <w:r>
              <w:t>CEO</w:t>
            </w:r>
          </w:p>
        </w:tc>
        <w:tc>
          <w:tcPr>
            <w:tcW w:w="1806" w:type="dxa"/>
            <w:tcMar>
              <w:top w:w="100" w:type="dxa"/>
              <w:left w:w="100" w:type="dxa"/>
              <w:bottom w:w="100" w:type="dxa"/>
              <w:right w:w="100" w:type="dxa"/>
            </w:tcMar>
          </w:tcPr>
          <w:p w14:paraId="19398C07" w14:textId="77777777" w:rsidR="002D7997" w:rsidRDefault="00000000">
            <w:pPr>
              <w:widowControl w:val="0"/>
              <w:pBdr>
                <w:top w:val="nil"/>
                <w:left w:val="nil"/>
                <w:bottom w:val="nil"/>
                <w:right w:val="nil"/>
                <w:between w:val="nil"/>
              </w:pBdr>
              <w:jc w:val="left"/>
            </w:pPr>
            <w:r>
              <w:t>Quarterly</w:t>
            </w:r>
          </w:p>
        </w:tc>
      </w:tr>
      <w:tr w:rsidR="002D7997" w14:paraId="777DC6DE" w14:textId="77777777">
        <w:tc>
          <w:tcPr>
            <w:tcW w:w="1805" w:type="dxa"/>
            <w:tcMar>
              <w:top w:w="100" w:type="dxa"/>
              <w:left w:w="100" w:type="dxa"/>
              <w:bottom w:w="100" w:type="dxa"/>
              <w:right w:w="100" w:type="dxa"/>
            </w:tcMar>
          </w:tcPr>
          <w:p w14:paraId="3B05873C" w14:textId="77777777" w:rsidR="002D7997" w:rsidRDefault="00000000">
            <w:pPr>
              <w:widowControl w:val="0"/>
              <w:pBdr>
                <w:top w:val="nil"/>
                <w:left w:val="nil"/>
                <w:bottom w:val="nil"/>
                <w:right w:val="nil"/>
                <w:between w:val="nil"/>
              </w:pBdr>
              <w:jc w:val="left"/>
            </w:pPr>
            <w:r>
              <w:t>Regulators of NHS &amp; HCPs</w:t>
            </w:r>
          </w:p>
        </w:tc>
        <w:tc>
          <w:tcPr>
            <w:tcW w:w="1806" w:type="dxa"/>
            <w:tcMar>
              <w:top w:w="100" w:type="dxa"/>
              <w:left w:w="100" w:type="dxa"/>
              <w:bottom w:w="100" w:type="dxa"/>
              <w:right w:w="100" w:type="dxa"/>
            </w:tcMar>
          </w:tcPr>
          <w:p w14:paraId="5E21EF72" w14:textId="77777777" w:rsidR="002D7997" w:rsidRDefault="00000000">
            <w:pPr>
              <w:widowControl w:val="0"/>
              <w:pBdr>
                <w:top w:val="nil"/>
                <w:left w:val="nil"/>
                <w:bottom w:val="nil"/>
                <w:right w:val="nil"/>
                <w:between w:val="nil"/>
              </w:pBdr>
              <w:jc w:val="left"/>
            </w:pPr>
            <w:r>
              <w:t>Safety, efficacy and data privacy</w:t>
            </w:r>
          </w:p>
        </w:tc>
        <w:tc>
          <w:tcPr>
            <w:tcW w:w="1806" w:type="dxa"/>
            <w:tcMar>
              <w:top w:w="100" w:type="dxa"/>
              <w:left w:w="100" w:type="dxa"/>
              <w:bottom w:w="100" w:type="dxa"/>
              <w:right w:w="100" w:type="dxa"/>
            </w:tcMar>
          </w:tcPr>
          <w:p w14:paraId="56EBE2C5" w14:textId="77777777" w:rsidR="002D7997" w:rsidRDefault="00000000">
            <w:pPr>
              <w:widowControl w:val="0"/>
              <w:pBdr>
                <w:top w:val="nil"/>
                <w:left w:val="nil"/>
                <w:bottom w:val="nil"/>
                <w:right w:val="nil"/>
                <w:between w:val="nil"/>
              </w:pBdr>
              <w:jc w:val="left"/>
            </w:pPr>
            <w:r>
              <w:t>Formal submissions</w:t>
            </w:r>
          </w:p>
        </w:tc>
        <w:tc>
          <w:tcPr>
            <w:tcW w:w="1806" w:type="dxa"/>
            <w:tcMar>
              <w:top w:w="100" w:type="dxa"/>
              <w:left w:w="100" w:type="dxa"/>
              <w:bottom w:w="100" w:type="dxa"/>
              <w:right w:w="100" w:type="dxa"/>
            </w:tcMar>
          </w:tcPr>
          <w:p w14:paraId="32679129" w14:textId="77777777" w:rsidR="002D7997" w:rsidRDefault="00000000">
            <w:pPr>
              <w:widowControl w:val="0"/>
              <w:pBdr>
                <w:top w:val="nil"/>
                <w:left w:val="nil"/>
                <w:bottom w:val="nil"/>
                <w:right w:val="nil"/>
                <w:between w:val="nil"/>
              </w:pBdr>
              <w:jc w:val="left"/>
            </w:pPr>
            <w:r>
              <w:t>Regulatory affairs</w:t>
            </w:r>
          </w:p>
        </w:tc>
        <w:tc>
          <w:tcPr>
            <w:tcW w:w="1806" w:type="dxa"/>
            <w:tcMar>
              <w:top w:w="100" w:type="dxa"/>
              <w:left w:w="100" w:type="dxa"/>
              <w:bottom w:w="100" w:type="dxa"/>
              <w:right w:w="100" w:type="dxa"/>
            </w:tcMar>
          </w:tcPr>
          <w:p w14:paraId="4A389375" w14:textId="77777777" w:rsidR="002D7997" w:rsidRDefault="00000000">
            <w:pPr>
              <w:widowControl w:val="0"/>
              <w:pBdr>
                <w:top w:val="nil"/>
                <w:left w:val="nil"/>
                <w:bottom w:val="nil"/>
                <w:right w:val="nil"/>
                <w:between w:val="nil"/>
              </w:pBdr>
              <w:jc w:val="left"/>
            </w:pPr>
            <w:r>
              <w:t>As required</w:t>
            </w:r>
          </w:p>
        </w:tc>
      </w:tr>
      <w:tr w:rsidR="002D7997" w14:paraId="6E5F4442" w14:textId="77777777">
        <w:tc>
          <w:tcPr>
            <w:tcW w:w="1805" w:type="dxa"/>
            <w:tcMar>
              <w:top w:w="100" w:type="dxa"/>
              <w:left w:w="100" w:type="dxa"/>
              <w:bottom w:w="100" w:type="dxa"/>
              <w:right w:w="100" w:type="dxa"/>
            </w:tcMar>
          </w:tcPr>
          <w:p w14:paraId="2F432AE9" w14:textId="77777777" w:rsidR="002D7997" w:rsidRDefault="00000000">
            <w:pPr>
              <w:widowControl w:val="0"/>
              <w:pBdr>
                <w:top w:val="nil"/>
                <w:left w:val="nil"/>
                <w:bottom w:val="nil"/>
                <w:right w:val="nil"/>
                <w:between w:val="nil"/>
              </w:pBdr>
              <w:jc w:val="left"/>
            </w:pPr>
            <w:r>
              <w:t>Patients</w:t>
            </w:r>
          </w:p>
        </w:tc>
        <w:tc>
          <w:tcPr>
            <w:tcW w:w="1806" w:type="dxa"/>
            <w:tcMar>
              <w:top w:w="100" w:type="dxa"/>
              <w:left w:w="100" w:type="dxa"/>
              <w:bottom w:w="100" w:type="dxa"/>
              <w:right w:w="100" w:type="dxa"/>
            </w:tcMar>
          </w:tcPr>
          <w:p w14:paraId="3ED1F4A7" w14:textId="77777777" w:rsidR="002D7997" w:rsidRDefault="00000000">
            <w:pPr>
              <w:widowControl w:val="0"/>
              <w:pBdr>
                <w:top w:val="nil"/>
                <w:left w:val="nil"/>
                <w:bottom w:val="nil"/>
                <w:right w:val="nil"/>
                <w:between w:val="nil"/>
              </w:pBdr>
              <w:jc w:val="left"/>
            </w:pPr>
            <w:r>
              <w:t xml:space="preserve">Clinical value and patient outcomes </w:t>
            </w:r>
          </w:p>
        </w:tc>
        <w:tc>
          <w:tcPr>
            <w:tcW w:w="1806" w:type="dxa"/>
            <w:tcMar>
              <w:top w:w="100" w:type="dxa"/>
              <w:left w:w="100" w:type="dxa"/>
              <w:bottom w:w="100" w:type="dxa"/>
              <w:right w:w="100" w:type="dxa"/>
            </w:tcMar>
          </w:tcPr>
          <w:p w14:paraId="17A37380" w14:textId="77777777" w:rsidR="002D7997" w:rsidRDefault="00000000">
            <w:pPr>
              <w:widowControl w:val="0"/>
              <w:pBdr>
                <w:top w:val="nil"/>
                <w:left w:val="nil"/>
                <w:bottom w:val="nil"/>
                <w:right w:val="nil"/>
                <w:between w:val="nil"/>
              </w:pBdr>
              <w:jc w:val="left"/>
            </w:pPr>
            <w:r>
              <w:t>Webinars, white papers</w:t>
            </w:r>
          </w:p>
        </w:tc>
        <w:tc>
          <w:tcPr>
            <w:tcW w:w="1806" w:type="dxa"/>
            <w:tcMar>
              <w:top w:w="100" w:type="dxa"/>
              <w:left w:w="100" w:type="dxa"/>
              <w:bottom w:w="100" w:type="dxa"/>
              <w:right w:w="100" w:type="dxa"/>
            </w:tcMar>
          </w:tcPr>
          <w:p w14:paraId="7492BE41" w14:textId="77777777" w:rsidR="002D7997" w:rsidRDefault="00000000">
            <w:pPr>
              <w:widowControl w:val="0"/>
              <w:pBdr>
                <w:top w:val="nil"/>
                <w:left w:val="nil"/>
                <w:bottom w:val="nil"/>
                <w:right w:val="nil"/>
                <w:between w:val="nil"/>
              </w:pBdr>
              <w:jc w:val="left"/>
            </w:pPr>
            <w:r>
              <w:t>Medical affairs</w:t>
            </w:r>
          </w:p>
        </w:tc>
        <w:tc>
          <w:tcPr>
            <w:tcW w:w="1806" w:type="dxa"/>
            <w:tcMar>
              <w:top w:w="100" w:type="dxa"/>
              <w:left w:w="100" w:type="dxa"/>
              <w:bottom w:w="100" w:type="dxa"/>
              <w:right w:w="100" w:type="dxa"/>
            </w:tcMar>
          </w:tcPr>
          <w:p w14:paraId="3C99ABC4" w14:textId="77777777" w:rsidR="002D7997" w:rsidRDefault="00000000">
            <w:pPr>
              <w:widowControl w:val="0"/>
              <w:pBdr>
                <w:top w:val="nil"/>
                <w:left w:val="nil"/>
                <w:bottom w:val="nil"/>
                <w:right w:val="nil"/>
                <w:between w:val="nil"/>
              </w:pBdr>
              <w:jc w:val="left"/>
            </w:pPr>
            <w:r>
              <w:t>Pre-launch and post-launch</w:t>
            </w:r>
          </w:p>
        </w:tc>
      </w:tr>
      <w:tr w:rsidR="002D7997" w14:paraId="0C3E1749" w14:textId="77777777">
        <w:tc>
          <w:tcPr>
            <w:tcW w:w="1805" w:type="dxa"/>
            <w:tcMar>
              <w:top w:w="100" w:type="dxa"/>
              <w:left w:w="100" w:type="dxa"/>
              <w:bottom w:w="100" w:type="dxa"/>
              <w:right w:w="100" w:type="dxa"/>
            </w:tcMar>
          </w:tcPr>
          <w:p w14:paraId="57CA91CF" w14:textId="77777777" w:rsidR="002D7997" w:rsidRDefault="00000000">
            <w:pPr>
              <w:widowControl w:val="0"/>
              <w:pBdr>
                <w:top w:val="nil"/>
                <w:left w:val="nil"/>
                <w:bottom w:val="nil"/>
                <w:right w:val="nil"/>
                <w:between w:val="nil"/>
              </w:pBdr>
              <w:jc w:val="left"/>
            </w:pPr>
            <w:r>
              <w:t>Investors</w:t>
            </w:r>
          </w:p>
        </w:tc>
        <w:tc>
          <w:tcPr>
            <w:tcW w:w="1806" w:type="dxa"/>
            <w:tcMar>
              <w:top w:w="100" w:type="dxa"/>
              <w:left w:w="100" w:type="dxa"/>
              <w:bottom w:w="100" w:type="dxa"/>
              <w:right w:w="100" w:type="dxa"/>
            </w:tcMar>
          </w:tcPr>
          <w:p w14:paraId="11489987" w14:textId="77777777" w:rsidR="002D7997" w:rsidRDefault="00000000">
            <w:pPr>
              <w:widowControl w:val="0"/>
              <w:pBdr>
                <w:top w:val="nil"/>
                <w:left w:val="nil"/>
                <w:bottom w:val="nil"/>
                <w:right w:val="nil"/>
                <w:between w:val="nil"/>
              </w:pBdr>
              <w:jc w:val="left"/>
            </w:pPr>
            <w:r>
              <w:t>Growth potential and innovation leadership</w:t>
            </w:r>
          </w:p>
        </w:tc>
        <w:tc>
          <w:tcPr>
            <w:tcW w:w="1806" w:type="dxa"/>
            <w:tcMar>
              <w:top w:w="100" w:type="dxa"/>
              <w:left w:w="100" w:type="dxa"/>
              <w:bottom w:w="100" w:type="dxa"/>
              <w:right w:w="100" w:type="dxa"/>
            </w:tcMar>
          </w:tcPr>
          <w:p w14:paraId="29369607" w14:textId="77777777" w:rsidR="002D7997" w:rsidRDefault="00000000">
            <w:pPr>
              <w:widowControl w:val="0"/>
              <w:pBdr>
                <w:top w:val="nil"/>
                <w:left w:val="nil"/>
                <w:bottom w:val="nil"/>
                <w:right w:val="nil"/>
                <w:between w:val="nil"/>
              </w:pBdr>
              <w:jc w:val="left"/>
            </w:pPr>
            <w:r>
              <w:t>Investor briefings</w:t>
            </w:r>
          </w:p>
        </w:tc>
        <w:tc>
          <w:tcPr>
            <w:tcW w:w="1806" w:type="dxa"/>
            <w:tcMar>
              <w:top w:w="100" w:type="dxa"/>
              <w:left w:w="100" w:type="dxa"/>
              <w:bottom w:w="100" w:type="dxa"/>
              <w:right w:w="100" w:type="dxa"/>
            </w:tcMar>
          </w:tcPr>
          <w:p w14:paraId="2E26570C" w14:textId="77777777" w:rsidR="002D7997" w:rsidRDefault="00000000">
            <w:pPr>
              <w:widowControl w:val="0"/>
              <w:pBdr>
                <w:top w:val="nil"/>
                <w:left w:val="nil"/>
                <w:bottom w:val="nil"/>
                <w:right w:val="nil"/>
                <w:between w:val="nil"/>
              </w:pBdr>
              <w:jc w:val="left"/>
            </w:pPr>
            <w:r>
              <w:t xml:space="preserve">Investor relations </w:t>
            </w:r>
          </w:p>
        </w:tc>
        <w:tc>
          <w:tcPr>
            <w:tcW w:w="1806" w:type="dxa"/>
            <w:tcMar>
              <w:top w:w="100" w:type="dxa"/>
              <w:left w:w="100" w:type="dxa"/>
              <w:bottom w:w="100" w:type="dxa"/>
              <w:right w:w="100" w:type="dxa"/>
            </w:tcMar>
          </w:tcPr>
          <w:p w14:paraId="0FE62C4C" w14:textId="77777777" w:rsidR="002D7997" w:rsidRDefault="00000000">
            <w:pPr>
              <w:widowControl w:val="0"/>
              <w:pBdr>
                <w:top w:val="nil"/>
                <w:left w:val="nil"/>
                <w:bottom w:val="nil"/>
                <w:right w:val="nil"/>
                <w:between w:val="nil"/>
              </w:pBdr>
              <w:jc w:val="left"/>
            </w:pPr>
            <w:r>
              <w:t>Quarterly</w:t>
            </w:r>
          </w:p>
        </w:tc>
      </w:tr>
      <w:tr w:rsidR="002D7997" w14:paraId="2C5CCE0C" w14:textId="77777777">
        <w:tc>
          <w:tcPr>
            <w:tcW w:w="1805" w:type="dxa"/>
            <w:tcMar>
              <w:top w:w="100" w:type="dxa"/>
              <w:left w:w="100" w:type="dxa"/>
              <w:bottom w:w="100" w:type="dxa"/>
              <w:right w:w="100" w:type="dxa"/>
            </w:tcMar>
          </w:tcPr>
          <w:p w14:paraId="450FFD6C" w14:textId="77777777" w:rsidR="002D7997" w:rsidRDefault="00000000">
            <w:pPr>
              <w:widowControl w:val="0"/>
              <w:pBdr>
                <w:top w:val="nil"/>
                <w:left w:val="nil"/>
                <w:bottom w:val="nil"/>
                <w:right w:val="nil"/>
                <w:between w:val="nil"/>
              </w:pBdr>
              <w:jc w:val="left"/>
            </w:pPr>
            <w:r>
              <w:t>Media</w:t>
            </w:r>
          </w:p>
        </w:tc>
        <w:tc>
          <w:tcPr>
            <w:tcW w:w="1806" w:type="dxa"/>
            <w:tcMar>
              <w:top w:w="100" w:type="dxa"/>
              <w:left w:w="100" w:type="dxa"/>
              <w:bottom w:w="100" w:type="dxa"/>
              <w:right w:w="100" w:type="dxa"/>
            </w:tcMar>
          </w:tcPr>
          <w:p w14:paraId="1179F107" w14:textId="77777777" w:rsidR="002D7997" w:rsidRDefault="00000000">
            <w:pPr>
              <w:widowControl w:val="0"/>
              <w:pBdr>
                <w:top w:val="nil"/>
                <w:left w:val="nil"/>
                <w:bottom w:val="nil"/>
                <w:right w:val="nil"/>
                <w:between w:val="nil"/>
              </w:pBdr>
              <w:jc w:val="left"/>
            </w:pPr>
            <w:r>
              <w:t>Innovation and public health impact</w:t>
            </w:r>
          </w:p>
        </w:tc>
        <w:tc>
          <w:tcPr>
            <w:tcW w:w="1806" w:type="dxa"/>
            <w:tcMar>
              <w:top w:w="100" w:type="dxa"/>
              <w:left w:w="100" w:type="dxa"/>
              <w:bottom w:w="100" w:type="dxa"/>
              <w:right w:w="100" w:type="dxa"/>
            </w:tcMar>
          </w:tcPr>
          <w:p w14:paraId="0E205663" w14:textId="77777777" w:rsidR="002D7997" w:rsidRDefault="00000000">
            <w:pPr>
              <w:widowControl w:val="0"/>
              <w:pBdr>
                <w:top w:val="nil"/>
                <w:left w:val="nil"/>
                <w:bottom w:val="nil"/>
                <w:right w:val="nil"/>
                <w:between w:val="nil"/>
              </w:pBdr>
              <w:jc w:val="left"/>
            </w:pPr>
            <w:r>
              <w:t>Press releases</w:t>
            </w:r>
          </w:p>
        </w:tc>
        <w:tc>
          <w:tcPr>
            <w:tcW w:w="1806" w:type="dxa"/>
            <w:tcMar>
              <w:top w:w="100" w:type="dxa"/>
              <w:left w:w="100" w:type="dxa"/>
              <w:bottom w:w="100" w:type="dxa"/>
              <w:right w:w="100" w:type="dxa"/>
            </w:tcMar>
          </w:tcPr>
          <w:p w14:paraId="099EDA53" w14:textId="77777777" w:rsidR="002D7997" w:rsidRDefault="00000000">
            <w:pPr>
              <w:widowControl w:val="0"/>
              <w:pBdr>
                <w:top w:val="nil"/>
                <w:left w:val="nil"/>
                <w:bottom w:val="nil"/>
                <w:right w:val="nil"/>
                <w:between w:val="nil"/>
              </w:pBdr>
              <w:jc w:val="left"/>
            </w:pPr>
            <w:r>
              <w:t>Corporate communications</w:t>
            </w:r>
          </w:p>
        </w:tc>
        <w:tc>
          <w:tcPr>
            <w:tcW w:w="1806" w:type="dxa"/>
            <w:tcMar>
              <w:top w:w="100" w:type="dxa"/>
              <w:left w:w="100" w:type="dxa"/>
              <w:bottom w:w="100" w:type="dxa"/>
              <w:right w:w="100" w:type="dxa"/>
            </w:tcMar>
          </w:tcPr>
          <w:p w14:paraId="2E2A6B22" w14:textId="77777777" w:rsidR="002D7997" w:rsidRDefault="00000000">
            <w:pPr>
              <w:widowControl w:val="0"/>
              <w:pBdr>
                <w:top w:val="nil"/>
                <w:left w:val="nil"/>
                <w:bottom w:val="nil"/>
                <w:right w:val="nil"/>
                <w:between w:val="nil"/>
              </w:pBdr>
              <w:jc w:val="left"/>
            </w:pPr>
            <w:r>
              <w:t>Launch phase</w:t>
            </w:r>
          </w:p>
        </w:tc>
      </w:tr>
    </w:tbl>
    <w:p w14:paraId="7F595BE7" w14:textId="77777777" w:rsidR="002D7997" w:rsidRDefault="00000000">
      <w:pPr>
        <w:jc w:val="center"/>
        <w:rPr>
          <w:b/>
          <w:bCs/>
        </w:rPr>
      </w:pPr>
      <w:r>
        <w:rPr>
          <w:b/>
          <w:bCs/>
        </w:rPr>
        <w:t xml:space="preserve">Table 4: Stakeholder communication plan </w:t>
      </w:r>
    </w:p>
    <w:p w14:paraId="222799F1" w14:textId="77777777" w:rsidR="002D7997" w:rsidRDefault="00000000">
      <w:pPr>
        <w:pStyle w:val="Heading2"/>
      </w:pPr>
      <w:bookmarkStart w:id="12" w:name="_heading=h.wizpg8holqs2" w:colFirst="0" w:colLast="0"/>
      <w:bookmarkEnd w:id="12"/>
      <w:r>
        <w:t>5.4 RACI matrix</w:t>
      </w:r>
    </w:p>
    <w:p w14:paraId="6449711D" w14:textId="77777777" w:rsidR="002D7997" w:rsidRDefault="00000000">
      <w:r>
        <w:t xml:space="preserve">The implications of the RACI Matrix on the identification of the key roles and responsibilities for the stakeholders would be integral. According to </w:t>
      </w:r>
      <w:proofErr w:type="spellStart"/>
      <w:r>
        <w:t>Suhanda</w:t>
      </w:r>
      <w:proofErr w:type="spellEnd"/>
      <w:r>
        <w:t xml:space="preserve"> and </w:t>
      </w:r>
      <w:proofErr w:type="spellStart"/>
      <w:r>
        <w:t>Pratami</w:t>
      </w:r>
      <w:proofErr w:type="spellEnd"/>
      <w:r>
        <w:t xml:space="preserve"> (2021), the RACI Matrix will drive the analysis of the resource allocation in a project integral for organisations. </w:t>
      </w:r>
    </w:p>
    <w:tbl>
      <w:tblPr>
        <w:tblStyle w:val="af"/>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2D7997" w14:paraId="5AD215FE" w14:textId="77777777">
        <w:tc>
          <w:tcPr>
            <w:tcW w:w="1805" w:type="dxa"/>
            <w:tcMar>
              <w:top w:w="100" w:type="dxa"/>
              <w:left w:w="100" w:type="dxa"/>
              <w:bottom w:w="100" w:type="dxa"/>
              <w:right w:w="100" w:type="dxa"/>
            </w:tcMar>
          </w:tcPr>
          <w:p w14:paraId="70855912" w14:textId="77777777" w:rsidR="002D7997" w:rsidRDefault="00000000">
            <w:pPr>
              <w:widowControl w:val="0"/>
              <w:jc w:val="center"/>
              <w:rPr>
                <w:b/>
                <w:bCs/>
              </w:rPr>
            </w:pPr>
            <w:r>
              <w:rPr>
                <w:b/>
                <w:bCs/>
              </w:rPr>
              <w:t>Activity</w:t>
            </w:r>
          </w:p>
        </w:tc>
        <w:tc>
          <w:tcPr>
            <w:tcW w:w="1806" w:type="dxa"/>
            <w:tcMar>
              <w:top w:w="100" w:type="dxa"/>
              <w:left w:w="100" w:type="dxa"/>
              <w:bottom w:w="100" w:type="dxa"/>
              <w:right w:w="100" w:type="dxa"/>
            </w:tcMar>
          </w:tcPr>
          <w:p w14:paraId="46B70B30" w14:textId="77777777" w:rsidR="002D7997" w:rsidRDefault="00000000">
            <w:pPr>
              <w:widowControl w:val="0"/>
              <w:jc w:val="center"/>
              <w:rPr>
                <w:b/>
                <w:bCs/>
              </w:rPr>
            </w:pPr>
            <w:r>
              <w:rPr>
                <w:b/>
                <w:bCs/>
              </w:rPr>
              <w:t>Responsible</w:t>
            </w:r>
          </w:p>
        </w:tc>
        <w:tc>
          <w:tcPr>
            <w:tcW w:w="1806" w:type="dxa"/>
            <w:tcMar>
              <w:top w:w="100" w:type="dxa"/>
              <w:left w:w="100" w:type="dxa"/>
              <w:bottom w:w="100" w:type="dxa"/>
              <w:right w:w="100" w:type="dxa"/>
            </w:tcMar>
          </w:tcPr>
          <w:p w14:paraId="77350FD1" w14:textId="77777777" w:rsidR="002D7997" w:rsidRDefault="00000000">
            <w:pPr>
              <w:widowControl w:val="0"/>
              <w:jc w:val="center"/>
              <w:rPr>
                <w:b/>
                <w:bCs/>
              </w:rPr>
            </w:pPr>
            <w:r>
              <w:rPr>
                <w:b/>
                <w:bCs/>
              </w:rPr>
              <w:t>Accountable</w:t>
            </w:r>
          </w:p>
        </w:tc>
        <w:tc>
          <w:tcPr>
            <w:tcW w:w="1806" w:type="dxa"/>
            <w:tcMar>
              <w:top w:w="100" w:type="dxa"/>
              <w:left w:w="100" w:type="dxa"/>
              <w:bottom w:w="100" w:type="dxa"/>
              <w:right w:w="100" w:type="dxa"/>
            </w:tcMar>
          </w:tcPr>
          <w:p w14:paraId="49ACCDE5" w14:textId="77777777" w:rsidR="002D7997" w:rsidRDefault="00000000">
            <w:pPr>
              <w:widowControl w:val="0"/>
              <w:jc w:val="center"/>
              <w:rPr>
                <w:b/>
                <w:bCs/>
              </w:rPr>
            </w:pPr>
            <w:r>
              <w:rPr>
                <w:b/>
                <w:bCs/>
              </w:rPr>
              <w:t>Consulted</w:t>
            </w:r>
          </w:p>
        </w:tc>
        <w:tc>
          <w:tcPr>
            <w:tcW w:w="1806" w:type="dxa"/>
            <w:tcMar>
              <w:top w:w="100" w:type="dxa"/>
              <w:left w:w="100" w:type="dxa"/>
              <w:bottom w:w="100" w:type="dxa"/>
              <w:right w:w="100" w:type="dxa"/>
            </w:tcMar>
          </w:tcPr>
          <w:p w14:paraId="0563A588" w14:textId="77777777" w:rsidR="002D7997" w:rsidRDefault="00000000">
            <w:pPr>
              <w:widowControl w:val="0"/>
              <w:jc w:val="center"/>
              <w:rPr>
                <w:b/>
                <w:bCs/>
              </w:rPr>
            </w:pPr>
            <w:r>
              <w:rPr>
                <w:b/>
                <w:bCs/>
              </w:rPr>
              <w:t>Informed</w:t>
            </w:r>
          </w:p>
        </w:tc>
      </w:tr>
      <w:tr w:rsidR="002D7997" w14:paraId="33F49C86" w14:textId="77777777">
        <w:tc>
          <w:tcPr>
            <w:tcW w:w="1805" w:type="dxa"/>
            <w:tcMar>
              <w:top w:w="100" w:type="dxa"/>
              <w:left w:w="100" w:type="dxa"/>
              <w:bottom w:w="100" w:type="dxa"/>
              <w:right w:w="100" w:type="dxa"/>
            </w:tcMar>
          </w:tcPr>
          <w:p w14:paraId="48A284F8" w14:textId="77777777" w:rsidR="002D7997" w:rsidRDefault="00000000">
            <w:pPr>
              <w:widowControl w:val="0"/>
              <w:jc w:val="center"/>
            </w:pPr>
            <w:r>
              <w:t>Product strategy</w:t>
            </w:r>
          </w:p>
        </w:tc>
        <w:tc>
          <w:tcPr>
            <w:tcW w:w="1806" w:type="dxa"/>
            <w:tcMar>
              <w:top w:w="100" w:type="dxa"/>
              <w:left w:w="100" w:type="dxa"/>
              <w:bottom w:w="100" w:type="dxa"/>
              <w:right w:w="100" w:type="dxa"/>
            </w:tcMar>
          </w:tcPr>
          <w:p w14:paraId="1DD3F3D0" w14:textId="77777777" w:rsidR="002D7997" w:rsidRDefault="00000000">
            <w:pPr>
              <w:widowControl w:val="0"/>
              <w:jc w:val="center"/>
            </w:pPr>
            <w:r>
              <w:t>Digital health team</w:t>
            </w:r>
          </w:p>
        </w:tc>
        <w:tc>
          <w:tcPr>
            <w:tcW w:w="1806" w:type="dxa"/>
            <w:tcMar>
              <w:top w:w="100" w:type="dxa"/>
              <w:left w:w="100" w:type="dxa"/>
              <w:bottom w:w="100" w:type="dxa"/>
              <w:right w:w="100" w:type="dxa"/>
            </w:tcMar>
          </w:tcPr>
          <w:p w14:paraId="673D449B" w14:textId="77777777" w:rsidR="002D7997" w:rsidRDefault="00000000">
            <w:pPr>
              <w:widowControl w:val="0"/>
              <w:jc w:val="center"/>
            </w:pPr>
            <w:r>
              <w:t>CEO</w:t>
            </w:r>
          </w:p>
        </w:tc>
        <w:tc>
          <w:tcPr>
            <w:tcW w:w="1806" w:type="dxa"/>
            <w:tcMar>
              <w:top w:w="100" w:type="dxa"/>
              <w:left w:w="100" w:type="dxa"/>
              <w:bottom w:w="100" w:type="dxa"/>
              <w:right w:w="100" w:type="dxa"/>
            </w:tcMar>
          </w:tcPr>
          <w:p w14:paraId="347DEA8A" w14:textId="77777777" w:rsidR="002D7997" w:rsidRDefault="00000000">
            <w:pPr>
              <w:widowControl w:val="0"/>
              <w:jc w:val="center"/>
            </w:pPr>
            <w:r>
              <w:t>Board</w:t>
            </w:r>
          </w:p>
        </w:tc>
        <w:tc>
          <w:tcPr>
            <w:tcW w:w="1806" w:type="dxa"/>
            <w:tcMar>
              <w:top w:w="100" w:type="dxa"/>
              <w:left w:w="100" w:type="dxa"/>
              <w:bottom w:w="100" w:type="dxa"/>
              <w:right w:w="100" w:type="dxa"/>
            </w:tcMar>
          </w:tcPr>
          <w:p w14:paraId="5D9B901D" w14:textId="77777777" w:rsidR="002D7997" w:rsidRDefault="00000000">
            <w:pPr>
              <w:widowControl w:val="0"/>
              <w:jc w:val="center"/>
            </w:pPr>
            <w:r>
              <w:t>Investors</w:t>
            </w:r>
          </w:p>
        </w:tc>
      </w:tr>
      <w:tr w:rsidR="002D7997" w14:paraId="6FCBB999" w14:textId="77777777">
        <w:tc>
          <w:tcPr>
            <w:tcW w:w="1805" w:type="dxa"/>
            <w:tcMar>
              <w:top w:w="100" w:type="dxa"/>
              <w:left w:w="100" w:type="dxa"/>
              <w:bottom w:w="100" w:type="dxa"/>
              <w:right w:w="100" w:type="dxa"/>
            </w:tcMar>
          </w:tcPr>
          <w:p w14:paraId="4A25A169" w14:textId="77777777" w:rsidR="002D7997" w:rsidRDefault="00000000">
            <w:pPr>
              <w:widowControl w:val="0"/>
              <w:jc w:val="center"/>
            </w:pPr>
            <w:r>
              <w:t>Clinical validation</w:t>
            </w:r>
          </w:p>
        </w:tc>
        <w:tc>
          <w:tcPr>
            <w:tcW w:w="1806" w:type="dxa"/>
            <w:tcMar>
              <w:top w:w="100" w:type="dxa"/>
              <w:left w:w="100" w:type="dxa"/>
              <w:bottom w:w="100" w:type="dxa"/>
              <w:right w:w="100" w:type="dxa"/>
            </w:tcMar>
          </w:tcPr>
          <w:p w14:paraId="20AE2618" w14:textId="77777777" w:rsidR="002D7997" w:rsidRDefault="00000000">
            <w:pPr>
              <w:widowControl w:val="0"/>
              <w:jc w:val="center"/>
            </w:pPr>
            <w:r>
              <w:t>R&amp;D/ Medical Affairs</w:t>
            </w:r>
          </w:p>
        </w:tc>
        <w:tc>
          <w:tcPr>
            <w:tcW w:w="1806" w:type="dxa"/>
            <w:tcMar>
              <w:top w:w="100" w:type="dxa"/>
              <w:left w:w="100" w:type="dxa"/>
              <w:bottom w:w="100" w:type="dxa"/>
              <w:right w:w="100" w:type="dxa"/>
            </w:tcMar>
          </w:tcPr>
          <w:p w14:paraId="53F81E3D" w14:textId="77777777" w:rsidR="002D7997" w:rsidRDefault="00000000">
            <w:pPr>
              <w:widowControl w:val="0"/>
              <w:jc w:val="center"/>
            </w:pPr>
            <w:r>
              <w:t>CMO</w:t>
            </w:r>
          </w:p>
        </w:tc>
        <w:tc>
          <w:tcPr>
            <w:tcW w:w="1806" w:type="dxa"/>
            <w:tcMar>
              <w:top w:w="100" w:type="dxa"/>
              <w:left w:w="100" w:type="dxa"/>
              <w:bottom w:w="100" w:type="dxa"/>
              <w:right w:w="100" w:type="dxa"/>
            </w:tcMar>
          </w:tcPr>
          <w:p w14:paraId="70ACFADA" w14:textId="77777777" w:rsidR="002D7997" w:rsidRDefault="00000000">
            <w:pPr>
              <w:widowControl w:val="0"/>
              <w:jc w:val="center"/>
            </w:pPr>
            <w:r>
              <w:t>NHS, Academic</w:t>
            </w:r>
          </w:p>
        </w:tc>
        <w:tc>
          <w:tcPr>
            <w:tcW w:w="1806" w:type="dxa"/>
            <w:tcMar>
              <w:top w:w="100" w:type="dxa"/>
              <w:left w:w="100" w:type="dxa"/>
              <w:bottom w:w="100" w:type="dxa"/>
              <w:right w:w="100" w:type="dxa"/>
            </w:tcMar>
          </w:tcPr>
          <w:p w14:paraId="37205E3A" w14:textId="77777777" w:rsidR="002D7997" w:rsidRDefault="00000000">
            <w:pPr>
              <w:widowControl w:val="0"/>
              <w:jc w:val="center"/>
            </w:pPr>
            <w:r>
              <w:t>Regulators</w:t>
            </w:r>
          </w:p>
        </w:tc>
      </w:tr>
      <w:tr w:rsidR="002D7997" w14:paraId="032E7C13" w14:textId="77777777">
        <w:tc>
          <w:tcPr>
            <w:tcW w:w="1805" w:type="dxa"/>
            <w:tcMar>
              <w:top w:w="100" w:type="dxa"/>
              <w:left w:w="100" w:type="dxa"/>
              <w:bottom w:w="100" w:type="dxa"/>
              <w:right w:w="100" w:type="dxa"/>
            </w:tcMar>
          </w:tcPr>
          <w:p w14:paraId="759C1D50" w14:textId="77777777" w:rsidR="002D7997" w:rsidRDefault="00000000">
            <w:pPr>
              <w:widowControl w:val="0"/>
              <w:jc w:val="center"/>
            </w:pPr>
            <w:r>
              <w:t>Regulatory approval</w:t>
            </w:r>
          </w:p>
        </w:tc>
        <w:tc>
          <w:tcPr>
            <w:tcW w:w="1806" w:type="dxa"/>
            <w:tcMar>
              <w:top w:w="100" w:type="dxa"/>
              <w:left w:w="100" w:type="dxa"/>
              <w:bottom w:w="100" w:type="dxa"/>
              <w:right w:w="100" w:type="dxa"/>
            </w:tcMar>
          </w:tcPr>
          <w:p w14:paraId="011D7449" w14:textId="77777777" w:rsidR="002D7997" w:rsidRDefault="00000000">
            <w:pPr>
              <w:widowControl w:val="0"/>
              <w:jc w:val="center"/>
            </w:pPr>
            <w:r>
              <w:t>Regulatory affairs</w:t>
            </w:r>
          </w:p>
        </w:tc>
        <w:tc>
          <w:tcPr>
            <w:tcW w:w="1806" w:type="dxa"/>
            <w:tcMar>
              <w:top w:w="100" w:type="dxa"/>
              <w:left w:w="100" w:type="dxa"/>
              <w:bottom w:w="100" w:type="dxa"/>
              <w:right w:w="100" w:type="dxa"/>
            </w:tcMar>
          </w:tcPr>
          <w:p w14:paraId="6202CF7D" w14:textId="77777777" w:rsidR="002D7997" w:rsidRDefault="00000000">
            <w:pPr>
              <w:widowControl w:val="0"/>
              <w:jc w:val="center"/>
            </w:pPr>
            <w:r>
              <w:t xml:space="preserve">Chief Compliance </w:t>
            </w:r>
            <w:r>
              <w:lastRenderedPageBreak/>
              <w:t>Officer</w:t>
            </w:r>
          </w:p>
        </w:tc>
        <w:tc>
          <w:tcPr>
            <w:tcW w:w="1806" w:type="dxa"/>
            <w:tcMar>
              <w:top w:w="100" w:type="dxa"/>
              <w:left w:w="100" w:type="dxa"/>
              <w:bottom w:w="100" w:type="dxa"/>
              <w:right w:w="100" w:type="dxa"/>
            </w:tcMar>
          </w:tcPr>
          <w:p w14:paraId="20DEC661" w14:textId="77777777" w:rsidR="002D7997" w:rsidRDefault="00000000">
            <w:pPr>
              <w:widowControl w:val="0"/>
              <w:jc w:val="center"/>
            </w:pPr>
            <w:r>
              <w:lastRenderedPageBreak/>
              <w:t>MHRA, NICE</w:t>
            </w:r>
          </w:p>
        </w:tc>
        <w:tc>
          <w:tcPr>
            <w:tcW w:w="1806" w:type="dxa"/>
            <w:tcMar>
              <w:top w:w="100" w:type="dxa"/>
              <w:left w:w="100" w:type="dxa"/>
              <w:bottom w:w="100" w:type="dxa"/>
              <w:right w:w="100" w:type="dxa"/>
            </w:tcMar>
          </w:tcPr>
          <w:p w14:paraId="1D6D3F9F" w14:textId="77777777" w:rsidR="002D7997" w:rsidRDefault="00000000">
            <w:pPr>
              <w:widowControl w:val="0"/>
              <w:jc w:val="center"/>
            </w:pPr>
            <w:r>
              <w:t>Leadership</w:t>
            </w:r>
          </w:p>
        </w:tc>
      </w:tr>
      <w:tr w:rsidR="002D7997" w14:paraId="612CCB36" w14:textId="77777777">
        <w:tc>
          <w:tcPr>
            <w:tcW w:w="1805" w:type="dxa"/>
            <w:tcMar>
              <w:top w:w="100" w:type="dxa"/>
              <w:left w:w="100" w:type="dxa"/>
              <w:bottom w:w="100" w:type="dxa"/>
              <w:right w:w="100" w:type="dxa"/>
            </w:tcMar>
          </w:tcPr>
          <w:p w14:paraId="295A990E" w14:textId="77777777" w:rsidR="002D7997" w:rsidRDefault="00000000">
            <w:pPr>
              <w:widowControl w:val="0"/>
              <w:jc w:val="center"/>
            </w:pPr>
            <w:r>
              <w:t>Data privacy and security</w:t>
            </w:r>
          </w:p>
        </w:tc>
        <w:tc>
          <w:tcPr>
            <w:tcW w:w="1806" w:type="dxa"/>
            <w:tcMar>
              <w:top w:w="100" w:type="dxa"/>
              <w:left w:w="100" w:type="dxa"/>
              <w:bottom w:w="100" w:type="dxa"/>
              <w:right w:w="100" w:type="dxa"/>
            </w:tcMar>
          </w:tcPr>
          <w:p w14:paraId="13AE71C0" w14:textId="77777777" w:rsidR="002D7997" w:rsidRDefault="00000000">
            <w:pPr>
              <w:widowControl w:val="0"/>
              <w:jc w:val="center"/>
            </w:pPr>
            <w:r>
              <w:t>IT and legal</w:t>
            </w:r>
          </w:p>
        </w:tc>
        <w:tc>
          <w:tcPr>
            <w:tcW w:w="1806" w:type="dxa"/>
            <w:tcMar>
              <w:top w:w="100" w:type="dxa"/>
              <w:left w:w="100" w:type="dxa"/>
              <w:bottom w:w="100" w:type="dxa"/>
              <w:right w:w="100" w:type="dxa"/>
            </w:tcMar>
          </w:tcPr>
          <w:p w14:paraId="264E9E0E" w14:textId="77777777" w:rsidR="002D7997" w:rsidRDefault="00000000">
            <w:pPr>
              <w:widowControl w:val="0"/>
              <w:jc w:val="center"/>
            </w:pPr>
            <w:r>
              <w:t>CIO</w:t>
            </w:r>
          </w:p>
        </w:tc>
        <w:tc>
          <w:tcPr>
            <w:tcW w:w="1806" w:type="dxa"/>
            <w:tcMar>
              <w:top w:w="100" w:type="dxa"/>
              <w:left w:w="100" w:type="dxa"/>
              <w:bottom w:w="100" w:type="dxa"/>
              <w:right w:w="100" w:type="dxa"/>
            </w:tcMar>
          </w:tcPr>
          <w:p w14:paraId="3112479E" w14:textId="77777777" w:rsidR="002D7997" w:rsidRDefault="00000000">
            <w:pPr>
              <w:widowControl w:val="0"/>
              <w:jc w:val="center"/>
            </w:pPr>
            <w:r>
              <w:t>GDPR authorities</w:t>
            </w:r>
          </w:p>
        </w:tc>
        <w:tc>
          <w:tcPr>
            <w:tcW w:w="1806" w:type="dxa"/>
            <w:tcMar>
              <w:top w:w="100" w:type="dxa"/>
              <w:left w:w="100" w:type="dxa"/>
              <w:bottom w:w="100" w:type="dxa"/>
              <w:right w:w="100" w:type="dxa"/>
            </w:tcMar>
          </w:tcPr>
          <w:p w14:paraId="25524BA5" w14:textId="77777777" w:rsidR="002D7997" w:rsidRDefault="00000000">
            <w:pPr>
              <w:widowControl w:val="0"/>
              <w:jc w:val="center"/>
            </w:pPr>
            <w:r>
              <w:t>Users</w:t>
            </w:r>
          </w:p>
        </w:tc>
      </w:tr>
      <w:tr w:rsidR="002D7997" w14:paraId="672E4E2D" w14:textId="77777777">
        <w:tc>
          <w:tcPr>
            <w:tcW w:w="1805" w:type="dxa"/>
            <w:tcMar>
              <w:top w:w="100" w:type="dxa"/>
              <w:left w:w="100" w:type="dxa"/>
              <w:bottom w:w="100" w:type="dxa"/>
              <w:right w:w="100" w:type="dxa"/>
            </w:tcMar>
          </w:tcPr>
          <w:p w14:paraId="0E7CC165" w14:textId="77777777" w:rsidR="002D7997" w:rsidRDefault="00000000">
            <w:pPr>
              <w:widowControl w:val="0"/>
              <w:jc w:val="center"/>
            </w:pPr>
            <w:r>
              <w:t>Technology development</w:t>
            </w:r>
          </w:p>
        </w:tc>
        <w:tc>
          <w:tcPr>
            <w:tcW w:w="1806" w:type="dxa"/>
            <w:tcMar>
              <w:top w:w="100" w:type="dxa"/>
              <w:left w:w="100" w:type="dxa"/>
              <w:bottom w:w="100" w:type="dxa"/>
              <w:right w:w="100" w:type="dxa"/>
            </w:tcMar>
          </w:tcPr>
          <w:p w14:paraId="6313ECF2" w14:textId="77777777" w:rsidR="002D7997" w:rsidRDefault="00000000">
            <w:pPr>
              <w:widowControl w:val="0"/>
              <w:jc w:val="center"/>
            </w:pPr>
            <w:r>
              <w:t xml:space="preserve">Data Science team </w:t>
            </w:r>
          </w:p>
        </w:tc>
        <w:tc>
          <w:tcPr>
            <w:tcW w:w="1806" w:type="dxa"/>
            <w:tcMar>
              <w:top w:w="100" w:type="dxa"/>
              <w:left w:w="100" w:type="dxa"/>
              <w:bottom w:w="100" w:type="dxa"/>
              <w:right w:w="100" w:type="dxa"/>
            </w:tcMar>
          </w:tcPr>
          <w:p w14:paraId="0E75F508" w14:textId="77777777" w:rsidR="002D7997" w:rsidRDefault="00000000">
            <w:pPr>
              <w:widowControl w:val="0"/>
              <w:jc w:val="center"/>
            </w:pPr>
            <w:r>
              <w:t>Chief Digital Officer</w:t>
            </w:r>
          </w:p>
        </w:tc>
        <w:tc>
          <w:tcPr>
            <w:tcW w:w="1806" w:type="dxa"/>
            <w:tcMar>
              <w:top w:w="100" w:type="dxa"/>
              <w:left w:w="100" w:type="dxa"/>
              <w:bottom w:w="100" w:type="dxa"/>
              <w:right w:w="100" w:type="dxa"/>
            </w:tcMar>
          </w:tcPr>
          <w:p w14:paraId="5E45E3B5" w14:textId="77777777" w:rsidR="002D7997" w:rsidRDefault="00000000">
            <w:pPr>
              <w:widowControl w:val="0"/>
              <w:jc w:val="center"/>
            </w:pPr>
            <w:r>
              <w:t>Tech partners</w:t>
            </w:r>
          </w:p>
        </w:tc>
        <w:tc>
          <w:tcPr>
            <w:tcW w:w="1806" w:type="dxa"/>
            <w:tcMar>
              <w:top w:w="100" w:type="dxa"/>
              <w:left w:w="100" w:type="dxa"/>
              <w:bottom w:w="100" w:type="dxa"/>
              <w:right w:w="100" w:type="dxa"/>
            </w:tcMar>
          </w:tcPr>
          <w:p w14:paraId="3A3D929C" w14:textId="77777777" w:rsidR="002D7997" w:rsidRDefault="00000000">
            <w:pPr>
              <w:widowControl w:val="0"/>
              <w:jc w:val="center"/>
            </w:pPr>
            <w:r>
              <w:t>Leadership</w:t>
            </w:r>
          </w:p>
        </w:tc>
      </w:tr>
      <w:tr w:rsidR="002D7997" w14:paraId="5F1E9D71" w14:textId="77777777">
        <w:tc>
          <w:tcPr>
            <w:tcW w:w="1805" w:type="dxa"/>
            <w:tcMar>
              <w:top w:w="100" w:type="dxa"/>
              <w:left w:w="100" w:type="dxa"/>
              <w:bottom w:w="100" w:type="dxa"/>
              <w:right w:w="100" w:type="dxa"/>
            </w:tcMar>
          </w:tcPr>
          <w:p w14:paraId="7679F693" w14:textId="77777777" w:rsidR="002D7997" w:rsidRDefault="00000000">
            <w:pPr>
              <w:widowControl w:val="0"/>
              <w:jc w:val="center"/>
            </w:pPr>
            <w:r>
              <w:t>Marketing and launch</w:t>
            </w:r>
          </w:p>
        </w:tc>
        <w:tc>
          <w:tcPr>
            <w:tcW w:w="1806" w:type="dxa"/>
            <w:tcMar>
              <w:top w:w="100" w:type="dxa"/>
              <w:left w:w="100" w:type="dxa"/>
              <w:bottom w:w="100" w:type="dxa"/>
              <w:right w:w="100" w:type="dxa"/>
            </w:tcMar>
          </w:tcPr>
          <w:p w14:paraId="3FF56AA0" w14:textId="77777777" w:rsidR="002D7997" w:rsidRDefault="00000000">
            <w:pPr>
              <w:widowControl w:val="0"/>
              <w:jc w:val="center"/>
            </w:pPr>
            <w:r>
              <w:t xml:space="preserve">Marketing team </w:t>
            </w:r>
          </w:p>
        </w:tc>
        <w:tc>
          <w:tcPr>
            <w:tcW w:w="1806" w:type="dxa"/>
            <w:tcMar>
              <w:top w:w="100" w:type="dxa"/>
              <w:left w:w="100" w:type="dxa"/>
              <w:bottom w:w="100" w:type="dxa"/>
              <w:right w:w="100" w:type="dxa"/>
            </w:tcMar>
          </w:tcPr>
          <w:p w14:paraId="45085477" w14:textId="77777777" w:rsidR="002D7997" w:rsidRDefault="00000000">
            <w:pPr>
              <w:widowControl w:val="0"/>
              <w:jc w:val="center"/>
            </w:pPr>
            <w:r>
              <w:t>CMO</w:t>
            </w:r>
          </w:p>
        </w:tc>
        <w:tc>
          <w:tcPr>
            <w:tcW w:w="1806" w:type="dxa"/>
            <w:tcMar>
              <w:top w:w="100" w:type="dxa"/>
              <w:left w:w="100" w:type="dxa"/>
              <w:bottom w:w="100" w:type="dxa"/>
              <w:right w:w="100" w:type="dxa"/>
            </w:tcMar>
          </w:tcPr>
          <w:p w14:paraId="6B9D38FD" w14:textId="77777777" w:rsidR="002D7997" w:rsidRDefault="00000000">
            <w:pPr>
              <w:widowControl w:val="0"/>
              <w:jc w:val="center"/>
            </w:pPr>
            <w:r>
              <w:t>NHS, Patients</w:t>
            </w:r>
          </w:p>
        </w:tc>
        <w:tc>
          <w:tcPr>
            <w:tcW w:w="1806" w:type="dxa"/>
            <w:tcMar>
              <w:top w:w="100" w:type="dxa"/>
              <w:left w:w="100" w:type="dxa"/>
              <w:bottom w:w="100" w:type="dxa"/>
              <w:right w:w="100" w:type="dxa"/>
            </w:tcMar>
          </w:tcPr>
          <w:p w14:paraId="09A020FF" w14:textId="77777777" w:rsidR="002D7997" w:rsidRDefault="00000000">
            <w:pPr>
              <w:widowControl w:val="0"/>
              <w:jc w:val="center"/>
            </w:pPr>
            <w:r>
              <w:t>Media</w:t>
            </w:r>
          </w:p>
        </w:tc>
      </w:tr>
    </w:tbl>
    <w:p w14:paraId="348AEAD8" w14:textId="77777777" w:rsidR="002D7997" w:rsidRDefault="00000000">
      <w:pPr>
        <w:jc w:val="center"/>
        <w:rPr>
          <w:b/>
          <w:bCs/>
        </w:rPr>
      </w:pPr>
      <w:r>
        <w:rPr>
          <w:b/>
          <w:bCs/>
        </w:rPr>
        <w:t>Table 5: RACI Matrix</w:t>
      </w:r>
    </w:p>
    <w:p w14:paraId="50601E6F" w14:textId="77777777" w:rsidR="002D7997" w:rsidRDefault="00000000">
      <w:pPr>
        <w:pStyle w:val="Heading1"/>
      </w:pPr>
      <w:bookmarkStart w:id="13" w:name="_heading=h.vci9tpi0fan" w:colFirst="0" w:colLast="0"/>
      <w:bookmarkEnd w:id="13"/>
      <w:r>
        <w:t>6. Strategy for stakeholder engagement and conflicts</w:t>
      </w:r>
    </w:p>
    <w:p w14:paraId="127C6A7C" w14:textId="77777777" w:rsidR="002D7997" w:rsidRDefault="00000000">
      <w:pPr>
        <w:pStyle w:val="Heading2"/>
      </w:pPr>
      <w:bookmarkStart w:id="14" w:name="_heading=h.bsec39ye754j" w:colFirst="0" w:colLast="0"/>
      <w:bookmarkEnd w:id="14"/>
      <w:r>
        <w:t xml:space="preserve">6.1 Method of stakeholder engagement </w:t>
      </w:r>
    </w:p>
    <w:p w14:paraId="4A0DC893" w14:textId="77777777" w:rsidR="002D7997" w:rsidRDefault="00000000">
      <w:r>
        <w:t xml:space="preserve">The role of stakeholder engagement strategies for the HR department in driving a positive set of inclusion and engagement will be expansive for the organisation. In driving the maximum factor of stakeholder engagement, there can be multiple instances of strategic choices and implementation. Some of the effective methods or strategies can be listed for the organisation as follows: </w:t>
      </w:r>
    </w:p>
    <w:p w14:paraId="0DD48BB8" w14:textId="77777777" w:rsidR="002D7997" w:rsidRDefault="00000000">
      <w:r>
        <w:rPr>
          <w:b/>
          <w:bCs/>
          <w:i/>
          <w:iCs/>
        </w:rPr>
        <w:t xml:space="preserve">Community engagement: </w:t>
      </w:r>
      <w:r>
        <w:t xml:space="preserve">The foremost connection that can be linked to the development of stakeholder engagement is to drive community engagement. The primary concern for the organisation can be associated with community engagement to expand its awareness and information. Limani </w:t>
      </w:r>
      <w:r>
        <w:rPr>
          <w:i/>
          <w:iCs/>
        </w:rPr>
        <w:t>et al</w:t>
      </w:r>
      <w:r>
        <w:t xml:space="preserve">. (2024) helped understand the requirement of local community engagement to analyse community openness, infrastructural development and the support to local talents. Such factors are considered vital to the marketing and introduction of the proposed product for the organisation. This can be found as a major competitive and engaging factor for the healthcare corporation. </w:t>
      </w:r>
    </w:p>
    <w:p w14:paraId="2E00BCEE" w14:textId="77777777" w:rsidR="002D7997" w:rsidRDefault="00000000">
      <w:r>
        <w:rPr>
          <w:b/>
          <w:bCs/>
          <w:i/>
          <w:iCs/>
        </w:rPr>
        <w:t xml:space="preserve">Regulatory consultation: </w:t>
      </w:r>
      <w:r>
        <w:t xml:space="preserve">It is widely discussed and practised that healthcare organisations require close communication and consultation with the key players and stakeholders. Frequent consultation with respective stakeholders and bodies to meet the standards and requirements, such as GDPR, NICE and MHRA. </w:t>
      </w:r>
      <w:proofErr w:type="spellStart"/>
      <w:r>
        <w:t>Alasuutari</w:t>
      </w:r>
      <w:proofErr w:type="spellEnd"/>
      <w:r>
        <w:t xml:space="preserve"> and Rantala (2025) also indicated a major connection towards the influence of effective consultation in driving better outcomes. This method can thus be considered very effective for the organisation to gain momentum and effective planning for the introduction of the product. With effective consultations, planning and execution for the product can be extensively addressed. </w:t>
      </w:r>
    </w:p>
    <w:p w14:paraId="6D5CBAF1" w14:textId="77777777" w:rsidR="002D7997" w:rsidRDefault="00000000">
      <w:r>
        <w:rPr>
          <w:b/>
          <w:bCs/>
          <w:i/>
          <w:iCs/>
        </w:rPr>
        <w:lastRenderedPageBreak/>
        <w:t xml:space="preserve">Co-creation of the product: </w:t>
      </w:r>
      <w:r>
        <w:t xml:space="preserve">A major initiative or method for the organisation can be identified from the viewpoint of co-creation, which can include the engagement of the most vital stakeholders such as patients, end users, healthcare professionals and investors. The emphasis of the product for AstraZeneca in the market would require a major factor of co-creation to include a major process of product development, planning and execution. According to Pellegrini and </w:t>
      </w:r>
      <w:proofErr w:type="spellStart"/>
      <w:r>
        <w:t>Lovati</w:t>
      </w:r>
      <w:proofErr w:type="spellEnd"/>
      <w:r>
        <w:t xml:space="preserve"> (2025), co-creation is a major strategic choice, which enables greater communication and personalised interaction between the key stakeholders for the achievement of a common goal and shared mission. In the healthcare market, co-creation can be considered a vital aspect in achieving a positive outcome. </w:t>
      </w:r>
    </w:p>
    <w:p w14:paraId="197CB081" w14:textId="77777777" w:rsidR="002D7997" w:rsidRDefault="00000000">
      <w:r>
        <w:rPr>
          <w:b/>
          <w:bCs/>
          <w:i/>
          <w:iCs/>
        </w:rPr>
        <w:t>Conducting surveys:</w:t>
      </w:r>
      <w:r>
        <w:rPr>
          <w:b/>
          <w:bCs/>
        </w:rPr>
        <w:t xml:space="preserve"> </w:t>
      </w:r>
      <w:r>
        <w:t xml:space="preserve">The emphasis of the business initiatives in engaging its stakeholders can be enhanced with the feature of surveys to identify the most sought factors in the product. Johnson </w:t>
      </w:r>
      <w:r>
        <w:rPr>
          <w:i/>
          <w:iCs/>
        </w:rPr>
        <w:t>et al</w:t>
      </w:r>
      <w:r>
        <w:t xml:space="preserve">. (2023) emphasised the development of strategic focus through gaining an insight into the stakeholders’ perceptions and demands. This will be a major emphasis on keeping the right attitude to gain the cooperation of the key players. By conducting the right surveys and feedback, the organisation can gain an effective way of addressing the key improvements and areas of functioning for the end users. Surveys and feedback can be leveraged and implemented at each level of product planning and execution. </w:t>
      </w:r>
    </w:p>
    <w:p w14:paraId="16614DAB" w14:textId="77777777" w:rsidR="00D51421" w:rsidRDefault="00D51421"/>
    <w:p w14:paraId="5F8C0F91" w14:textId="77777777" w:rsidR="002D7997" w:rsidRDefault="00000000">
      <w:pPr>
        <w:pStyle w:val="Heading2"/>
      </w:pPr>
      <w:bookmarkStart w:id="15" w:name="_heading=h.ybi989kflz9y" w:colFirst="0" w:colLast="0"/>
      <w:bookmarkEnd w:id="15"/>
      <w:r>
        <w:t>6.2 4Cs Model</w:t>
      </w:r>
    </w:p>
    <w:p w14:paraId="1B3E0B30" w14:textId="77777777" w:rsidR="002D7997" w:rsidRDefault="00000000">
      <w:r>
        <w:t xml:space="preserve">The 4Cs Model suggests influencing collaboration, cooperation, communication and coordination among staff to execute projects properly and reach ultimate objectives and goals with the minimisation of conflicts. </w:t>
      </w:r>
      <w:proofErr w:type="gramStart"/>
      <w:r>
        <w:t xml:space="preserve">Thornhill-Miller </w:t>
      </w:r>
      <w:r>
        <w:rPr>
          <w:i/>
          <w:iCs/>
        </w:rPr>
        <w:t xml:space="preserve">et al. </w:t>
      </w:r>
      <w:r>
        <w:t>(202),</w:t>
      </w:r>
      <w:proofErr w:type="gramEnd"/>
      <w:r>
        <w:t xml:space="preserve"> stated that communication, collaboration, coordination and cooperation help to increase team enhancements to working effectively. This section is going to use the four factors of the 4C’s model to integrate the overall project of AstraZeneca concerning developments of wearable health devices for measuring sleep patterns, oxygen levels and heart rate. </w:t>
      </w:r>
    </w:p>
    <w:tbl>
      <w:tblPr>
        <w:tblStyle w:val="af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7170"/>
      </w:tblGrid>
      <w:tr w:rsidR="002D7997" w14:paraId="57A9DB1D" w14:textId="77777777">
        <w:tc>
          <w:tcPr>
            <w:tcW w:w="1830" w:type="dxa"/>
            <w:tcMar>
              <w:top w:w="100" w:type="dxa"/>
              <w:left w:w="100" w:type="dxa"/>
              <w:bottom w:w="100" w:type="dxa"/>
              <w:right w:w="100" w:type="dxa"/>
            </w:tcMar>
          </w:tcPr>
          <w:p w14:paraId="363FFE4A" w14:textId="77777777" w:rsidR="002D7997" w:rsidRDefault="00000000">
            <w:pPr>
              <w:widowControl w:val="0"/>
              <w:pBdr>
                <w:top w:val="nil"/>
                <w:left w:val="nil"/>
                <w:bottom w:val="nil"/>
                <w:right w:val="nil"/>
                <w:between w:val="nil"/>
              </w:pBdr>
              <w:jc w:val="center"/>
              <w:rPr>
                <w:b/>
                <w:bCs/>
              </w:rPr>
            </w:pPr>
            <w:r>
              <w:rPr>
                <w:b/>
                <w:bCs/>
              </w:rPr>
              <w:t xml:space="preserve">Factors </w:t>
            </w:r>
          </w:p>
        </w:tc>
        <w:tc>
          <w:tcPr>
            <w:tcW w:w="7170" w:type="dxa"/>
            <w:tcMar>
              <w:top w:w="100" w:type="dxa"/>
              <w:left w:w="100" w:type="dxa"/>
              <w:bottom w:w="100" w:type="dxa"/>
              <w:right w:w="100" w:type="dxa"/>
            </w:tcMar>
          </w:tcPr>
          <w:p w14:paraId="500B2C28" w14:textId="77777777" w:rsidR="002D7997" w:rsidRDefault="00000000">
            <w:pPr>
              <w:widowControl w:val="0"/>
              <w:pBdr>
                <w:top w:val="nil"/>
                <w:left w:val="nil"/>
                <w:bottom w:val="nil"/>
                <w:right w:val="nil"/>
                <w:between w:val="nil"/>
              </w:pBdr>
              <w:jc w:val="center"/>
              <w:rPr>
                <w:b/>
                <w:bCs/>
              </w:rPr>
            </w:pPr>
            <w:r>
              <w:rPr>
                <w:b/>
                <w:bCs/>
              </w:rPr>
              <w:t>Descriptions</w:t>
            </w:r>
          </w:p>
        </w:tc>
      </w:tr>
      <w:tr w:rsidR="002D7997" w14:paraId="6189CBB4" w14:textId="77777777">
        <w:tc>
          <w:tcPr>
            <w:tcW w:w="1830" w:type="dxa"/>
            <w:tcMar>
              <w:top w:w="100" w:type="dxa"/>
              <w:left w:w="100" w:type="dxa"/>
              <w:bottom w:w="100" w:type="dxa"/>
              <w:right w:w="100" w:type="dxa"/>
            </w:tcMar>
          </w:tcPr>
          <w:p w14:paraId="2A47C68C" w14:textId="77777777" w:rsidR="002D7997" w:rsidRDefault="00000000">
            <w:pPr>
              <w:widowControl w:val="0"/>
              <w:pBdr>
                <w:top w:val="nil"/>
                <w:left w:val="nil"/>
                <w:bottom w:val="nil"/>
                <w:right w:val="nil"/>
                <w:between w:val="nil"/>
              </w:pBdr>
              <w:jc w:val="left"/>
            </w:pPr>
            <w:r>
              <w:t>Communication</w:t>
            </w:r>
          </w:p>
        </w:tc>
        <w:tc>
          <w:tcPr>
            <w:tcW w:w="7170" w:type="dxa"/>
            <w:tcMar>
              <w:top w:w="100" w:type="dxa"/>
              <w:left w:w="100" w:type="dxa"/>
              <w:bottom w:w="100" w:type="dxa"/>
              <w:right w:w="100" w:type="dxa"/>
            </w:tcMar>
          </w:tcPr>
          <w:p w14:paraId="1E98A8A0" w14:textId="77777777" w:rsidR="002D7997" w:rsidRDefault="00000000">
            <w:pPr>
              <w:widowControl w:val="0"/>
              <w:pBdr>
                <w:top w:val="nil"/>
                <w:left w:val="nil"/>
                <w:bottom w:val="nil"/>
                <w:right w:val="nil"/>
                <w:between w:val="nil"/>
              </w:pBdr>
              <w:jc w:val="left"/>
            </w:pPr>
            <w:r>
              <w:t xml:space="preserve">The development of a communication plan by the application of digital platforms such as Microsoft Teams and random messages in the WhatsApp groups may help to manage transparency and adequate information flow in the project management of AstraZeneca. This may be resolving conflicts through appreciating perspectives of every project </w:t>
            </w:r>
            <w:r>
              <w:lastRenderedPageBreak/>
              <w:t xml:space="preserve">member and making effective decisions based on the majority concern during development of wearable devices in AstraZeneca for measuring oxygen level, heart rate and sleep patterns of users. </w:t>
            </w:r>
          </w:p>
        </w:tc>
      </w:tr>
      <w:tr w:rsidR="002D7997" w14:paraId="069C836E" w14:textId="77777777">
        <w:tc>
          <w:tcPr>
            <w:tcW w:w="1830" w:type="dxa"/>
            <w:tcMar>
              <w:top w:w="100" w:type="dxa"/>
              <w:left w:w="100" w:type="dxa"/>
              <w:bottom w:w="100" w:type="dxa"/>
              <w:right w:w="100" w:type="dxa"/>
            </w:tcMar>
          </w:tcPr>
          <w:p w14:paraId="7E58A076" w14:textId="77777777" w:rsidR="002D7997" w:rsidRDefault="00000000">
            <w:pPr>
              <w:widowControl w:val="0"/>
              <w:pBdr>
                <w:top w:val="nil"/>
                <w:left w:val="nil"/>
                <w:bottom w:val="nil"/>
                <w:right w:val="nil"/>
                <w:between w:val="nil"/>
              </w:pBdr>
              <w:jc w:val="left"/>
            </w:pPr>
            <w:r>
              <w:lastRenderedPageBreak/>
              <w:t>Cooperation</w:t>
            </w:r>
          </w:p>
        </w:tc>
        <w:tc>
          <w:tcPr>
            <w:tcW w:w="7170" w:type="dxa"/>
            <w:tcMar>
              <w:top w:w="100" w:type="dxa"/>
              <w:left w:w="100" w:type="dxa"/>
              <w:bottom w:w="100" w:type="dxa"/>
              <w:right w:w="100" w:type="dxa"/>
            </w:tcMar>
          </w:tcPr>
          <w:p w14:paraId="2910DA89" w14:textId="77777777" w:rsidR="002D7997" w:rsidRDefault="00000000">
            <w:pPr>
              <w:widowControl w:val="0"/>
              <w:pBdr>
                <w:top w:val="nil"/>
                <w:left w:val="nil"/>
                <w:bottom w:val="nil"/>
                <w:right w:val="nil"/>
                <w:between w:val="nil"/>
              </w:pBdr>
              <w:jc w:val="left"/>
            </w:pPr>
            <w:r>
              <w:t xml:space="preserve">Cooperation among employees during teamwork for the development of wearable devices may contribute to meeting every milestone with the minimisation of conflicts due to the development of support behaviours among them. This may help to build a positive workplace environment with the efficiency to successfully execute projects with minimal possibility of delay and quality issues due to cooperation and adequate support among employees. </w:t>
            </w:r>
          </w:p>
        </w:tc>
      </w:tr>
      <w:tr w:rsidR="002D7997" w14:paraId="7BBE51D9" w14:textId="77777777">
        <w:tc>
          <w:tcPr>
            <w:tcW w:w="1830" w:type="dxa"/>
            <w:tcMar>
              <w:top w:w="100" w:type="dxa"/>
              <w:left w:w="100" w:type="dxa"/>
              <w:bottom w:w="100" w:type="dxa"/>
              <w:right w:w="100" w:type="dxa"/>
            </w:tcMar>
          </w:tcPr>
          <w:p w14:paraId="3D6AB547" w14:textId="77777777" w:rsidR="002D7997" w:rsidRDefault="00000000">
            <w:pPr>
              <w:widowControl w:val="0"/>
              <w:pBdr>
                <w:top w:val="nil"/>
                <w:left w:val="nil"/>
                <w:bottom w:val="nil"/>
                <w:right w:val="nil"/>
                <w:between w:val="nil"/>
              </w:pBdr>
              <w:jc w:val="left"/>
            </w:pPr>
            <w:r>
              <w:t>Coordination</w:t>
            </w:r>
          </w:p>
        </w:tc>
        <w:tc>
          <w:tcPr>
            <w:tcW w:w="7170" w:type="dxa"/>
            <w:tcMar>
              <w:top w:w="100" w:type="dxa"/>
              <w:left w:w="100" w:type="dxa"/>
              <w:bottom w:w="100" w:type="dxa"/>
              <w:right w:w="100" w:type="dxa"/>
            </w:tcMar>
          </w:tcPr>
          <w:p w14:paraId="41B945FA" w14:textId="77777777" w:rsidR="002D7997" w:rsidRDefault="00000000">
            <w:pPr>
              <w:widowControl w:val="0"/>
              <w:pBdr>
                <w:top w:val="nil"/>
                <w:left w:val="nil"/>
                <w:bottom w:val="nil"/>
                <w:right w:val="nil"/>
                <w:between w:val="nil"/>
              </w:pBdr>
              <w:jc w:val="left"/>
            </w:pPr>
            <w:r>
              <w:t xml:space="preserve">Coordination among the project manager, leadership groups and employees may help to influence project progress with adequate information flow. This may help to ensure success, minimise the possibility of errors and integrate risk management processes due to adequate information flow and being updated regarding project progress among the project team. </w:t>
            </w:r>
          </w:p>
        </w:tc>
      </w:tr>
      <w:tr w:rsidR="002D7997" w14:paraId="2F98F0FD" w14:textId="77777777">
        <w:tc>
          <w:tcPr>
            <w:tcW w:w="1830" w:type="dxa"/>
            <w:tcMar>
              <w:top w:w="100" w:type="dxa"/>
              <w:left w:w="100" w:type="dxa"/>
              <w:bottom w:w="100" w:type="dxa"/>
              <w:right w:w="100" w:type="dxa"/>
            </w:tcMar>
          </w:tcPr>
          <w:p w14:paraId="4F56DD5B" w14:textId="77777777" w:rsidR="002D7997" w:rsidRDefault="00000000">
            <w:pPr>
              <w:widowControl w:val="0"/>
              <w:pBdr>
                <w:top w:val="nil"/>
                <w:left w:val="nil"/>
                <w:bottom w:val="nil"/>
                <w:right w:val="nil"/>
                <w:between w:val="nil"/>
              </w:pBdr>
              <w:jc w:val="left"/>
            </w:pPr>
            <w:r>
              <w:t>Collaboration</w:t>
            </w:r>
          </w:p>
        </w:tc>
        <w:tc>
          <w:tcPr>
            <w:tcW w:w="7170" w:type="dxa"/>
            <w:tcMar>
              <w:top w:w="100" w:type="dxa"/>
              <w:left w:w="100" w:type="dxa"/>
              <w:bottom w:w="100" w:type="dxa"/>
              <w:right w:w="100" w:type="dxa"/>
            </w:tcMar>
          </w:tcPr>
          <w:p w14:paraId="5276B8B6" w14:textId="77777777" w:rsidR="002D7997" w:rsidRDefault="00000000">
            <w:pPr>
              <w:widowControl w:val="0"/>
              <w:pBdr>
                <w:top w:val="nil"/>
                <w:left w:val="nil"/>
                <w:bottom w:val="nil"/>
                <w:right w:val="nil"/>
                <w:between w:val="nil"/>
              </w:pBdr>
              <w:jc w:val="left"/>
            </w:pPr>
            <w:r>
              <w:t xml:space="preserve">Collaboration among investors and the organisation may help to manage financial and resource flow that may contribute to ensuring the proper execution of the project. As a result, AstraZeneca may successfully develop wearable health devices due to the accessibility of finance and raw materials from investors and support due to collaborative relationships. </w:t>
            </w:r>
          </w:p>
        </w:tc>
      </w:tr>
    </w:tbl>
    <w:p w14:paraId="1961EFB5" w14:textId="77777777" w:rsidR="002D7997" w:rsidRDefault="00000000">
      <w:pPr>
        <w:jc w:val="center"/>
        <w:rPr>
          <w:b/>
          <w:bCs/>
        </w:rPr>
      </w:pPr>
      <w:r>
        <w:rPr>
          <w:b/>
          <w:bCs/>
        </w:rPr>
        <w:t>Table 6: 4Cs Model</w:t>
      </w:r>
    </w:p>
    <w:p w14:paraId="5D35A567" w14:textId="77777777" w:rsidR="002D7997" w:rsidRDefault="00000000">
      <w:pPr>
        <w:pStyle w:val="Heading1"/>
      </w:pPr>
      <w:bookmarkStart w:id="16" w:name="_heading=h.ot4uxfafdb7x" w:colFirst="0" w:colLast="0"/>
      <w:bookmarkEnd w:id="16"/>
      <w:r>
        <w:t>7. Evaluation of the impacts of stakeholder engagements for performance and recordation</w:t>
      </w:r>
    </w:p>
    <w:p w14:paraId="6E175887" w14:textId="77777777" w:rsidR="002D7997" w:rsidRDefault="00000000">
      <w:pPr>
        <w:pStyle w:val="Heading2"/>
      </w:pPr>
      <w:bookmarkStart w:id="17" w:name="_heading=h.tcsdumcllz1f" w:colFirst="0" w:colLast="0"/>
      <w:bookmarkEnd w:id="17"/>
      <w:r>
        <w:t>7.1 Impacts of stakeholder engagement</w:t>
      </w:r>
    </w:p>
    <w:p w14:paraId="10AC1367" w14:textId="77777777" w:rsidR="002D7997" w:rsidRDefault="00000000">
      <w:r>
        <w:t xml:space="preserve">Effective engagement of stakeholders leads to managing workflow in the project with the consideration of time, quality, and costs. Blak Bernat, </w:t>
      </w:r>
      <w:proofErr w:type="spellStart"/>
      <w:r>
        <w:t>Qualharini</w:t>
      </w:r>
      <w:proofErr w:type="spellEnd"/>
      <w:r>
        <w:t xml:space="preserve">, and Castro (2023), mentioned that increasing stakeholder engagement helps to increase overall performance and integrate the project lifecycle effectively. Empowered stakeholders in the project management process help to make collaborative decisions with the improvement of the working process. As </w:t>
      </w:r>
      <w:r>
        <w:lastRenderedPageBreak/>
        <w:t xml:space="preserve">a result, involvement of leadership groups may manage the working process by making effective decisions based on observation and collaboration of every-level managers in the context of AstraZeneca. Moreover, the effective engagement of the R&amp;D departments, investors, leadership groups and quality analysis may contribute to screening the accuracy and adequacy level in the development of wearable devices of AstraZeneca with the minimisation of error to ensure success. This may influence the opportunity to encourage innovation and advance new features in the development of devices to measure the heart rate of patients. </w:t>
      </w:r>
    </w:p>
    <w:p w14:paraId="347120AC" w14:textId="77777777" w:rsidR="002D7997" w:rsidRDefault="00000000">
      <w:r>
        <w:t xml:space="preserve">On the other hand, effective innovation and collaborative decision-making among key stakeholders in AstraZeneca may enhance the resources, minimising the possible risks, such as employee conflicts, financial shortages, and technical hazards. As mentioned by Song, </w:t>
      </w:r>
      <w:proofErr w:type="spellStart"/>
      <w:r>
        <w:t>Munyinda</w:t>
      </w:r>
      <w:proofErr w:type="spellEnd"/>
      <w:r>
        <w:t xml:space="preserve">, and Adu Sarfo (2025), effective stakeholders engagements help to improve the decision-making process with adequate risk management concerning project success. As a result, the quality and accuracy in reducing wearable devices for measuring heart rate in the AstraZeneca may be enhanced due to adequacy improvements and design by technical teams and leadership groups in this project. In another way, the effective involvement of investors with the leadership groups by assessing adequate cash flow and the project implementation process may help to mitigate the financial crisis with the enhancements of adequate workflow in project management. In this regard, stakeholder engagement may help to improve the decision-making process and risk resilience, focusing integration of project lifestyle and ensuring success in developing wearable health devices with advanced features for heart rate monitoring. In addition, effective improvements of external stakeholders, by providing feedback from patients, may help to determine actual issues in the developed wearable devices of AstraZeneca, focusing on further improvements to upgrade medical care service. Moreover, the support of governments, the NHS and other regulatory bodies may help to successfully locate and present these devices, focusing on better user acceptance. As stated by Kim </w:t>
      </w:r>
      <w:r>
        <w:rPr>
          <w:i/>
          <w:iCs/>
        </w:rPr>
        <w:t xml:space="preserve">et al. </w:t>
      </w:r>
      <w:r>
        <w:t xml:space="preserve">(2024), certification of technical devices helps to increase the users' acceptance because it helps to justify its quality standard. Apart from that, the range of user involvement and preferences may be influenced due to certification by the commission of governments and the NHS on the developed wearable devices of AstraZeneca. </w:t>
      </w:r>
    </w:p>
    <w:p w14:paraId="72FF408C" w14:textId="77777777" w:rsidR="002D7997" w:rsidRDefault="00000000">
      <w:pPr>
        <w:pStyle w:val="Heading2"/>
        <w:rPr>
          <w:color w:val="FF0000"/>
        </w:rPr>
      </w:pPr>
      <w:bookmarkStart w:id="18" w:name="_heading=h.njblks2rmmtj" w:colFirst="0" w:colLast="0"/>
      <w:bookmarkEnd w:id="18"/>
      <w:r>
        <w:t>7.2 Recommendation for future integration</w:t>
      </w:r>
    </w:p>
    <w:p w14:paraId="455C2170" w14:textId="77777777" w:rsidR="002D7997" w:rsidRDefault="00000000">
      <w:r>
        <w:t xml:space="preserve">The corporation would be very proficient in enabling its procedures to continue stakeholder engagement in the future through consideration of the key elements. Some of the most crucial considerations would be as follows: </w:t>
      </w:r>
    </w:p>
    <w:p w14:paraId="7A7B92C9" w14:textId="77777777" w:rsidR="002D7997" w:rsidRDefault="00000000">
      <w:r>
        <w:rPr>
          <w:b/>
          <w:bCs/>
          <w:i/>
          <w:iCs/>
        </w:rPr>
        <w:lastRenderedPageBreak/>
        <w:t xml:space="preserve">Institutionalise early stakeholder involvement: </w:t>
      </w:r>
      <w:r>
        <w:t xml:space="preserve">The earliest factor in the development of the core considerations of stakeholder involvement would be to institutionalise early involvement in a procedural manner. AstraZeneca should embed early-stage stakeholder mapping, which can be identified as a major factor for the overall outcomes in the design and perspectives. The early involvement of the stakeholders would make the healthcare development for the organisation crucial to maintain a connection with the product inception and post-development. From the perceptions of Christopher </w:t>
      </w:r>
      <w:r>
        <w:rPr>
          <w:i/>
          <w:iCs/>
        </w:rPr>
        <w:t>et al</w:t>
      </w:r>
      <w:r>
        <w:t xml:space="preserve">. (2013), the essence of early stakeholder involvement can be identified as a strategic way of having a wide outlook towards the future. This approach can be embedded deep into the product development function of the organisation. </w:t>
      </w:r>
    </w:p>
    <w:p w14:paraId="71BB25B3" w14:textId="77777777" w:rsidR="002D7997" w:rsidRDefault="00000000">
      <w:r>
        <w:rPr>
          <w:b/>
          <w:bCs/>
          <w:i/>
          <w:iCs/>
        </w:rPr>
        <w:t xml:space="preserve">Strengthen patient-centred co-creation model: </w:t>
      </w:r>
      <w:r>
        <w:t xml:space="preserve">A major approach towards the development of the key considerations towards product development in the process would be to strengthen the patient-centred co-creation model. One of the critical factors regarding the development of a long-lasting stakeholder engagement would be to expand the patient advisory panels. The core considerations must be given over the lived experiences of the users and patients regarding sleep disorders and improving the usability of the product. Through the perceptions of McDonald </w:t>
      </w:r>
      <w:r>
        <w:rPr>
          <w:i/>
          <w:iCs/>
        </w:rPr>
        <w:t>et al</w:t>
      </w:r>
      <w:r>
        <w:t xml:space="preserve">. (2023), a major approach towards the co-creating model in the healthcare dimension is rising as a trend and an effective way to enhance the product performance. The scope of bringing a person-centred care is to improve the performance of products to increase a very effective co-creation with the patients. </w:t>
      </w:r>
    </w:p>
    <w:p w14:paraId="33A22775" w14:textId="77777777" w:rsidR="002D7997" w:rsidRDefault="00000000">
      <w:r>
        <w:rPr>
          <w:b/>
          <w:bCs/>
          <w:i/>
          <w:iCs/>
        </w:rPr>
        <w:t xml:space="preserve">Invest in transparent data governance: </w:t>
      </w:r>
      <w:r>
        <w:t xml:space="preserve">Another major factor regarding the scope of healthcare advancement would be to increase the investment of transparent data governance. Through the lens of corporate ethics, a major factor in the transparency of data would be to increase the level of trust and accountability towards the key stakeholders. According to Ashcroft (2017), a major factor in the development of trust with key stakeholders remains long-term relationship management and development. A high level of trust and engagement is necessary to achieve greater results. With a specific focus on the key factor of business ethics, AstraZeneca would keep the key stakeholders connected to the business endeavours in the future with a consistent factor. </w:t>
      </w:r>
    </w:p>
    <w:p w14:paraId="6ED08ED7" w14:textId="77777777" w:rsidR="002D7997" w:rsidRDefault="00000000">
      <w:r>
        <w:rPr>
          <w:noProof/>
        </w:rPr>
        <w:lastRenderedPageBreak/>
        <w:drawing>
          <wp:inline distT="114300" distB="114300" distL="114300" distR="114300" wp14:anchorId="0E5EA775" wp14:editId="604AE52E">
            <wp:extent cx="5731200" cy="334010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3340100"/>
                    </a:xfrm>
                    <a:prstGeom prst="rect">
                      <a:avLst/>
                    </a:prstGeom>
                    <a:ln/>
                  </pic:spPr>
                </pic:pic>
              </a:graphicData>
            </a:graphic>
          </wp:inline>
        </w:drawing>
      </w:r>
    </w:p>
    <w:p w14:paraId="5204B80E" w14:textId="77777777" w:rsidR="002D7997" w:rsidRDefault="00000000">
      <w:pPr>
        <w:jc w:val="center"/>
        <w:rPr>
          <w:b/>
          <w:bCs/>
        </w:rPr>
      </w:pPr>
      <w:r>
        <w:rPr>
          <w:b/>
          <w:bCs/>
        </w:rPr>
        <w:t>Figure 3: Future stakeholder engagement scenario</w:t>
      </w:r>
    </w:p>
    <w:p w14:paraId="1A15C4EF" w14:textId="77777777" w:rsidR="002D7997" w:rsidRDefault="00000000">
      <w:pPr>
        <w:pStyle w:val="Heading1"/>
      </w:pPr>
      <w:bookmarkStart w:id="19" w:name="_heading=h.m4kkodteczti" w:colFirst="0" w:colLast="0"/>
      <w:bookmarkEnd w:id="19"/>
      <w:r>
        <w:t>8. Conclusion</w:t>
      </w:r>
    </w:p>
    <w:p w14:paraId="5030C21D" w14:textId="77777777" w:rsidR="002D7997" w:rsidRDefault="00000000">
      <w:r>
        <w:t>The above analysis has helped to conclude that effective engagements and support of stakeholders lead to ensuring the success in project execution with the capability to reach ultimate objectives. The stable financial cognition with significant growth of profits and adequate support of employees in AstraZeneca influences the opportunity of introducing new devices concerning wearable devices for measuring oxygen level, heart rate and sleep of patients, focusing on creating innovation for health and wellbeing. However, blockbuster SPC drug supply issues and reduced customer engagement rate impact organisational performance of AstraZeneca and influence the awareness to launch tech-advanced devices based on market demand, such as Wearable devices for secure health rate, sleep pattern and oxygen level of individuals. Key stakeholders, including the project manager, research and development (R&amp;D) team, government, technical team, doctors, customers, investors, and resource suppliers, are required in the project management process of wearable devices for measuring heart rate, oxygen level, and sleep rate. The implication of engagement methods such as Agile sprint reviews, Earnings calls and ESG reports, User testing, feedback surveys and CPD sessions helps to increase the involvement of stakeholders, focusing on adequate project flow and reaching every milestone properly. The opportunity of successful project execution by AstraZeneca concerning developments of wearable devices for heart rate measurements and health check-ups may be enhanced by effective involvement of key stakeholders in decision-</w:t>
      </w:r>
      <w:r>
        <w:lastRenderedPageBreak/>
        <w:t xml:space="preserve">making and seeking innovation. Adequate communication, monitoring and observation by the technical experts and leadership team may help to minimise the possibility of technical hazards with the improvements of the capability in technology innovation by proper design and development. </w:t>
      </w:r>
    </w:p>
    <w:p w14:paraId="7993C2B3" w14:textId="77777777" w:rsidR="002D7997" w:rsidRDefault="00000000">
      <w:r>
        <w:br w:type="page"/>
      </w:r>
    </w:p>
    <w:p w14:paraId="34A14A02" w14:textId="77777777" w:rsidR="002D7997" w:rsidRDefault="00000000">
      <w:pPr>
        <w:pStyle w:val="Heading1"/>
      </w:pPr>
      <w:bookmarkStart w:id="20" w:name="_heading=h.co5mo09tphwl" w:colFirst="0" w:colLast="0"/>
      <w:bookmarkEnd w:id="20"/>
      <w:r>
        <w:lastRenderedPageBreak/>
        <w:t xml:space="preserve">References </w:t>
      </w:r>
    </w:p>
    <w:p w14:paraId="2AA107AB" w14:textId="77777777" w:rsidR="002D7997" w:rsidRDefault="00000000">
      <w:pPr>
        <w:spacing w:after="240"/>
      </w:pPr>
      <w:proofErr w:type="spellStart"/>
      <w:r>
        <w:t>Alasuutari</w:t>
      </w:r>
      <w:proofErr w:type="spellEnd"/>
      <w:r>
        <w:t xml:space="preserve">, N. and Rantala, K. (2025) ‘Stakeholder engagement in regulatory policymaking in a neo-corporatist setting: assessing diversity and balance in open consultations’, </w:t>
      </w:r>
      <w:r>
        <w:rPr>
          <w:i/>
          <w:iCs/>
        </w:rPr>
        <w:t>Interest Groups &amp; Advocacy</w:t>
      </w:r>
      <w:r>
        <w:t>, 14. pp.107-129. </w:t>
      </w:r>
    </w:p>
    <w:p w14:paraId="7EAFF5E5" w14:textId="77777777" w:rsidR="002D7997" w:rsidRDefault="00000000">
      <w:pPr>
        <w:spacing w:after="240"/>
      </w:pPr>
      <w:proofErr w:type="spellStart"/>
      <w:r>
        <w:t>Alnhari</w:t>
      </w:r>
      <w:proofErr w:type="spellEnd"/>
      <w:r>
        <w:t xml:space="preserve">, A.A. and Qureshi, R. (2024) ‘Unified External Stakeholder Engagement and Requirements Strategy’, </w:t>
      </w:r>
      <w:proofErr w:type="spellStart"/>
      <w:r>
        <w:rPr>
          <w:i/>
          <w:iCs/>
        </w:rPr>
        <w:t>arXiv</w:t>
      </w:r>
      <w:proofErr w:type="spellEnd"/>
      <w:r>
        <w:rPr>
          <w:i/>
          <w:iCs/>
        </w:rPr>
        <w:t xml:space="preserve"> preprint arXiv:2409.05019</w:t>
      </w:r>
      <w:r>
        <w:t>.  </w:t>
      </w:r>
    </w:p>
    <w:p w14:paraId="3F795D09" w14:textId="77777777" w:rsidR="002D7997" w:rsidRDefault="00000000">
      <w:pPr>
        <w:spacing w:after="240"/>
      </w:pPr>
      <w:r>
        <w:t xml:space="preserve">Ashcroft, J. (2017) </w:t>
      </w:r>
      <w:r>
        <w:rPr>
          <w:i/>
          <w:iCs/>
        </w:rPr>
        <w:t>The relational lens: understanding, measuring, and managing stakeholder relationships</w:t>
      </w:r>
      <w:r>
        <w:t>. Cambridge: Cambridge University Press </w:t>
      </w:r>
    </w:p>
    <w:p w14:paraId="2DF2EC13" w14:textId="77777777" w:rsidR="002D7997" w:rsidRDefault="00000000">
      <w:pPr>
        <w:spacing w:after="240"/>
      </w:pPr>
      <w:r>
        <w:t xml:space="preserve">Ashcroft, J., Childs, R., Myers, A. and Schluter, M. (2016) </w:t>
      </w:r>
      <w:r>
        <w:rPr>
          <w:i/>
          <w:iCs/>
        </w:rPr>
        <w:t>The relational lens: Understanding, managing and measuring stakeholder relationships</w:t>
      </w:r>
      <w:r>
        <w:t>. Cambridge University Press. </w:t>
      </w:r>
    </w:p>
    <w:p w14:paraId="5B576B85" w14:textId="77777777" w:rsidR="002D7997" w:rsidRDefault="00000000">
      <w:pPr>
        <w:spacing w:after="240"/>
      </w:pPr>
      <w:r>
        <w:t xml:space="preserve">AstraZeneca (2024) </w:t>
      </w:r>
      <w:r>
        <w:rPr>
          <w:i/>
          <w:iCs/>
        </w:rPr>
        <w:t xml:space="preserve">AstraZeneca sets ambition to deliver $80 billion Total Revenue by 2030 and sustained growth post 2030. </w:t>
      </w:r>
      <w:r>
        <w:t xml:space="preserve">Available at: </w:t>
      </w:r>
      <w:hyperlink r:id="rId11">
        <w:r w:rsidR="002D7997">
          <w:rPr>
            <w:color w:val="0000FF"/>
            <w:u w:val="single"/>
          </w:rPr>
          <w:t>http://astrazeneca.com/media-centre/press-releases/2024/astrazeneca-to-deliver-80bn-revenue-by-2030.html</w:t>
        </w:r>
      </w:hyperlink>
      <w:r>
        <w:t xml:space="preserve"> (Accessed: 14 December  2025). </w:t>
      </w:r>
    </w:p>
    <w:p w14:paraId="43C4A642" w14:textId="77777777" w:rsidR="002D7997" w:rsidRDefault="00000000">
      <w:pPr>
        <w:spacing w:after="240"/>
      </w:pPr>
      <w:proofErr w:type="spellStart"/>
      <w:r>
        <w:t>Bigné</w:t>
      </w:r>
      <w:proofErr w:type="spellEnd"/>
      <w:r>
        <w:t>, E., Ruiz-</w:t>
      </w:r>
      <w:proofErr w:type="spellStart"/>
      <w:r>
        <w:t>Mafé</w:t>
      </w:r>
      <w:proofErr w:type="spellEnd"/>
      <w:r>
        <w:t xml:space="preserve">, C. and </w:t>
      </w:r>
      <w:proofErr w:type="spellStart"/>
      <w:r>
        <w:t>Badenes</w:t>
      </w:r>
      <w:proofErr w:type="spellEnd"/>
      <w:r>
        <w:t xml:space="preserve">-Rocha, A. (2023) ‘The influence of negative emotions on brand trust and intention to share cause-related posts: A neuroscientific study’, </w:t>
      </w:r>
      <w:r>
        <w:rPr>
          <w:i/>
          <w:iCs/>
        </w:rPr>
        <w:t>Journal of Business Research</w:t>
      </w:r>
      <w:r>
        <w:t>, 157, p. 113628. </w:t>
      </w:r>
    </w:p>
    <w:p w14:paraId="6A2AFCC1" w14:textId="77777777" w:rsidR="002D7997" w:rsidRDefault="00000000">
      <w:pPr>
        <w:spacing w:after="240"/>
      </w:pPr>
      <w:r>
        <w:t xml:space="preserve">Blak Bernat, G., </w:t>
      </w:r>
      <w:proofErr w:type="spellStart"/>
      <w:r>
        <w:t>Qualharini</w:t>
      </w:r>
      <w:proofErr w:type="spellEnd"/>
      <w:r>
        <w:t xml:space="preserve">, E.L. and Castro, M.S., (2023) ‘Enhancing sustainability in project management: The role of stakeholder engagement and knowledge management in virtual team environments’, </w:t>
      </w:r>
      <w:r>
        <w:rPr>
          <w:i/>
          <w:iCs/>
        </w:rPr>
        <w:t>Sustainability,</w:t>
      </w:r>
      <w:r>
        <w:t xml:space="preserve"> 15(6), p.4896.</w:t>
      </w:r>
    </w:p>
    <w:p w14:paraId="0E2F5C98" w14:textId="77777777" w:rsidR="002D7997" w:rsidRDefault="00000000">
      <w:pPr>
        <w:spacing w:after="240"/>
      </w:pPr>
      <w:r>
        <w:t xml:space="preserve">Brown, H., Jacobson. S., Cockrell, M. and Sutt, J. (2021) ‘A Five-Step Stakeholder Communication Plan for More Effective Natural Resource Management’, </w:t>
      </w:r>
      <w:r>
        <w:rPr>
          <w:i/>
          <w:iCs/>
        </w:rPr>
        <w:t>Journal of Extension</w:t>
      </w:r>
      <w:r>
        <w:t>, 59. pp.1-10. </w:t>
      </w:r>
    </w:p>
    <w:p w14:paraId="49FFFCF3" w14:textId="77777777" w:rsidR="002D7997" w:rsidRDefault="00000000">
      <w:pPr>
        <w:spacing w:after="240"/>
      </w:pPr>
      <w:r>
        <w:t xml:space="preserve">Christopher, M., Payne, A., and Ballantyne, D. (2013) </w:t>
      </w:r>
      <w:r>
        <w:rPr>
          <w:i/>
          <w:iCs/>
        </w:rPr>
        <w:t>Relationship Marketing: Creating Stakeholder Value</w:t>
      </w:r>
      <w:r>
        <w:t>. Saint Louis: Taylor and Francis.</w:t>
      </w:r>
    </w:p>
    <w:p w14:paraId="7C97C5EC" w14:textId="77777777" w:rsidR="002D7997" w:rsidRDefault="00000000">
      <w:pPr>
        <w:spacing w:after="240"/>
      </w:pPr>
      <w:r>
        <w:t>Christopher, M., Payne, A., and Ballantyne, D. (2013)</w:t>
      </w:r>
      <w:r>
        <w:rPr>
          <w:i/>
          <w:iCs/>
        </w:rPr>
        <w:t xml:space="preserve"> Relationship Marketing: Creating Stakeholder Value</w:t>
      </w:r>
      <w:r>
        <w:t>. Saint Louis: Taylor and Francis. </w:t>
      </w:r>
    </w:p>
    <w:p w14:paraId="6590F228" w14:textId="77777777" w:rsidR="002D7997" w:rsidRDefault="00000000">
      <w:pPr>
        <w:spacing w:after="240"/>
      </w:pPr>
      <w:r>
        <w:lastRenderedPageBreak/>
        <w:t>Ellis, C.A., Gibbs, S.J. and Rein, G.L. (1991) ‘</w:t>
      </w:r>
      <w:r>
        <w:rPr>
          <w:i/>
          <w:iCs/>
        </w:rPr>
        <w:t>Groupware: Some issues and experiences</w:t>
      </w:r>
      <w:r>
        <w:t>’, Communications of the ACM, 34(1), pp. 38–58.</w:t>
      </w:r>
    </w:p>
    <w:p w14:paraId="04A6D974" w14:textId="77777777" w:rsidR="002D7997" w:rsidRDefault="00000000">
      <w:pPr>
        <w:spacing w:after="240"/>
      </w:pPr>
      <w:r>
        <w:t xml:space="preserve">George, A.S., Baskar, T. and </w:t>
      </w:r>
      <w:proofErr w:type="spellStart"/>
      <w:r>
        <w:t>Srikaanth</w:t>
      </w:r>
      <w:proofErr w:type="spellEnd"/>
      <w:r>
        <w:t xml:space="preserve">, P.B. (2024) ‘Cyber threats to critical infrastructure: assessing vulnerabilities across key sectors’, </w:t>
      </w:r>
      <w:r>
        <w:rPr>
          <w:i/>
          <w:iCs/>
        </w:rPr>
        <w:t>Partners Universal International Innovation Journal</w:t>
      </w:r>
      <w:r>
        <w:t>, 2(1), pp. 51-75. </w:t>
      </w:r>
    </w:p>
    <w:p w14:paraId="0FF0E05B" w14:textId="77777777" w:rsidR="002D7997" w:rsidRDefault="00000000">
      <w:pPr>
        <w:spacing w:after="240"/>
      </w:pPr>
      <w:r>
        <w:t xml:space="preserve">Hollman S., </w:t>
      </w:r>
      <w:proofErr w:type="spellStart"/>
      <w:r>
        <w:t>Regierer</w:t>
      </w:r>
      <w:proofErr w:type="spellEnd"/>
      <w:r>
        <w:t xml:space="preserve">, B., </w:t>
      </w:r>
      <w:proofErr w:type="spellStart"/>
      <w:r>
        <w:t>Bechis</w:t>
      </w:r>
      <w:proofErr w:type="spellEnd"/>
      <w:r>
        <w:t xml:space="preserve">, J., Tobin, L. and D’Elia, D. (2022) ‘Ten simple rules on how to develop a stakeholder engagement plan’, </w:t>
      </w:r>
      <w:r>
        <w:rPr>
          <w:i/>
          <w:iCs/>
        </w:rPr>
        <w:t>PLOS Computational Biology</w:t>
      </w:r>
      <w:r>
        <w:t>, 18(10). pp.1-10. </w:t>
      </w:r>
    </w:p>
    <w:p w14:paraId="26DBB2CA" w14:textId="77777777" w:rsidR="002D7997" w:rsidRDefault="00000000">
      <w:pPr>
        <w:spacing w:after="240"/>
      </w:pPr>
      <w:r>
        <w:t xml:space="preserve">Humeniuk, M., Shelenko, D., Kovalchuk, N., Balaniuk, I. and Kozak-Balaniuk, I. (2022) ‘THE IMPACT OF INNOVATION ON THE STRUCTURE OF THE ASSETS OF THE ENTERPRISES’, </w:t>
      </w:r>
      <w:r>
        <w:rPr>
          <w:i/>
          <w:iCs/>
        </w:rPr>
        <w:t>Economic Studies</w:t>
      </w:r>
      <w:r>
        <w:t xml:space="preserve">, </w:t>
      </w:r>
      <w:r>
        <w:rPr>
          <w:i/>
          <w:iCs/>
        </w:rPr>
        <w:t>31</w:t>
      </w:r>
      <w:r>
        <w:t>(4), p. 1-20. </w:t>
      </w:r>
    </w:p>
    <w:p w14:paraId="5566BDE8" w14:textId="77777777" w:rsidR="002D7997" w:rsidRDefault="00000000">
      <w:pPr>
        <w:spacing w:after="240"/>
      </w:pPr>
      <w:r>
        <w:t xml:space="preserve">Johnson, G., Scholes, K. and Whittington, R. (2023) </w:t>
      </w:r>
      <w:r>
        <w:rPr>
          <w:i/>
          <w:iCs/>
        </w:rPr>
        <w:t>Exploring Strategy</w:t>
      </w:r>
      <w:r>
        <w:t xml:space="preserve">. 13th </w:t>
      </w:r>
      <w:proofErr w:type="spellStart"/>
      <w:r>
        <w:t>edn</w:t>
      </w:r>
      <w:proofErr w:type="spellEnd"/>
      <w:r>
        <w:t>. Harlow: Pearson Education.</w:t>
      </w:r>
    </w:p>
    <w:p w14:paraId="619054E8" w14:textId="77777777" w:rsidR="002D7997" w:rsidRDefault="00000000">
      <w:pPr>
        <w:spacing w:after="240"/>
      </w:pPr>
      <w:r>
        <w:t>Kim, S., Zhong, Y., Wang, J. and Kim, H.S., (2024) ‘Exploring technology acceptance of healthcare devices: the moderating role of device type and generation’,</w:t>
      </w:r>
      <w:r>
        <w:rPr>
          <w:i/>
          <w:iCs/>
        </w:rPr>
        <w:t xml:space="preserve"> Sensors</w:t>
      </w:r>
      <w:r>
        <w:t>, 24(24), p.7921.</w:t>
      </w:r>
    </w:p>
    <w:p w14:paraId="79162A22" w14:textId="77777777" w:rsidR="002D7997" w:rsidRDefault="00000000">
      <w:pPr>
        <w:spacing w:after="240"/>
      </w:pPr>
      <w:r>
        <w:t xml:space="preserve">Lee, H. and Lee, J. (2022) ‘Industry competition, corporate governance, and voluntary disclosure of greenhouse gas emissions information: evidence from South Korea’, </w:t>
      </w:r>
      <w:r>
        <w:rPr>
          <w:i/>
          <w:iCs/>
        </w:rPr>
        <w:t>International Journal of Environmental Research and Public Health</w:t>
      </w:r>
      <w:r>
        <w:t>, 19(23), p. 16272. </w:t>
      </w:r>
    </w:p>
    <w:p w14:paraId="625B6318" w14:textId="77777777" w:rsidR="002D7997" w:rsidRDefault="00000000">
      <w:pPr>
        <w:spacing w:after="240"/>
      </w:pPr>
      <w:r>
        <w:t xml:space="preserve">Limani, E., Hajdari, L., Limani, B. and Krasniqi, J. (2024) ‘Enhancing stakeholder engagement: Using the communication perspective to identify and enhance stakeholder communication in place management’, </w:t>
      </w:r>
      <w:r>
        <w:rPr>
          <w:i/>
          <w:iCs/>
        </w:rPr>
        <w:t>Cogent Business &amp; Management</w:t>
      </w:r>
      <w:r>
        <w:t>, 11(1). pp.1-12. </w:t>
      </w:r>
    </w:p>
    <w:p w14:paraId="66F57C96" w14:textId="77777777" w:rsidR="002D7997" w:rsidRDefault="00000000">
      <w:pPr>
        <w:spacing w:after="240"/>
      </w:pPr>
      <w:r>
        <w:t>Macro Trends (</w:t>
      </w:r>
      <w:proofErr w:type="spellStart"/>
      <w:r>
        <w:t>n.d</w:t>
      </w:r>
      <w:proofErr w:type="spellEnd"/>
      <w:r>
        <w:t xml:space="preserve">) </w:t>
      </w:r>
      <w:r>
        <w:rPr>
          <w:i/>
          <w:iCs/>
        </w:rPr>
        <w:t xml:space="preserve">AstraZeneca Gross Profit 2011-2025 | AZN. </w:t>
      </w:r>
      <w:r>
        <w:t xml:space="preserve">Available at: </w:t>
      </w:r>
      <w:hyperlink r:id="rId12">
        <w:r w:rsidR="002D7997">
          <w:rPr>
            <w:color w:val="0000FF"/>
            <w:u w:val="single"/>
          </w:rPr>
          <w:t>https://www.macrotrends.net/stocks/charts/AZN/astrazeneca/gross-profit</w:t>
        </w:r>
      </w:hyperlink>
      <w:r>
        <w:t xml:space="preserve"> (Accessed: 14 December  2025). </w:t>
      </w:r>
    </w:p>
    <w:p w14:paraId="72B983C5" w14:textId="77777777" w:rsidR="002D7997" w:rsidRDefault="00000000">
      <w:pPr>
        <w:spacing w:after="240"/>
      </w:pPr>
      <w:r>
        <w:t xml:space="preserve">Maqbool, R., Rashid, Y. and Ashfaq, S. (2022) ‘Renewable energy project success: Internal versus external stakeholders' satisfaction and influences of power‐interest matrix’, </w:t>
      </w:r>
      <w:r>
        <w:rPr>
          <w:i/>
          <w:iCs/>
        </w:rPr>
        <w:t>Sustainable Development</w:t>
      </w:r>
      <w:r>
        <w:t>, 30(6), pp. 1542-1561. </w:t>
      </w:r>
    </w:p>
    <w:p w14:paraId="52011161" w14:textId="77777777" w:rsidR="002D7997" w:rsidRDefault="00000000">
      <w:pPr>
        <w:spacing w:after="240"/>
      </w:pPr>
      <w:r>
        <w:lastRenderedPageBreak/>
        <w:t xml:space="preserve">Mikulic, M. (2025) </w:t>
      </w:r>
      <w:r>
        <w:rPr>
          <w:i/>
          <w:iCs/>
        </w:rPr>
        <w:t xml:space="preserve">AstraZeneca revenue by therapeutic area 2022-2024. </w:t>
      </w:r>
      <w:r>
        <w:t xml:space="preserve">Available at: </w:t>
      </w:r>
      <w:hyperlink r:id="rId13">
        <w:r w:rsidR="002D7997">
          <w:rPr>
            <w:color w:val="0000FF"/>
            <w:u w:val="single"/>
          </w:rPr>
          <w:t>https://www.statista.com/statistics/293056/astrazeneca-revenue-by-therapeutic-area/?srsltid=AfmBOorHxLE1x2VrcKmqQih44s1Y39jd8AJGvsvGdXRdEFQ66d8y9fXL</w:t>
        </w:r>
      </w:hyperlink>
      <w:r>
        <w:t xml:space="preserve"> (Accessed: 14 December  2025). </w:t>
      </w:r>
    </w:p>
    <w:p w14:paraId="0E0496F9" w14:textId="77777777" w:rsidR="002D7997" w:rsidRDefault="00000000">
      <w:pPr>
        <w:spacing w:after="240"/>
      </w:pPr>
      <w:proofErr w:type="spellStart"/>
      <w:r>
        <w:t>Nosike</w:t>
      </w:r>
      <w:proofErr w:type="spellEnd"/>
      <w:r>
        <w:t xml:space="preserve">, R.D.C.J., </w:t>
      </w:r>
      <w:proofErr w:type="spellStart"/>
      <w:r>
        <w:t>Ojobor</w:t>
      </w:r>
      <w:proofErr w:type="spellEnd"/>
      <w:r>
        <w:t xml:space="preserve">, O.S.N. and Nwosu, C.K. (2024) ‘International Business Expansion Strategies’, </w:t>
      </w:r>
      <w:r>
        <w:rPr>
          <w:i/>
          <w:iCs/>
        </w:rPr>
        <w:t>ESTAGA JOURNAL OF PHILOSOPHY, ARTS AND HUMANITIES</w:t>
      </w:r>
      <w:r>
        <w:t xml:space="preserve">, </w:t>
      </w:r>
      <w:r>
        <w:rPr>
          <w:i/>
          <w:iCs/>
        </w:rPr>
        <w:t>1</w:t>
      </w:r>
      <w:r>
        <w:t>(1), p. 1-17. </w:t>
      </w:r>
    </w:p>
    <w:p w14:paraId="6120950A" w14:textId="77777777" w:rsidR="002D7997" w:rsidRDefault="00000000">
      <w:pPr>
        <w:spacing w:after="240"/>
      </w:pPr>
      <w:proofErr w:type="spellStart"/>
      <w:r>
        <w:t>Pallegrini</w:t>
      </w:r>
      <w:proofErr w:type="spellEnd"/>
      <w:r>
        <w:t xml:space="preserve">, G. and </w:t>
      </w:r>
      <w:proofErr w:type="spellStart"/>
      <w:r>
        <w:t>Lovati</w:t>
      </w:r>
      <w:proofErr w:type="spellEnd"/>
      <w:r>
        <w:t xml:space="preserve">, C. (2025) ‘Stakeholders’ engagement for improved health outcomes: a research brief to design a tool for better communication and participation’, </w:t>
      </w:r>
      <w:r>
        <w:rPr>
          <w:i/>
          <w:iCs/>
        </w:rPr>
        <w:t>Frontiers in Public Health</w:t>
      </w:r>
      <w:r>
        <w:t>, 13. pp.1-10. </w:t>
      </w:r>
    </w:p>
    <w:p w14:paraId="3A027E85" w14:textId="77777777" w:rsidR="002D7997" w:rsidRDefault="00000000">
      <w:pPr>
        <w:spacing w:after="240"/>
      </w:pPr>
      <w:proofErr w:type="spellStart"/>
      <w:r>
        <w:t>Patsnap</w:t>
      </w:r>
      <w:proofErr w:type="spellEnd"/>
      <w:r>
        <w:t xml:space="preserve"> Synapse (2025) </w:t>
      </w:r>
      <w:r>
        <w:rPr>
          <w:i/>
          <w:iCs/>
        </w:rPr>
        <w:t xml:space="preserve">What are the top-selling drugs of AstraZeneca? </w:t>
      </w:r>
      <w:r>
        <w:t xml:space="preserve">Available at: </w:t>
      </w:r>
      <w:hyperlink r:id="rId14">
        <w:r w:rsidR="002D7997">
          <w:rPr>
            <w:color w:val="0000FF"/>
            <w:u w:val="single"/>
          </w:rPr>
          <w:t>https://synapse.patsnap.com/article/what-are-the-top-selling-drugs-of-astrazeneca</w:t>
        </w:r>
      </w:hyperlink>
      <w:r>
        <w:t xml:space="preserve"> (Accessed: 13 December  2025). </w:t>
      </w:r>
    </w:p>
    <w:p w14:paraId="0CBC7EA6" w14:textId="77777777" w:rsidR="002D7997" w:rsidRDefault="00000000">
      <w:pPr>
        <w:spacing w:after="240"/>
      </w:pPr>
      <w:r>
        <w:t xml:space="preserve">Ren, D. and Ma, B. (2022) ‘Combined effects of cues influencing patients’ purchasing </w:t>
      </w:r>
      <w:proofErr w:type="spellStart"/>
      <w:r>
        <w:t>behavior</w:t>
      </w:r>
      <w:proofErr w:type="spellEnd"/>
      <w:r>
        <w:t xml:space="preserve"> in online health-care communities: qualitative comparative analysis based on cue utilization theory’, </w:t>
      </w:r>
      <w:r>
        <w:rPr>
          <w:i/>
          <w:iCs/>
        </w:rPr>
        <w:t>BMC Medical Informatics and Decision Making</w:t>
      </w:r>
      <w:r>
        <w:t>, 22(1), p. 283.</w:t>
      </w:r>
    </w:p>
    <w:p w14:paraId="365360F9" w14:textId="77777777" w:rsidR="002D7997" w:rsidRDefault="00000000">
      <w:pPr>
        <w:spacing w:after="240"/>
      </w:pPr>
      <w:r>
        <w:t xml:space="preserve">Rivaldo, Y. and Nabella, S.D. (2023) ‘Employee performance: Education, training, experience and work discipline’, </w:t>
      </w:r>
      <w:proofErr w:type="spellStart"/>
      <w:r>
        <w:rPr>
          <w:i/>
          <w:iCs/>
        </w:rPr>
        <w:t>Calitatea</w:t>
      </w:r>
      <w:proofErr w:type="spellEnd"/>
      <w:r>
        <w:t>, 24(193), pp. 182-188. </w:t>
      </w:r>
    </w:p>
    <w:p w14:paraId="37BC12EA" w14:textId="77777777" w:rsidR="002D7997" w:rsidRDefault="00000000">
      <w:pPr>
        <w:spacing w:after="240"/>
      </w:pPr>
      <w:r>
        <w:t xml:space="preserve">Rožman, M., </w:t>
      </w:r>
      <w:proofErr w:type="spellStart"/>
      <w:r>
        <w:t>Tominc</w:t>
      </w:r>
      <w:proofErr w:type="spellEnd"/>
      <w:r>
        <w:t xml:space="preserve">, P. and Štrukelj, T. (2023) ‘Competitiveness through development of strategic talent management and agile management ecosystems’, </w:t>
      </w:r>
      <w:r>
        <w:rPr>
          <w:i/>
          <w:iCs/>
        </w:rPr>
        <w:t>Global Journal of Flexible Systems Management</w:t>
      </w:r>
      <w:r>
        <w:t>, 24(3), pp. 373-393. </w:t>
      </w:r>
    </w:p>
    <w:p w14:paraId="452E6869" w14:textId="77777777" w:rsidR="002D7997" w:rsidRDefault="00000000">
      <w:pPr>
        <w:spacing w:after="240"/>
      </w:pPr>
      <w:r>
        <w:t xml:space="preserve">Rustan, S.A., Aisyah, S., </w:t>
      </w:r>
      <w:proofErr w:type="spellStart"/>
      <w:r>
        <w:t>Adiningrat</w:t>
      </w:r>
      <w:proofErr w:type="spellEnd"/>
      <w:r>
        <w:t xml:space="preserve">, A.A., Rustam, A. and </w:t>
      </w:r>
      <w:proofErr w:type="spellStart"/>
      <w:r>
        <w:t>Anggoro</w:t>
      </w:r>
      <w:proofErr w:type="spellEnd"/>
      <w:r>
        <w:t xml:space="preserve">, M.Y.A.R. (2022) ‘Strengthening </w:t>
      </w:r>
      <w:proofErr w:type="gramStart"/>
      <w:r>
        <w:t>Of</w:t>
      </w:r>
      <w:proofErr w:type="gramEnd"/>
      <w:r>
        <w:t xml:space="preserve"> Marketing Information Systems and Accounting Information Systems for Micro Small and Medium Enterprises (UMKM) Food Culinary Makassar’, </w:t>
      </w:r>
      <w:r>
        <w:rPr>
          <w:i/>
          <w:iCs/>
        </w:rPr>
        <w:t>Budapest International Research and Critics Institute-Journal (BIRCI-Journal)</w:t>
      </w:r>
      <w:r>
        <w:t>, 5(4), pp. 30580-30585.</w:t>
      </w:r>
    </w:p>
    <w:p w14:paraId="20684FF9" w14:textId="77777777" w:rsidR="002D7997" w:rsidRDefault="00000000">
      <w:pPr>
        <w:spacing w:after="240"/>
      </w:pPr>
      <w:r>
        <w:t xml:space="preserve">Schulze, C. (2025) </w:t>
      </w:r>
      <w:r>
        <w:rPr>
          <w:i/>
          <w:iCs/>
        </w:rPr>
        <w:t xml:space="preserve">UK High Court revokes AstraZeneca’s SPC and patent for diabetes drug dapagliflozin. </w:t>
      </w:r>
      <w:r>
        <w:t xml:space="preserve">Available at: </w:t>
      </w:r>
      <w:hyperlink r:id="rId15">
        <w:r w:rsidR="002D7997">
          <w:rPr>
            <w:color w:val="0000FF"/>
            <w:u w:val="single"/>
          </w:rPr>
          <w:t>https://www.juve-patent.com/cases/uk-high-court-revokes-astrazenecas-spc-and-patent-for-diabetes-drug-dapagliflozin/</w:t>
        </w:r>
      </w:hyperlink>
      <w:r>
        <w:t xml:space="preserve"> (Accessed: 14 December  2025). </w:t>
      </w:r>
    </w:p>
    <w:p w14:paraId="5CD0D667" w14:textId="77777777" w:rsidR="002D7997" w:rsidRDefault="00000000">
      <w:pPr>
        <w:spacing w:after="240"/>
      </w:pPr>
      <w:r>
        <w:lastRenderedPageBreak/>
        <w:t xml:space="preserve">Song, J., </w:t>
      </w:r>
      <w:proofErr w:type="spellStart"/>
      <w:r>
        <w:t>Munyinda</w:t>
      </w:r>
      <w:proofErr w:type="spellEnd"/>
      <w:r>
        <w:t>, M. and Adu Sarfo, P., (2025) ‘Examining the impact of risk management practices on sustainable project performance in the construction industry: the role of stakeholder engagement’,</w:t>
      </w:r>
      <w:r>
        <w:rPr>
          <w:i/>
          <w:iCs/>
        </w:rPr>
        <w:t xml:space="preserve"> Frontiers in Built Environment</w:t>
      </w:r>
      <w:r>
        <w:t>, 11, p.1-15.</w:t>
      </w:r>
    </w:p>
    <w:p w14:paraId="52BE0A2E" w14:textId="77777777" w:rsidR="002D7997" w:rsidRDefault="00000000">
      <w:pPr>
        <w:spacing w:after="240"/>
      </w:pPr>
      <w:proofErr w:type="spellStart"/>
      <w:r>
        <w:t>Sudirjo</w:t>
      </w:r>
      <w:proofErr w:type="spellEnd"/>
      <w:r>
        <w:t xml:space="preserve">, F. (2023) ‘Marketing strategy in improving product competitiveness in the global market’, </w:t>
      </w:r>
      <w:r>
        <w:rPr>
          <w:i/>
          <w:iCs/>
        </w:rPr>
        <w:t>Journal of Contemporary Administration and Management (ADMAN)</w:t>
      </w:r>
      <w:r>
        <w:t>, 1(2), pp. 63-69.  </w:t>
      </w:r>
    </w:p>
    <w:p w14:paraId="5F995B9A" w14:textId="77777777" w:rsidR="002D7997" w:rsidRDefault="00000000">
      <w:pPr>
        <w:spacing w:after="240"/>
      </w:pPr>
      <w:proofErr w:type="spellStart"/>
      <w:r>
        <w:t>Suhanda</w:t>
      </w:r>
      <w:proofErr w:type="spellEnd"/>
      <w:r>
        <w:t xml:space="preserve">, R.D.P. and </w:t>
      </w:r>
      <w:proofErr w:type="spellStart"/>
      <w:r>
        <w:t>Pratami</w:t>
      </w:r>
      <w:proofErr w:type="spellEnd"/>
      <w:r>
        <w:t xml:space="preserve">, D. (2021) ‘RACI Matrix Design for Managing Stakeholders in Project Case Study of PT. XYZ’, </w:t>
      </w:r>
      <w:r>
        <w:rPr>
          <w:i/>
          <w:iCs/>
        </w:rPr>
        <w:t>International Journal of Innovation in Enterprise Systems</w:t>
      </w:r>
      <w:r>
        <w:t>, 5(2). pp.122-133. </w:t>
      </w:r>
    </w:p>
    <w:p w14:paraId="195C1B6F" w14:textId="77777777" w:rsidR="002D7997" w:rsidRDefault="00000000">
      <w:pPr>
        <w:spacing w:after="240"/>
      </w:pPr>
      <w:r>
        <w:t>Thornhill-Miller, B., Camarda, A., Mercier, M., Burkhardt, J.M., Morisseau, T., Bourgeois-</w:t>
      </w:r>
      <w:proofErr w:type="spellStart"/>
      <w:r>
        <w:t>Bougrine</w:t>
      </w:r>
      <w:proofErr w:type="spellEnd"/>
      <w:r>
        <w:t xml:space="preserve">, S., Vinchon, F., El Hayek, S., </w:t>
      </w:r>
      <w:proofErr w:type="spellStart"/>
      <w:r>
        <w:t>Augereau</w:t>
      </w:r>
      <w:proofErr w:type="spellEnd"/>
      <w:r>
        <w:t>-Landais, M., Mourey, F. and Feybesse, C., (2023) ‘Creativity, critical thinking, communication, and collaboration: Assessment, certification, and promotion of 21st century skills for the future of work and education’,</w:t>
      </w:r>
      <w:r>
        <w:rPr>
          <w:i/>
          <w:iCs/>
        </w:rPr>
        <w:t xml:space="preserve"> Journal of Intelligence,</w:t>
      </w:r>
      <w:r>
        <w:t xml:space="preserve"> 11(3), p.54.</w:t>
      </w:r>
    </w:p>
    <w:p w14:paraId="7D9527CB" w14:textId="77777777" w:rsidR="002D7997" w:rsidRDefault="00000000">
      <w:pPr>
        <w:spacing w:after="240"/>
      </w:pPr>
      <w:r>
        <w:t xml:space="preserve">Van den Broek, K.L., </w:t>
      </w:r>
      <w:proofErr w:type="spellStart"/>
      <w:r>
        <w:t>Luomba</w:t>
      </w:r>
      <w:proofErr w:type="spellEnd"/>
      <w:r>
        <w:t xml:space="preserve">, J., Onyango, H.O., </w:t>
      </w:r>
      <w:proofErr w:type="spellStart"/>
      <w:r>
        <w:t>Musobya</w:t>
      </w:r>
      <w:proofErr w:type="spellEnd"/>
      <w:r>
        <w:t xml:space="preserve">, M. and Klein, S.A. (2020) ‘A framework for co-developing conservation research projects with stakeholders: A Lake Victoria case study’, </w:t>
      </w:r>
      <w:r>
        <w:rPr>
          <w:i/>
          <w:iCs/>
        </w:rPr>
        <w:t>Lake &amp; Reservoirs: Science, Policy and Management for Sustainable Use</w:t>
      </w:r>
      <w:r>
        <w:t>, 25(4). pp.403-412. </w:t>
      </w:r>
    </w:p>
    <w:sectPr w:rsidR="002D7997">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0AA6D" w14:textId="77777777" w:rsidR="00ED4054" w:rsidRDefault="00ED4054">
      <w:pPr>
        <w:spacing w:line="240" w:lineRule="auto"/>
      </w:pPr>
      <w:r>
        <w:separator/>
      </w:r>
    </w:p>
  </w:endnote>
  <w:endnote w:type="continuationSeparator" w:id="0">
    <w:p w14:paraId="692A70FC" w14:textId="77777777" w:rsidR="00ED4054" w:rsidRDefault="00ED40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6ABB7096-0940-4BAB-B56C-942E22E14966}"/>
  </w:font>
  <w:font w:name="Calibri">
    <w:panose1 w:val="020F0502020204030204"/>
    <w:charset w:val="00"/>
    <w:family w:val="swiss"/>
    <w:pitch w:val="variable"/>
    <w:sig w:usb0="E4002EFF" w:usb1="C200247B" w:usb2="00000009" w:usb3="00000000" w:csb0="000001FF" w:csb1="00000000"/>
    <w:embedRegular r:id="rId2" w:fontKey="{DB001AB0-BAD1-4ADC-897D-7B7CE32AC55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040D7" w14:textId="77777777" w:rsidR="002D7997"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6747AF">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6BA60" w14:textId="77777777" w:rsidR="00ED4054" w:rsidRDefault="00ED4054">
      <w:pPr>
        <w:spacing w:line="240" w:lineRule="auto"/>
      </w:pPr>
      <w:r>
        <w:separator/>
      </w:r>
    </w:p>
  </w:footnote>
  <w:footnote w:type="continuationSeparator" w:id="0">
    <w:p w14:paraId="06773323" w14:textId="77777777" w:rsidR="00ED4054" w:rsidRDefault="00ED405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E4B8D"/>
    <w:multiLevelType w:val="multilevel"/>
    <w:tmpl w:val="682498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5F4D10"/>
    <w:multiLevelType w:val="multilevel"/>
    <w:tmpl w:val="486CD8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7AD1C69"/>
    <w:multiLevelType w:val="multilevel"/>
    <w:tmpl w:val="59F6C8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4160FA"/>
    <w:multiLevelType w:val="multilevel"/>
    <w:tmpl w:val="5086B8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24C0739"/>
    <w:multiLevelType w:val="multilevel"/>
    <w:tmpl w:val="11901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83073328">
    <w:abstractNumId w:val="4"/>
  </w:num>
  <w:num w:numId="2" w16cid:durableId="1968857323">
    <w:abstractNumId w:val="0"/>
  </w:num>
  <w:num w:numId="3" w16cid:durableId="999888624">
    <w:abstractNumId w:val="1"/>
  </w:num>
  <w:num w:numId="4" w16cid:durableId="611281281">
    <w:abstractNumId w:val="2"/>
  </w:num>
  <w:num w:numId="5" w16cid:durableId="15642910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997"/>
    <w:rsid w:val="002D7997"/>
    <w:rsid w:val="004C7BAB"/>
    <w:rsid w:val="0052503E"/>
    <w:rsid w:val="006747AF"/>
    <w:rsid w:val="008C1F56"/>
    <w:rsid w:val="00D51421"/>
    <w:rsid w:val="00ED4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78B59"/>
  <w15:docId w15:val="{8287BFC3-6CAC-48E0-B146-F201356EF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table" w:customStyle="1" w:styleId="a4">
    <w:basedOn w:val="TableNormal2"/>
    <w:tblPr>
      <w:tblStyleRowBandSize w:val="1"/>
      <w:tblStyleColBandSize w:val="1"/>
    </w:tblPr>
  </w:style>
  <w:style w:type="paragraph" w:styleId="TOC1">
    <w:name w:val="toc 1"/>
    <w:basedOn w:val="Normal"/>
    <w:next w:val="Normal"/>
    <w:autoRedefine/>
    <w:uiPriority w:val="39"/>
    <w:unhideWhenUsed/>
    <w:rsid w:val="00BD4FD5"/>
    <w:pPr>
      <w:spacing w:after="100"/>
    </w:pPr>
  </w:style>
  <w:style w:type="paragraph" w:styleId="TOC2">
    <w:name w:val="toc 2"/>
    <w:basedOn w:val="Normal"/>
    <w:next w:val="Normal"/>
    <w:autoRedefine/>
    <w:uiPriority w:val="39"/>
    <w:unhideWhenUsed/>
    <w:rsid w:val="00BD4FD5"/>
    <w:pPr>
      <w:spacing w:after="100"/>
      <w:ind w:left="240"/>
    </w:pPr>
  </w:style>
  <w:style w:type="character" w:styleId="Hyperlink">
    <w:name w:val="Hyperlink"/>
    <w:basedOn w:val="DefaultParagraphFont"/>
    <w:uiPriority w:val="99"/>
    <w:unhideWhenUsed/>
    <w:rsid w:val="00BD4FD5"/>
    <w:rPr>
      <w:color w:val="0000FF" w:themeColor="hyperlink"/>
      <w:u w:val="single"/>
    </w:rPr>
  </w:style>
  <w:style w:type="character" w:styleId="UnresolvedMention">
    <w:name w:val="Unresolved Mention"/>
    <w:basedOn w:val="DefaultParagraphFont"/>
    <w:uiPriority w:val="99"/>
    <w:semiHidden/>
    <w:unhideWhenUsed/>
    <w:rsid w:val="00096320"/>
    <w:rPr>
      <w:color w:val="605E5C"/>
      <w:shd w:val="clear" w:color="auto" w:fill="E1DFDD"/>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paragraph" w:styleId="Header">
    <w:name w:val="header"/>
    <w:basedOn w:val="Normal"/>
    <w:link w:val="HeaderChar"/>
    <w:uiPriority w:val="99"/>
    <w:unhideWhenUsed/>
    <w:rsid w:val="006747AF"/>
    <w:pPr>
      <w:tabs>
        <w:tab w:val="center" w:pos="4513"/>
        <w:tab w:val="right" w:pos="9026"/>
      </w:tabs>
      <w:spacing w:line="240" w:lineRule="auto"/>
    </w:pPr>
  </w:style>
  <w:style w:type="character" w:customStyle="1" w:styleId="HeaderChar">
    <w:name w:val="Header Char"/>
    <w:basedOn w:val="DefaultParagraphFont"/>
    <w:link w:val="Header"/>
    <w:uiPriority w:val="99"/>
    <w:rsid w:val="006747AF"/>
  </w:style>
  <w:style w:type="paragraph" w:styleId="Footer">
    <w:name w:val="footer"/>
    <w:basedOn w:val="Normal"/>
    <w:link w:val="FooterChar"/>
    <w:uiPriority w:val="99"/>
    <w:unhideWhenUsed/>
    <w:rsid w:val="006747AF"/>
    <w:pPr>
      <w:tabs>
        <w:tab w:val="center" w:pos="4513"/>
        <w:tab w:val="right" w:pos="9026"/>
      </w:tabs>
      <w:spacing w:line="240" w:lineRule="auto"/>
    </w:pPr>
  </w:style>
  <w:style w:type="character" w:customStyle="1" w:styleId="FooterChar">
    <w:name w:val="Footer Char"/>
    <w:basedOn w:val="DefaultParagraphFont"/>
    <w:link w:val="Footer"/>
    <w:uiPriority w:val="99"/>
    <w:rsid w:val="00674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statistics/293056/astrazeneca-revenue-by-therapeutic-area/?srsltid=AfmBOorHxLE1x2VrcKmqQih44s1Y39jd8AJGvsvGdXRdEFQ66d8y9fX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crotrends.net/stocks/charts/AZN/astrazeneca/gross-prof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strazeneca.com/media-centre/press-releases/2024/astrazeneca-to-deliver-80bn-revenue-by-2030.html" TargetMode="External"/><Relationship Id="rId5" Type="http://schemas.openxmlformats.org/officeDocument/2006/relationships/webSettings" Target="webSettings.xml"/><Relationship Id="rId15" Type="http://schemas.openxmlformats.org/officeDocument/2006/relationships/hyperlink" Target="https://www.juve-patent.com/cases/uk-high-court-revokes-astrazenecas-spc-and-patent-for-diabetes-drug-dapagliflozin/"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ynapse.patsnap.com/article/what-are-the-top-selling-drugs-of-astrazeneca"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GEPbYyNGiXIq/Fi77vU1Pu5p1Q==">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5895</Words>
  <Characters>33606</Characters>
  <Application>Microsoft Office Word</Application>
  <DocSecurity>0</DocSecurity>
  <Lines>280</Lines>
  <Paragraphs>78</Paragraphs>
  <ScaleCrop>false</ScaleCrop>
  <Company/>
  <LinksUpToDate>false</LinksUpToDate>
  <CharactersWithSpaces>39423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Loredana Josan</cp:lastModifiedBy>
  <cp:revision>2</cp:revision>
  <dcterms:created xsi:type="dcterms:W3CDTF">2025-12-15T19:01:00Z</dcterms:created>
  <dcterms:modified xsi:type="dcterms:W3CDTF">2025-12-15T19:01:00Z</dcterms:modified>
</cp:coreProperties>
</file>