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2">
      <w:pPr>
        <w:spacing w:before="24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spacing w:before="240" w:line="360" w:lineRule="auto"/>
        <w:jc w:val="left"/>
        <w:rPr>
          <w:rFonts w:ascii="Arial" w:cs="Arial" w:eastAsia="Arial" w:hAnsi="Arial"/>
          <w:b w:val="1"/>
        </w:rPr>
      </w:pPr>
      <w:r w:rsidDel="00000000" w:rsidR="00000000" w:rsidRPr="00000000">
        <w:rPr>
          <w:rtl w:val="0"/>
        </w:rPr>
      </w:r>
    </w:p>
    <w:p w:rsidR="00000000" w:rsidDel="00000000" w:rsidP="00000000" w:rsidRDefault="00000000" w:rsidRPr="00000000" w14:paraId="00000004">
      <w:pPr>
        <w:spacing w:before="240" w:line="360" w:lineRule="auto"/>
        <w:jc w:val="left"/>
        <w:rPr>
          <w:rFonts w:ascii="Arial" w:cs="Arial" w:eastAsia="Arial" w:hAnsi="Arial"/>
          <w:b w:val="1"/>
        </w:rPr>
      </w:pPr>
      <w:r w:rsidDel="00000000" w:rsidR="00000000" w:rsidRPr="00000000">
        <w:rPr>
          <w:rFonts w:ascii="Arial" w:cs="Arial" w:eastAsia="Arial" w:hAnsi="Arial"/>
          <w:b w:val="1"/>
        </w:rPr>
        <w:drawing>
          <wp:inline distB="114300" distT="114300" distL="114300" distR="114300">
            <wp:extent cx="2857500" cy="28575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857500" cy="2857500"/>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spacing w:before="24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6">
      <w:pPr>
        <w:spacing w:before="240" w:line="360" w:lineRule="auto"/>
        <w:jc w:val="center"/>
        <w:rPr>
          <w:rFonts w:ascii="Arial" w:cs="Arial" w:eastAsia="Arial" w:hAnsi="Arial"/>
          <w:b w:val="1"/>
        </w:rPr>
      </w:pPr>
      <w:r w:rsidDel="00000000" w:rsidR="00000000" w:rsidRPr="00000000">
        <w:rPr>
          <w:rFonts w:ascii="Arial" w:cs="Arial" w:eastAsia="Arial" w:hAnsi="Arial"/>
          <w:b w:val="1"/>
          <w:rtl w:val="0"/>
        </w:rPr>
        <w:t xml:space="preserve">Name:</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Linda Dufie Gyamfi</w:t>
      </w:r>
    </w:p>
    <w:p w:rsidR="00000000" w:rsidDel="00000000" w:rsidP="00000000" w:rsidRDefault="00000000" w:rsidRPr="00000000" w14:paraId="00000007">
      <w:pPr>
        <w:spacing w:before="24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8">
      <w:pPr>
        <w:spacing w:before="240" w:line="360" w:lineRule="auto"/>
        <w:jc w:val="center"/>
        <w:rPr>
          <w:rFonts w:ascii="Arial" w:cs="Arial" w:eastAsia="Arial" w:hAnsi="Arial"/>
          <w:b w:val="1"/>
        </w:rPr>
      </w:pPr>
      <w:r w:rsidDel="00000000" w:rsidR="00000000" w:rsidRPr="00000000">
        <w:rPr>
          <w:rFonts w:ascii="Arial" w:cs="Arial" w:eastAsia="Arial" w:hAnsi="Arial"/>
          <w:b w:val="1"/>
          <w:rtl w:val="0"/>
        </w:rPr>
        <w:t xml:space="preserve">Student Number:</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2009287</w:t>
      </w:r>
    </w:p>
    <w:p w:rsidR="00000000" w:rsidDel="00000000" w:rsidP="00000000" w:rsidRDefault="00000000" w:rsidRPr="00000000" w14:paraId="00000009">
      <w:pPr>
        <w:spacing w:before="24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A">
      <w:pPr>
        <w:spacing w:before="240" w:line="360" w:lineRule="auto"/>
        <w:jc w:val="center"/>
        <w:rPr>
          <w:rFonts w:ascii="Arial" w:cs="Arial" w:eastAsia="Arial" w:hAnsi="Arial"/>
          <w:b w:val="1"/>
        </w:rPr>
      </w:pPr>
      <w:r w:rsidDel="00000000" w:rsidR="00000000" w:rsidRPr="00000000">
        <w:rPr>
          <w:rFonts w:ascii="Arial" w:cs="Arial" w:eastAsia="Arial" w:hAnsi="Arial"/>
          <w:b w:val="1"/>
          <w:rtl w:val="0"/>
        </w:rPr>
        <w:t xml:space="preserve">Lecturer’s Name: Diya Ganguly</w:t>
      </w:r>
    </w:p>
    <w:p w:rsidR="00000000" w:rsidDel="00000000" w:rsidP="00000000" w:rsidRDefault="00000000" w:rsidRPr="00000000" w14:paraId="0000000B">
      <w:pPr>
        <w:spacing w:before="24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C">
      <w:pPr>
        <w:spacing w:before="240" w:line="360" w:lineRule="auto"/>
        <w:jc w:val="center"/>
        <w:rPr>
          <w:rFonts w:ascii="Arial" w:cs="Arial" w:eastAsia="Arial" w:hAnsi="Arial"/>
          <w:b w:val="1"/>
        </w:rPr>
      </w:pPr>
      <w:r w:rsidDel="00000000" w:rsidR="00000000" w:rsidRPr="00000000">
        <w:rPr>
          <w:rFonts w:ascii="Arial" w:cs="Arial" w:eastAsia="Arial" w:hAnsi="Arial"/>
          <w:b w:val="1"/>
          <w:rtl w:val="0"/>
        </w:rPr>
        <w:t xml:space="preserve">Module Code:</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BMHP4003</w:t>
      </w:r>
    </w:p>
    <w:p w:rsidR="00000000" w:rsidDel="00000000" w:rsidP="00000000" w:rsidRDefault="00000000" w:rsidRPr="00000000" w14:paraId="0000000D">
      <w:pPr>
        <w:spacing w:before="24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E">
      <w:pPr>
        <w:spacing w:before="240" w:line="360" w:lineRule="auto"/>
        <w:jc w:val="center"/>
        <w:rPr>
          <w:rFonts w:ascii="Arial" w:cs="Arial" w:eastAsia="Arial" w:hAnsi="Arial"/>
          <w:b w:val="1"/>
        </w:rPr>
      </w:pPr>
      <w:r w:rsidDel="00000000" w:rsidR="00000000" w:rsidRPr="00000000">
        <w:rPr>
          <w:rFonts w:ascii="Arial" w:cs="Arial" w:eastAsia="Arial" w:hAnsi="Arial"/>
          <w:b w:val="1"/>
          <w:rtl w:val="0"/>
        </w:rPr>
        <w:t xml:space="preserve">Module Title:</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Psychology in Health and Social Care</w:t>
      </w:r>
    </w:p>
    <w:p w:rsidR="00000000" w:rsidDel="00000000" w:rsidP="00000000" w:rsidRDefault="00000000" w:rsidRPr="00000000" w14:paraId="0000000F">
      <w:pPr>
        <w:spacing w:before="24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0">
      <w:pPr>
        <w:spacing w:before="240" w:line="360" w:lineRule="auto"/>
        <w:jc w:val="center"/>
        <w:rPr>
          <w:rFonts w:ascii="Arial" w:cs="Arial" w:eastAsia="Arial" w:hAnsi="Arial"/>
          <w:b w:val="1"/>
        </w:rPr>
      </w:pPr>
      <w:r w:rsidDel="00000000" w:rsidR="00000000" w:rsidRPr="00000000">
        <w:rPr>
          <w:rFonts w:ascii="Arial" w:cs="Arial" w:eastAsia="Arial" w:hAnsi="Arial"/>
          <w:b w:val="1"/>
          <w:rtl w:val="0"/>
        </w:rPr>
        <w:t xml:space="preserve">Assignment Title:</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Component 2</w:t>
      </w:r>
    </w:p>
    <w:p w:rsidR="00000000" w:rsidDel="00000000" w:rsidP="00000000" w:rsidRDefault="00000000" w:rsidRPr="00000000" w14:paraId="00000011">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2">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3">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4">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5">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6">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7">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8">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9">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A">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B">
      <w:pPr>
        <w:spacing w:before="240" w:line="360" w:lineRule="auto"/>
        <w:rPr>
          <w:rFonts w:ascii="Arial" w:cs="Arial" w:eastAsia="Arial" w:hAnsi="Arial"/>
          <w:b w:val="1"/>
        </w:rPr>
      </w:pPr>
      <w:r w:rsidDel="00000000" w:rsidR="00000000" w:rsidRPr="00000000">
        <w:rPr>
          <w:rFonts w:ascii="Arial" w:cs="Arial" w:eastAsia="Arial" w:hAnsi="Arial"/>
          <w:b w:val="1"/>
          <w:rtl w:val="0"/>
        </w:rPr>
        <w:t xml:space="preserve">Table of Contents</w:t>
        <w:tab/>
        <w:tab/>
        <w:tab/>
        <w:tab/>
        <w:tab/>
        <w:tab/>
        <w:tab/>
        <w:tab/>
        <w:tab/>
        <w:tab/>
        <w:t xml:space="preserve">Page</w:t>
      </w:r>
    </w:p>
    <w:p w:rsidR="00000000" w:rsidDel="00000000" w:rsidP="00000000" w:rsidRDefault="00000000" w:rsidRPr="00000000" w14:paraId="0000001C">
      <w:pPr>
        <w:tabs>
          <w:tab w:val="left" w:pos="8780"/>
          <w:tab w:val="right" w:pos="9360"/>
        </w:tabs>
        <w:spacing w:before="240" w:line="360" w:lineRule="auto"/>
        <w:rPr>
          <w:rFonts w:ascii="Arial" w:cs="Arial" w:eastAsia="Arial" w:hAnsi="Arial"/>
          <w:b w:val="1"/>
        </w:rPr>
      </w:pPr>
      <w:r w:rsidDel="00000000" w:rsidR="00000000" w:rsidRPr="00000000">
        <w:rPr>
          <w:rFonts w:ascii="Arial" w:cs="Arial" w:eastAsia="Arial" w:hAnsi="Arial"/>
          <w:b w:val="1"/>
          <w:rtl w:val="0"/>
        </w:rPr>
        <w:t xml:space="preserve">Introduction</w:t>
        <w:tab/>
        <w:t xml:space="preserve">3</w:t>
        <w:tab/>
      </w:r>
    </w:p>
    <w:p w:rsidR="00000000" w:rsidDel="00000000" w:rsidP="00000000" w:rsidRDefault="00000000" w:rsidRPr="00000000" w14:paraId="0000001D">
      <w:pPr>
        <w:spacing w:before="240" w:line="360" w:lineRule="auto"/>
        <w:rPr>
          <w:rFonts w:ascii="Arial" w:cs="Arial" w:eastAsia="Arial" w:hAnsi="Arial"/>
          <w:b w:val="1"/>
        </w:rPr>
      </w:pPr>
      <w:r w:rsidDel="00000000" w:rsidR="00000000" w:rsidRPr="00000000">
        <w:rPr>
          <w:rFonts w:ascii="Arial" w:cs="Arial" w:eastAsia="Arial" w:hAnsi="Arial"/>
          <w:b w:val="1"/>
          <w:rtl w:val="0"/>
        </w:rPr>
        <w:t xml:space="preserve">Psychosexual Development Theory</w:t>
        <w:tab/>
        <w:tab/>
        <w:tab/>
        <w:tab/>
        <w:tab/>
        <w:tab/>
        <w:tab/>
        <w:t xml:space="preserve">   3</w:t>
      </w:r>
    </w:p>
    <w:p w:rsidR="00000000" w:rsidDel="00000000" w:rsidP="00000000" w:rsidRDefault="00000000" w:rsidRPr="00000000" w14:paraId="0000001E">
      <w:pPr>
        <w:spacing w:before="240" w:line="360" w:lineRule="auto"/>
        <w:rPr>
          <w:rFonts w:ascii="Arial" w:cs="Arial" w:eastAsia="Arial" w:hAnsi="Arial"/>
          <w:b w:val="1"/>
        </w:rPr>
      </w:pPr>
      <w:r w:rsidDel="00000000" w:rsidR="00000000" w:rsidRPr="00000000">
        <w:rPr>
          <w:rFonts w:ascii="Arial" w:cs="Arial" w:eastAsia="Arial" w:hAnsi="Arial"/>
          <w:b w:val="1"/>
          <w:rtl w:val="0"/>
        </w:rPr>
        <w:t xml:space="preserve">Role of Health Care Practitioners </w:t>
        <w:tab/>
        <w:tab/>
        <w:tab/>
        <w:tab/>
        <w:tab/>
        <w:tab/>
        <w:tab/>
        <w:tab/>
        <w:t xml:space="preserve">   5</w:t>
      </w:r>
    </w:p>
    <w:p w:rsidR="00000000" w:rsidDel="00000000" w:rsidP="00000000" w:rsidRDefault="00000000" w:rsidRPr="00000000" w14:paraId="0000001F">
      <w:pPr>
        <w:spacing w:before="240" w:line="360" w:lineRule="auto"/>
        <w:rPr>
          <w:rFonts w:ascii="Arial" w:cs="Arial" w:eastAsia="Arial" w:hAnsi="Arial"/>
          <w:b w:val="1"/>
        </w:rPr>
      </w:pPr>
      <w:r w:rsidDel="00000000" w:rsidR="00000000" w:rsidRPr="00000000">
        <w:rPr>
          <w:rFonts w:ascii="Arial" w:cs="Arial" w:eastAsia="Arial" w:hAnsi="Arial"/>
          <w:b w:val="1"/>
          <w:rtl w:val="0"/>
        </w:rPr>
        <w:t xml:space="preserve">Reflection</w:t>
        <w:tab/>
        <w:tab/>
        <w:tab/>
        <w:tab/>
        <w:tab/>
        <w:tab/>
        <w:tab/>
        <w:tab/>
        <w:tab/>
        <w:tab/>
        <w:tab/>
        <w:t xml:space="preserve">    6</w:t>
      </w:r>
    </w:p>
    <w:p w:rsidR="00000000" w:rsidDel="00000000" w:rsidP="00000000" w:rsidRDefault="00000000" w:rsidRPr="00000000" w14:paraId="00000020">
      <w:pPr>
        <w:spacing w:before="240" w:line="360" w:lineRule="auto"/>
        <w:rPr>
          <w:rFonts w:ascii="Arial" w:cs="Arial" w:eastAsia="Arial" w:hAnsi="Arial"/>
          <w:b w:val="1"/>
        </w:rPr>
      </w:pPr>
      <w:r w:rsidDel="00000000" w:rsidR="00000000" w:rsidRPr="00000000">
        <w:rPr>
          <w:rFonts w:ascii="Arial" w:cs="Arial" w:eastAsia="Arial" w:hAnsi="Arial"/>
          <w:b w:val="1"/>
          <w:rtl w:val="0"/>
        </w:rPr>
        <w:t xml:space="preserve">Conclusion </w:t>
        <w:tab/>
        <w:tab/>
        <w:tab/>
        <w:tab/>
        <w:tab/>
        <w:tab/>
        <w:tab/>
        <w:tab/>
        <w:tab/>
        <w:tab/>
        <w:tab/>
        <w:t xml:space="preserve">    6</w:t>
      </w:r>
    </w:p>
    <w:p w:rsidR="00000000" w:rsidDel="00000000" w:rsidP="00000000" w:rsidRDefault="00000000" w:rsidRPr="00000000" w14:paraId="00000021">
      <w:pPr>
        <w:tabs>
          <w:tab w:val="left" w:pos="8770"/>
          <w:tab w:val="right" w:pos="9360"/>
        </w:tabs>
        <w:spacing w:before="240" w:line="360" w:lineRule="auto"/>
        <w:rPr>
          <w:rFonts w:ascii="Arial" w:cs="Arial" w:eastAsia="Arial" w:hAnsi="Arial"/>
          <w:b w:val="1"/>
        </w:rPr>
      </w:pPr>
      <w:r w:rsidDel="00000000" w:rsidR="00000000" w:rsidRPr="00000000">
        <w:rPr>
          <w:rFonts w:ascii="Arial" w:cs="Arial" w:eastAsia="Arial" w:hAnsi="Arial"/>
          <w:b w:val="1"/>
          <w:rtl w:val="0"/>
        </w:rPr>
        <w:t xml:space="preserve">References</w:t>
        <w:tab/>
        <w:t xml:space="preserve"> 7</w:t>
      </w:r>
    </w:p>
    <w:p w:rsidR="00000000" w:rsidDel="00000000" w:rsidP="00000000" w:rsidRDefault="00000000" w:rsidRPr="00000000" w14:paraId="00000022">
      <w:pPr>
        <w:rPr>
          <w:rFonts w:ascii="Arial" w:cs="Arial" w:eastAsia="Arial" w:hAnsi="Arial"/>
        </w:rPr>
      </w:pPr>
      <w:r w:rsidDel="00000000" w:rsidR="00000000" w:rsidRPr="00000000">
        <w:rPr>
          <w:rtl w:val="0"/>
        </w:rPr>
      </w:r>
    </w:p>
    <w:p w:rsidR="00000000" w:rsidDel="00000000" w:rsidP="00000000" w:rsidRDefault="00000000" w:rsidRPr="00000000" w14:paraId="00000023">
      <w:pPr>
        <w:rPr>
          <w:rFonts w:ascii="Arial" w:cs="Arial" w:eastAsia="Arial" w:hAnsi="Arial"/>
        </w:rPr>
      </w:pPr>
      <w:r w:rsidDel="00000000" w:rsidR="00000000" w:rsidRPr="00000000">
        <w:rPr>
          <w:rtl w:val="0"/>
        </w:rPr>
      </w:r>
    </w:p>
    <w:p w:rsidR="00000000" w:rsidDel="00000000" w:rsidP="00000000" w:rsidRDefault="00000000" w:rsidRPr="00000000" w14:paraId="00000024">
      <w:pPr>
        <w:rPr>
          <w:rFonts w:ascii="Arial" w:cs="Arial" w:eastAsia="Arial" w:hAnsi="Arial"/>
        </w:rPr>
      </w:pPr>
      <w:r w:rsidDel="00000000" w:rsidR="00000000" w:rsidRPr="00000000">
        <w:rPr>
          <w:rtl w:val="0"/>
        </w:rPr>
      </w:r>
    </w:p>
    <w:p w:rsidR="00000000" w:rsidDel="00000000" w:rsidP="00000000" w:rsidRDefault="00000000" w:rsidRPr="00000000" w14:paraId="00000025">
      <w:pPr>
        <w:rPr>
          <w:rFonts w:ascii="Arial" w:cs="Arial" w:eastAsia="Arial" w:hAnsi="Arial"/>
        </w:rPr>
      </w:pPr>
      <w:r w:rsidDel="00000000" w:rsidR="00000000" w:rsidRPr="00000000">
        <w:rPr>
          <w:rtl w:val="0"/>
        </w:rPr>
      </w:r>
    </w:p>
    <w:p w:rsidR="00000000" w:rsidDel="00000000" w:rsidP="00000000" w:rsidRDefault="00000000" w:rsidRPr="00000000" w14:paraId="00000026">
      <w:pPr>
        <w:rPr>
          <w:rFonts w:ascii="Arial" w:cs="Arial" w:eastAsia="Arial" w:hAnsi="Arial"/>
        </w:rPr>
      </w:pPr>
      <w:r w:rsidDel="00000000" w:rsidR="00000000" w:rsidRPr="00000000">
        <w:rPr>
          <w:rtl w:val="0"/>
        </w:rPr>
      </w:r>
    </w:p>
    <w:p w:rsidR="00000000" w:rsidDel="00000000" w:rsidP="00000000" w:rsidRDefault="00000000" w:rsidRPr="00000000" w14:paraId="00000027">
      <w:pPr>
        <w:rPr>
          <w:rFonts w:ascii="Arial" w:cs="Arial" w:eastAsia="Arial" w:hAnsi="Arial"/>
        </w:rPr>
      </w:pPr>
      <w:r w:rsidDel="00000000" w:rsidR="00000000" w:rsidRPr="00000000">
        <w:rPr>
          <w:rtl w:val="0"/>
        </w:rPr>
      </w:r>
    </w:p>
    <w:p w:rsidR="00000000" w:rsidDel="00000000" w:rsidP="00000000" w:rsidRDefault="00000000" w:rsidRPr="00000000" w14:paraId="00000028">
      <w:pPr>
        <w:tabs>
          <w:tab w:val="left" w:pos="1240"/>
        </w:tabs>
        <w:rPr>
          <w:rFonts w:ascii="Arial" w:cs="Arial" w:eastAsia="Arial" w:hAnsi="Arial"/>
        </w:rPr>
      </w:pPr>
      <w:r w:rsidDel="00000000" w:rsidR="00000000" w:rsidRPr="00000000">
        <w:rPr>
          <w:rFonts w:ascii="Arial" w:cs="Arial" w:eastAsia="Arial" w:hAnsi="Arial"/>
          <w:rtl w:val="0"/>
        </w:rPr>
        <w:tab/>
      </w:r>
    </w:p>
    <w:p w:rsidR="00000000" w:rsidDel="00000000" w:rsidP="00000000" w:rsidRDefault="00000000" w:rsidRPr="00000000" w14:paraId="00000029">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2A">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2B">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2C">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2D">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2E">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2F">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30">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31">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32">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33">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34">
      <w:pPr>
        <w:tabs>
          <w:tab w:val="left" w:pos="1240"/>
        </w:tabs>
        <w:rPr>
          <w:rFonts w:ascii="Arial" w:cs="Arial" w:eastAsia="Arial" w:hAnsi="Arial"/>
        </w:rPr>
      </w:pPr>
      <w:r w:rsidDel="00000000" w:rsidR="00000000" w:rsidRPr="00000000">
        <w:rPr>
          <w:rtl w:val="0"/>
        </w:rPr>
      </w:r>
    </w:p>
    <w:p w:rsidR="00000000" w:rsidDel="00000000" w:rsidP="00000000" w:rsidRDefault="00000000" w:rsidRPr="00000000" w14:paraId="00000035">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36">
      <w:pPr>
        <w:spacing w:before="240" w:line="360" w:lineRule="auto"/>
        <w:rPr>
          <w:rFonts w:ascii="Arial" w:cs="Arial" w:eastAsia="Arial" w:hAnsi="Arial"/>
          <w:b w:val="1"/>
        </w:rPr>
      </w:pPr>
      <w:r w:rsidDel="00000000" w:rsidR="00000000" w:rsidRPr="00000000">
        <w:rPr>
          <w:rFonts w:ascii="Arial" w:cs="Arial" w:eastAsia="Arial" w:hAnsi="Arial"/>
          <w:b w:val="1"/>
          <w:rtl w:val="0"/>
        </w:rPr>
        <w:t xml:space="preserve">Introduction</w:t>
      </w:r>
    </w:p>
    <w:p w:rsidR="00000000" w:rsidDel="00000000" w:rsidP="00000000" w:rsidRDefault="00000000" w:rsidRPr="00000000" w14:paraId="00000037">
      <w:pPr>
        <w:spacing w:before="240" w:line="360" w:lineRule="auto"/>
        <w:jc w:val="both"/>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This assignment discusses Psychosexual Development Theory and examines the role of a health care professional applying psychological perspectives as a responsible care practitioner. It also looks into how health care practitioner relates Psychosexual Development Theory to health and social care practice.</w:t>
      </w:r>
    </w:p>
    <w:p w:rsidR="00000000" w:rsidDel="00000000" w:rsidP="00000000" w:rsidRDefault="00000000" w:rsidRPr="00000000" w14:paraId="00000038">
      <w:pPr>
        <w:spacing w:before="240" w:line="360" w:lineRule="auto"/>
        <w:jc w:val="both"/>
        <w:rPr>
          <w:rFonts w:ascii="Arial" w:cs="Arial" w:eastAsia="Arial" w:hAnsi="Arial"/>
          <w:b w:val="1"/>
        </w:rPr>
      </w:pPr>
      <w:r w:rsidDel="00000000" w:rsidR="00000000" w:rsidRPr="00000000">
        <w:rPr>
          <w:rFonts w:ascii="Arial" w:cs="Arial" w:eastAsia="Arial" w:hAnsi="Arial"/>
          <w:b w:val="1"/>
          <w:rtl w:val="0"/>
        </w:rPr>
        <w:t xml:space="preserve">Psychosexual Development Theory </w:t>
      </w:r>
    </w:p>
    <w:p w:rsidR="00000000" w:rsidDel="00000000" w:rsidP="00000000" w:rsidRDefault="00000000" w:rsidRPr="00000000" w14:paraId="00000039">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The Psychosexual Development Theory was propounded by Sigmund Freud (1856-1939), an Austrian neurologist in 1905. The Psychosexual Development Theory was among the first theories that brought psychology in line with medicine's methodology and scientific structure. Sigmund Freud defined normative human sexual development under the theory of psychosexual development. The approach organised the psychosexual maturation of childhood into five distinct phases. These five-fixed psychosexual stages are oral, anal, phallic, latency, and genital. Each of these stages symbolises the concentration of libido in several regions of the body (Sarah and Sagarika 2021). Every child will need to progress consecutively from oral to anal to phallic to latency and genital in the psychosexual developmental stages to mature into a fully active adult. If any of these states fail or cannot be appropriately discharged, the childhood development will be left wanting and unsatisfied, which is identified by Sigmund Freud as fixation. Therefore, this fixation will lead to anxiety at any stage (Sauerteig, 2012).</w:t>
      </w:r>
    </w:p>
    <w:p w:rsidR="00000000" w:rsidDel="00000000" w:rsidP="00000000" w:rsidRDefault="00000000" w:rsidRPr="00000000" w14:paraId="0000003A">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The central tenet of Psychosexual Development Theory centres on the causal relationship between subsequent precipitant psychoneurosis and sexual conflict. This causal effect has stirred up controversy; those against Sigmund Freud argued that neuroses could develop independently without psychosexual impetus (Kupfersmid, 2019). Friedman and Downey (1995) also criticised Freud theory of Psychosexual Development by exploring the likelihood that the Oedipal Complex (play behaviour) is just mistaken evolutionary-based, which manifests via competition. Despite these critics, Psychosexual Development Theory remains relevant in this contemporary mental health and social care. </w:t>
      </w:r>
    </w:p>
    <w:p w:rsidR="00000000" w:rsidDel="00000000" w:rsidP="00000000" w:rsidRDefault="00000000" w:rsidRPr="00000000" w14:paraId="0000003B">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Each oral, anal, phallic, latency and genital stage is connected with corresponding ages, erogenous part of the body, and clinical consequence of fixation. Varieties of locations are presented below:</w:t>
      </w:r>
    </w:p>
    <w:p w:rsidR="00000000" w:rsidDel="00000000" w:rsidP="00000000" w:rsidRDefault="00000000" w:rsidRPr="00000000" w14:paraId="0000003C">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The first stage: This stage in childhood personality development centres on the oral or mouth within the age range of 0 to 1 year. The main pleasure of the newborn baby is on the baby’s oral (mouth). At this first stage, the child derives much satisfaction from his oral needs by putting all sorts of things in the mouth. The peak of gratification at this stage is usually by sucking his mother’s breasts. Oral stimulation, according to Freud, could lead to oral fixation, which could lead to smoking, nail-biting, finger-chewing, and thumbing in later life.</w:t>
      </w:r>
    </w:p>
    <w:p w:rsidR="00000000" w:rsidDel="00000000" w:rsidP="00000000" w:rsidRDefault="00000000" w:rsidRPr="00000000" w14:paraId="0000003D">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The second stage: This stage in childhood personality development centres on the anus, bowel, and bladder of the child within the age range of 1 to 3 years. The main pleasure of the newborn baby is now from defecating. At this second stage, toilet training becomes a sensitive task. The baby pleasure will now shift from the oral to the anal area. Therefore, the babyfaces will increase his chances to feel inadequate, be reprimanded, and perceive negative evaluation from his parents or caretakers if they fail to perform appropriately. The baby may be stubborn and tight-fisted with their cash and possessions. This depends on the kind of treatment gotten at this stage.</w:t>
      </w:r>
    </w:p>
    <w:p w:rsidR="00000000" w:rsidDel="00000000" w:rsidP="00000000" w:rsidRDefault="00000000" w:rsidRPr="00000000" w14:paraId="0000003E">
      <w:pPr>
        <w:spacing w:before="240" w:line="360" w:lineRule="auto"/>
        <w:jc w:val="both"/>
        <w:rPr>
          <w:rFonts w:ascii="Arial" w:cs="Arial" w:eastAsia="Arial" w:hAnsi="Arial"/>
          <w:b w:val="1"/>
        </w:rPr>
      </w:pPr>
      <w:r w:rsidDel="00000000" w:rsidR="00000000" w:rsidRPr="00000000">
        <w:rPr>
          <w:rFonts w:ascii="Arial" w:cs="Arial" w:eastAsia="Arial" w:hAnsi="Arial"/>
          <w:rtl w:val="0"/>
        </w:rPr>
        <w:t xml:space="preserve">The third stage in childhood personality development focuses on the phallic or genitalia of a child within the age range of 3 to 6 years. The main pleasure of the child is on his genitalia. At this third stage, the child experiences primitive sexual development and establishes the roots of fixation with the opposite sex, mostly his parent, the Oedipus complex. This stage has received the most controversial the psychosexual development theory.</w:t>
      </w:r>
      <w:r w:rsidDel="00000000" w:rsidR="00000000" w:rsidRPr="00000000">
        <w:rPr>
          <w:rtl w:val="0"/>
        </w:rPr>
      </w:r>
    </w:p>
    <w:p w:rsidR="00000000" w:rsidDel="00000000" w:rsidP="00000000" w:rsidRDefault="00000000" w:rsidRPr="00000000" w14:paraId="0000003F">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The fourth stage in childhood personality development revolves around latency, dormant sexual feelings of a child within the age range of 6 to 12 years. The child's primary focus is on his libido, which is relatively repressed or sublimated. At this fourth stage, the child experiences impulse through an indirect focus on activities, sports, school, and establishing relationships—this stage witnesses dysfunction in the child's inability to form strong relationships as an adult. There is no erogenous zone at this stage.</w:t>
      </w:r>
    </w:p>
    <w:p w:rsidR="00000000" w:rsidDel="00000000" w:rsidP="00000000" w:rsidRDefault="00000000" w:rsidRPr="00000000" w14:paraId="00000040">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The fifth and last stage: this stage in childhood personality development revolves around genital or mature sexual feelings within the age range of 13 to 18 years. The child's primary focus is on his ego, which will become fully developed at this stage, and will subsequently seek his independence. At this last stage of psychosexual development theory, the child concretes on the ability to create meaningful and long-lasting relationships with his healthy and consensual sexual desire. This stage sees the young adult witnessing dysfunction as he cannot develop meaningful relationships (Kupfersmid, 2019).</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ffffff" w:val="clear"/>
        <w:spacing w:after="166" w:before="166"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theory will not be complete without addressing the structural theory of mind on three psychic structures: the id, ego, and superego—the id centres on the psyche, which is driven by sex and aggression. The child’s behaviour is driven purely by this id. As the child develops, the id grows to the ego, which is the decision-making; it operates in absolute principle by seeking satisfaction through practical strategies (Boag, 2014; De Sousa, 2011). The superego comprises morals and values of the child’s society which delves into pathologic behaviour and sources of anxiety (Żechowski, 2017). The Psychosexual Development Theory is among Freud's theories that are the basis for psychoanalysis and subsequent derivatives that make up contemporary psychotherapy (Żechowski, 2017; Messias, 2014; Ravitz, 2017).</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ffffff" w:val="clear"/>
        <w:spacing w:after="166" w:before="166" w:line="36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bookmarkStart w:colFirst="0" w:colLast="0" w:name="_heading=h.30j0zll" w:id="1"/>
      <w:bookmarkEnd w:id="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Role of Health Care Practitioners</w:t>
      </w:r>
    </w:p>
    <w:p w:rsidR="00000000" w:rsidDel="00000000" w:rsidP="00000000" w:rsidRDefault="00000000" w:rsidRPr="00000000" w14:paraId="00000043">
      <w:pPr>
        <w:spacing w:before="240" w:line="360" w:lineRule="auto"/>
        <w:jc w:val="both"/>
        <w:rPr>
          <w:rFonts w:ascii="Arial" w:cs="Arial" w:eastAsia="Arial" w:hAnsi="Arial"/>
          <w:highlight w:val="white"/>
        </w:rPr>
      </w:pPr>
      <w:r w:rsidDel="00000000" w:rsidR="00000000" w:rsidRPr="00000000">
        <w:rPr>
          <w:rFonts w:ascii="Arial" w:cs="Arial" w:eastAsia="Arial" w:hAnsi="Arial"/>
          <w:rtl w:val="0"/>
        </w:rPr>
        <w:t xml:space="preserve">The roles of any health care practitioner vary and depend on discipline. A nurse's duty depends on practice settings, functions, number of populations being served, and speciality area of the healthcare practice in which nurses are employed. Nurses are prepared to assess patients' health, educate children, patients and families, and provide clinical treatment. The roles of health care practitioners cut across </w:t>
      </w:r>
      <w:r w:rsidDel="00000000" w:rsidR="00000000" w:rsidRPr="00000000">
        <w:rPr>
          <w:rFonts w:ascii="Arial" w:cs="Arial" w:eastAsia="Arial" w:hAnsi="Arial"/>
          <w:highlight w:val="white"/>
          <w:rtl w:val="0"/>
        </w:rPr>
        <w:t xml:space="preserve">health coaching, care coordination, social support, resource linking, health assessment, case management, remote care, medication management, follow-up, health education, administration, and literacy support. The roles can be succinctly considered clinical services, community resource connections, and health education and coaching (</w:t>
      </w:r>
      <w:r w:rsidDel="00000000" w:rsidR="00000000" w:rsidRPr="00000000">
        <w:rPr>
          <w:rFonts w:ascii="Arial" w:cs="Arial" w:eastAsia="Arial" w:hAnsi="Arial"/>
          <w:rtl w:val="0"/>
        </w:rPr>
        <w:t xml:space="preserve">Andrea, Leah, Clarissa and Edward, 2018)</w:t>
      </w:r>
      <w:r w:rsidDel="00000000" w:rsidR="00000000" w:rsidRPr="00000000">
        <w:rPr>
          <w:rFonts w:ascii="Arial" w:cs="Arial" w:eastAsia="Arial" w:hAnsi="Arial"/>
          <w:highlight w:val="white"/>
          <w:rtl w:val="0"/>
        </w:rPr>
        <w:t xml:space="preserve">. </w:t>
      </w:r>
    </w:p>
    <w:p w:rsidR="00000000" w:rsidDel="00000000" w:rsidP="00000000" w:rsidRDefault="00000000" w:rsidRPr="00000000" w14:paraId="00000044">
      <w:pPr>
        <w:spacing w:before="240" w:line="360" w:lineRule="auto"/>
        <w:jc w:val="both"/>
        <w:rPr>
          <w:rFonts w:ascii="Arial" w:cs="Arial" w:eastAsia="Arial" w:hAnsi="Arial"/>
        </w:rPr>
      </w:pPr>
      <w:r w:rsidDel="00000000" w:rsidR="00000000" w:rsidRPr="00000000">
        <w:rPr>
          <w:rFonts w:ascii="Arial" w:cs="Arial" w:eastAsia="Arial" w:hAnsi="Arial"/>
          <w:highlight w:val="white"/>
          <w:rtl w:val="0"/>
        </w:rPr>
        <w:t xml:space="preserve">For any health care practitioner in either</w:t>
      </w:r>
      <w:r w:rsidDel="00000000" w:rsidR="00000000" w:rsidRPr="00000000">
        <w:rPr>
          <w:rFonts w:ascii="Arial" w:cs="Arial" w:eastAsia="Arial" w:hAnsi="Arial"/>
          <w:rtl w:val="0"/>
        </w:rPr>
        <w:t xml:space="preserve"> health or social care settings to be influential on the health and wellbeing of patients, the knowledge of theory cannot be ignored. The role of health care or social care professionals will not be influential without applying the psychosexual development theory. A healthcare or social care practitioner with the theoretical knowledge of psychosexual development theory will perform excellently well on</w:t>
      </w:r>
      <w:r w:rsidDel="00000000" w:rsidR="00000000" w:rsidRPr="00000000">
        <w:rPr>
          <w:rFonts w:ascii="Arial" w:cs="Arial" w:eastAsia="Arial" w:hAnsi="Arial"/>
          <w:highlight w:val="white"/>
          <w:rtl w:val="0"/>
        </w:rPr>
        <w:t xml:space="preserve"> health education, coaching, clinical services, and community resource connections.</w:t>
      </w:r>
      <w:r w:rsidDel="00000000" w:rsidR="00000000" w:rsidRPr="00000000">
        <w:rPr>
          <w:rFonts w:ascii="Arial" w:cs="Arial" w:eastAsia="Arial" w:hAnsi="Arial"/>
          <w:rtl w:val="0"/>
        </w:rPr>
        <w:t xml:space="preserve"> A health care or social care practitioner who has not understood oral, anal, phallic, latency, and genital of the five-fixed psychosexual stages will find it difficult to comprehend some strange characteristics that a child will exhibit at different stages of his development.</w:t>
      </w:r>
    </w:p>
    <w:p w:rsidR="00000000" w:rsidDel="00000000" w:rsidP="00000000" w:rsidRDefault="00000000" w:rsidRPr="00000000" w14:paraId="00000045">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Maes, Van den Noortgate, Fustolo-Gunnink, Rassart, Luyckx and Goossens (2017) and Pinquart, M.  (2017) found out that stigma, isolation, inequality, bullying and doubts concerning the physical and intellectual capacities of every child are daily realities of his chronic illness. This finding shows that health care practitioners with theoretical knowledge will grasp these chronic diseases of every child. Lum, Wakefield, Donnan, Burns, Fardell and Marshall (2017) also found that students with chronic illness establish different school experiences, often worse than students without a chronic disease. This finding again reveals that health care practitioners with theoretical knowledge will do well with this kind of children by applying the psychosexual development theory.</w:t>
      </w:r>
    </w:p>
    <w:p w:rsidR="00000000" w:rsidDel="00000000" w:rsidP="00000000" w:rsidRDefault="00000000" w:rsidRPr="00000000" w14:paraId="00000046">
      <w:pPr>
        <w:spacing w:before="240" w:line="360" w:lineRule="auto"/>
        <w:jc w:val="both"/>
        <w:rPr>
          <w:rFonts w:ascii="Arial" w:cs="Arial" w:eastAsia="Arial" w:hAnsi="Arial"/>
          <w:b w:val="1"/>
        </w:rPr>
      </w:pPr>
      <w:r w:rsidDel="00000000" w:rsidR="00000000" w:rsidRPr="00000000">
        <w:rPr>
          <w:rFonts w:ascii="Arial" w:cs="Arial" w:eastAsia="Arial" w:hAnsi="Arial"/>
          <w:b w:val="1"/>
          <w:rtl w:val="0"/>
        </w:rPr>
        <w:t xml:space="preserve">Reflection </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ffffff" w:val="clear"/>
        <w:spacing w:after="166" w:before="166"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relationship between the different developmental stages in psychosexual development theory and the practice of health and social care is on knowledge-based professionalism. As propounded by Sigmund Freud in his psychosexual development theory, health and social care practitioners who know different stages of development will exhibit their duties more professionally than his counterpart who lacks this knowledge. Evans, Pereira and Parker (2008) discussed how patient care could be influenced by understanding psychosexual development theory. The researchers submitted that the handover acts as a ritual through which nurses can manage anxieties and continue caring for patients.</w:t>
      </w:r>
    </w:p>
    <w:p w:rsidR="00000000" w:rsidDel="00000000" w:rsidP="00000000" w:rsidRDefault="00000000" w:rsidRPr="00000000" w14:paraId="00000048">
      <w:pPr>
        <w:spacing w:before="240" w:line="360" w:lineRule="auto"/>
        <w:jc w:val="both"/>
        <w:rPr>
          <w:rFonts w:ascii="Arial" w:cs="Arial" w:eastAsia="Arial" w:hAnsi="Arial"/>
          <w:b w:val="1"/>
        </w:rPr>
      </w:pPr>
      <w:r w:rsidDel="00000000" w:rsidR="00000000" w:rsidRPr="00000000">
        <w:rPr>
          <w:rFonts w:ascii="Arial" w:cs="Arial" w:eastAsia="Arial" w:hAnsi="Arial"/>
          <w:b w:val="1"/>
          <w:rtl w:val="0"/>
        </w:rPr>
        <w:t xml:space="preserve">Conclusion </w:t>
      </w:r>
    </w:p>
    <w:p w:rsidR="00000000" w:rsidDel="00000000" w:rsidP="00000000" w:rsidRDefault="00000000" w:rsidRPr="00000000" w14:paraId="00000049">
      <w:pPr>
        <w:spacing w:before="240" w:line="360" w:lineRule="auto"/>
        <w:rPr>
          <w:rFonts w:ascii="Arial" w:cs="Arial" w:eastAsia="Arial" w:hAnsi="Arial"/>
          <w:b w:val="1"/>
        </w:rPr>
      </w:pPr>
      <w:r w:rsidDel="00000000" w:rsidR="00000000" w:rsidRPr="00000000">
        <w:rPr>
          <w:rFonts w:ascii="Arial" w:cs="Arial" w:eastAsia="Arial" w:hAnsi="Arial"/>
          <w:rtl w:val="0"/>
        </w:rPr>
        <w:t xml:space="preserve">This assignment has successfully discussed Psychosexual Development Theory and looked into the role of a health care practitioner with psychological perspectives as responsible care professional. This assignment has also examined how healthcare professionals relate psychological perspectives to health and social care practice.</w:t>
      </w:r>
      <w:r w:rsidDel="00000000" w:rsidR="00000000" w:rsidRPr="00000000">
        <w:rPr>
          <w:rtl w:val="0"/>
        </w:rPr>
      </w:r>
    </w:p>
    <w:p w:rsidR="00000000" w:rsidDel="00000000" w:rsidP="00000000" w:rsidRDefault="00000000" w:rsidRPr="00000000" w14:paraId="0000004A">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4B">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4C">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4D">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4E">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4F">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0">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1">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2">
      <w:pPr>
        <w:tabs>
          <w:tab w:val="left" w:pos="2210"/>
        </w:tabs>
        <w:spacing w:before="240" w:line="360" w:lineRule="auto"/>
        <w:rPr>
          <w:rFonts w:ascii="Arial" w:cs="Arial" w:eastAsia="Arial" w:hAnsi="Arial"/>
          <w:b w:val="1"/>
        </w:rPr>
      </w:pPr>
      <w:r w:rsidDel="00000000" w:rsidR="00000000" w:rsidRPr="00000000">
        <w:rPr>
          <w:rFonts w:ascii="Arial" w:cs="Arial" w:eastAsia="Arial" w:hAnsi="Arial"/>
          <w:b w:val="1"/>
          <w:rtl w:val="0"/>
        </w:rPr>
        <w:t xml:space="preserve">References</w:t>
        <w:tab/>
      </w:r>
    </w:p>
    <w:p w:rsidR="00000000" w:rsidDel="00000000" w:rsidP="00000000" w:rsidRDefault="00000000" w:rsidRPr="00000000" w14:paraId="00000053">
      <w:pPr>
        <w:spacing w:before="240" w:line="360" w:lineRule="auto"/>
        <w:ind w:left="720" w:hanging="720"/>
        <w:jc w:val="both"/>
        <w:rPr>
          <w:rFonts w:ascii="Arial" w:cs="Arial" w:eastAsia="Arial" w:hAnsi="Arial"/>
        </w:rPr>
      </w:pPr>
      <w:r w:rsidDel="00000000" w:rsidR="00000000" w:rsidRPr="00000000">
        <w:rPr>
          <w:rFonts w:ascii="Arial" w:cs="Arial" w:eastAsia="Arial" w:hAnsi="Arial"/>
          <w:rtl w:val="0"/>
        </w:rPr>
        <w:t xml:space="preserve">Andrea, L. H., Leah, T., Clarissa, H., and Edward, H. W. (2018). Roles and Functions of Community Health Workers in Primary Care. Ann Fam Med. 16(3): 240–245.</w:t>
      </w:r>
    </w:p>
    <w:p w:rsidR="00000000" w:rsidDel="00000000" w:rsidP="00000000" w:rsidRDefault="00000000" w:rsidRPr="00000000" w14:paraId="00000054">
      <w:pPr>
        <w:spacing w:before="240" w:line="360" w:lineRule="auto"/>
        <w:ind w:left="720" w:hanging="720"/>
        <w:jc w:val="both"/>
        <w:rPr>
          <w:rFonts w:ascii="Arial" w:cs="Arial" w:eastAsia="Arial" w:hAnsi="Arial"/>
          <w:highlight w:val="white"/>
        </w:rPr>
      </w:pPr>
      <w:bookmarkStart w:colFirst="0" w:colLast="0" w:name="_heading=h.1fob9te" w:id="2"/>
      <w:bookmarkEnd w:id="2"/>
      <w:r w:rsidDel="00000000" w:rsidR="00000000" w:rsidRPr="00000000">
        <w:rPr>
          <w:rFonts w:ascii="Arial" w:cs="Arial" w:eastAsia="Arial" w:hAnsi="Arial"/>
          <w:highlight w:val="white"/>
          <w:rtl w:val="0"/>
        </w:rPr>
        <w:t xml:space="preserve">Boag, S. (2014). Ego, drives, and the dynamics of internal objects. Front Psychol. 5:666.</w:t>
      </w:r>
    </w:p>
    <w:p w:rsidR="00000000" w:rsidDel="00000000" w:rsidP="00000000" w:rsidRDefault="00000000" w:rsidRPr="00000000" w14:paraId="00000055">
      <w:pPr>
        <w:spacing w:before="240" w:line="360" w:lineRule="auto"/>
        <w:ind w:left="720" w:hanging="720"/>
        <w:jc w:val="both"/>
        <w:rPr>
          <w:rFonts w:ascii="Arial" w:cs="Arial" w:eastAsia="Arial" w:hAnsi="Arial"/>
          <w:highlight w:val="white"/>
        </w:rPr>
      </w:pPr>
      <w:bookmarkStart w:colFirst="0" w:colLast="0" w:name="_heading=h.3znysh7" w:id="3"/>
      <w:bookmarkEnd w:id="3"/>
      <w:r w:rsidDel="00000000" w:rsidR="00000000" w:rsidRPr="00000000">
        <w:rPr>
          <w:rFonts w:ascii="Arial" w:cs="Arial" w:eastAsia="Arial" w:hAnsi="Arial"/>
          <w:highlight w:val="white"/>
          <w:rtl w:val="0"/>
        </w:rPr>
        <w:t xml:space="preserve">De Sousa, A. (2011). Freudian theory and consciousness: a conceptual analysis. Mens Sana Monogr. 9(1):210-7.</w:t>
      </w:r>
    </w:p>
    <w:p w:rsidR="00000000" w:rsidDel="00000000" w:rsidP="00000000" w:rsidRDefault="00000000" w:rsidRPr="00000000" w14:paraId="00000056">
      <w:pPr>
        <w:spacing w:before="240" w:line="360" w:lineRule="auto"/>
        <w:ind w:left="720" w:hanging="720"/>
        <w:jc w:val="both"/>
        <w:rPr>
          <w:rFonts w:ascii="Arial" w:cs="Arial" w:eastAsia="Arial" w:hAnsi="Arial"/>
        </w:rPr>
      </w:pPr>
      <w:bookmarkStart w:colFirst="0" w:colLast="0" w:name="_heading=h.2et92p0" w:id="4"/>
      <w:bookmarkEnd w:id="4"/>
      <w:r w:rsidDel="00000000" w:rsidR="00000000" w:rsidRPr="00000000">
        <w:rPr>
          <w:rFonts w:ascii="Arial" w:cs="Arial" w:eastAsia="Arial" w:hAnsi="Arial"/>
          <w:rtl w:val="0"/>
        </w:rPr>
        <w:t xml:space="preserve">Evans, A. M., Pereira, D. A., and Parker, J. M. (2008). Discourses of anxiety in nursing practice: a psychoanalytic case study of the change-of-shift handover ritual. Nurs Inq. 15(1):40-8. </w:t>
      </w:r>
    </w:p>
    <w:p w:rsidR="00000000" w:rsidDel="00000000" w:rsidP="00000000" w:rsidRDefault="00000000" w:rsidRPr="00000000" w14:paraId="00000057">
      <w:pPr>
        <w:spacing w:before="240" w:line="360" w:lineRule="auto"/>
        <w:ind w:left="720" w:hanging="720"/>
        <w:jc w:val="both"/>
        <w:rPr>
          <w:rFonts w:ascii="Arial" w:cs="Arial" w:eastAsia="Arial" w:hAnsi="Arial"/>
          <w:highlight w:val="white"/>
        </w:rPr>
      </w:pPr>
      <w:bookmarkStart w:colFirst="0" w:colLast="0" w:name="_heading=h.tyjcwt" w:id="5"/>
      <w:bookmarkEnd w:id="5"/>
      <w:r w:rsidDel="00000000" w:rsidR="00000000" w:rsidRPr="00000000">
        <w:rPr>
          <w:rFonts w:ascii="Arial" w:cs="Arial" w:eastAsia="Arial" w:hAnsi="Arial"/>
          <w:highlight w:val="white"/>
          <w:rtl w:val="0"/>
        </w:rPr>
        <w:t xml:space="preserve">Friedman, R. C., and Downey, J. I. (1995). Biology and the oedipus complex. Psychoanal Q.  64(2):234-64. </w:t>
      </w:r>
    </w:p>
    <w:p w:rsidR="00000000" w:rsidDel="00000000" w:rsidP="00000000" w:rsidRDefault="00000000" w:rsidRPr="00000000" w14:paraId="00000058">
      <w:pPr>
        <w:spacing w:before="240" w:line="360" w:lineRule="auto"/>
        <w:ind w:left="720" w:hanging="720"/>
        <w:jc w:val="both"/>
        <w:rPr>
          <w:rFonts w:ascii="Arial" w:cs="Arial" w:eastAsia="Arial" w:hAnsi="Arial"/>
          <w:highlight w:val="white"/>
        </w:rPr>
      </w:pPr>
      <w:bookmarkStart w:colFirst="0" w:colLast="0" w:name="_heading=h.3dy6vkm" w:id="6"/>
      <w:bookmarkEnd w:id="6"/>
      <w:r w:rsidDel="00000000" w:rsidR="00000000" w:rsidRPr="00000000">
        <w:rPr>
          <w:rFonts w:ascii="Arial" w:cs="Arial" w:eastAsia="Arial" w:hAnsi="Arial"/>
          <w:highlight w:val="white"/>
          <w:rtl w:val="0"/>
        </w:rPr>
        <w:t xml:space="preserve">Kupfersmid, J. (2019). Freud's Clinical Theories Then and Now. Psychodyn Psychiatry.  Spring;47(1):81-97.</w:t>
      </w:r>
    </w:p>
    <w:p w:rsidR="00000000" w:rsidDel="00000000" w:rsidP="00000000" w:rsidRDefault="00000000" w:rsidRPr="00000000" w14:paraId="00000059">
      <w:pPr>
        <w:spacing w:after="0" w:line="240" w:lineRule="auto"/>
        <w:ind w:left="720" w:hanging="720"/>
        <w:jc w:val="both"/>
        <w:rPr>
          <w:rFonts w:ascii="Arial" w:cs="Arial" w:eastAsia="Arial" w:hAnsi="Arial"/>
        </w:rPr>
      </w:pPr>
      <w:bookmarkStart w:colFirst="0" w:colLast="0" w:name="_heading=h.1t3h5sf" w:id="7"/>
      <w:bookmarkEnd w:id="7"/>
      <w:r w:rsidDel="00000000" w:rsidR="00000000" w:rsidRPr="00000000">
        <w:rPr>
          <w:rFonts w:ascii="Arial" w:cs="Arial" w:eastAsia="Arial" w:hAnsi="Arial"/>
          <w:rtl w:val="0"/>
        </w:rPr>
        <w:t xml:space="preserve">Lum, A., Wakefield, C. E., Donnan, B., Burns, M. A., Fardell, J. E., and Marshall, G. M. (2017). Understanding the school experiences of children and adolescents with serious chronic illness: a systematic meta-review. Child Care Health Dev., 43: pp. 645-662</w:t>
      </w:r>
    </w:p>
    <w:p w:rsidR="00000000" w:rsidDel="00000000" w:rsidP="00000000" w:rsidRDefault="00000000" w:rsidRPr="00000000" w14:paraId="0000005A">
      <w:pPr>
        <w:spacing w:before="240" w:line="360" w:lineRule="auto"/>
        <w:ind w:left="720" w:hanging="720"/>
        <w:jc w:val="both"/>
        <w:rPr>
          <w:rFonts w:ascii="Arial" w:cs="Arial" w:eastAsia="Arial" w:hAnsi="Arial"/>
        </w:rPr>
      </w:pPr>
      <w:bookmarkStart w:colFirst="0" w:colLast="0" w:name="_heading=h.4d34og8" w:id="8"/>
      <w:bookmarkEnd w:id="8"/>
      <w:r w:rsidDel="00000000" w:rsidR="00000000" w:rsidRPr="00000000">
        <w:rPr>
          <w:rFonts w:ascii="Arial" w:cs="Arial" w:eastAsia="Arial" w:hAnsi="Arial"/>
          <w:rtl w:val="0"/>
        </w:rPr>
        <w:t xml:space="preserve">Maes, M., Van den Noortgate, W., Fustolo-Gunnink, S. F., Rassart, J., Luyckx, K., and Goossens, L. (2017). Loneliness in children and adolescents with chronic physical conditions: a meta-analysis. J. Pediatr. Psychol., 42: pp. 622-635</w:t>
      </w:r>
    </w:p>
    <w:p w:rsidR="00000000" w:rsidDel="00000000" w:rsidP="00000000" w:rsidRDefault="00000000" w:rsidRPr="00000000" w14:paraId="0000005B">
      <w:pPr>
        <w:spacing w:before="240" w:line="360" w:lineRule="auto"/>
        <w:ind w:left="720" w:hanging="720"/>
        <w:jc w:val="both"/>
        <w:rPr>
          <w:rFonts w:ascii="Arial" w:cs="Arial" w:eastAsia="Arial" w:hAnsi="Arial"/>
        </w:rPr>
      </w:pPr>
      <w:r w:rsidDel="00000000" w:rsidR="00000000" w:rsidRPr="00000000">
        <w:rPr>
          <w:rFonts w:ascii="Arial" w:cs="Arial" w:eastAsia="Arial" w:hAnsi="Arial"/>
          <w:rtl w:val="0"/>
        </w:rPr>
        <w:t xml:space="preserve">Messias, E. (2014). Standing on the shoulders of Pinel, Freud, and Kraepelin: a historiometric inquiry into the histories of psychiatry. J Nerv Ment Dis. 202(11):788-92.</w:t>
      </w:r>
    </w:p>
    <w:p w:rsidR="00000000" w:rsidDel="00000000" w:rsidP="00000000" w:rsidRDefault="00000000" w:rsidRPr="00000000" w14:paraId="0000005C">
      <w:pPr>
        <w:spacing w:after="0" w:line="240" w:lineRule="auto"/>
        <w:ind w:left="720" w:hanging="720"/>
        <w:jc w:val="both"/>
        <w:rPr>
          <w:rFonts w:ascii="Arial" w:cs="Arial" w:eastAsia="Arial" w:hAnsi="Arial"/>
        </w:rPr>
      </w:pPr>
      <w:bookmarkStart w:colFirst="0" w:colLast="0" w:name="_heading=h.2s8eyo1" w:id="9"/>
      <w:bookmarkEnd w:id="9"/>
      <w:r w:rsidDel="00000000" w:rsidR="00000000" w:rsidRPr="00000000">
        <w:rPr>
          <w:rFonts w:ascii="Arial" w:cs="Arial" w:eastAsia="Arial" w:hAnsi="Arial"/>
          <w:rtl w:val="0"/>
        </w:rPr>
        <w:t xml:space="preserve">Pinquart, M.  (2017). Systematic review: bullying involvement of children with and without chronic physical illness and/or physical/sensory disability-a meta-analytic comparison with healthy/nondisabled peers. J. Pediatr. Psychol., 42: pp. 245-259</w:t>
      </w:r>
    </w:p>
    <w:p w:rsidR="00000000" w:rsidDel="00000000" w:rsidP="00000000" w:rsidRDefault="00000000" w:rsidRPr="00000000" w14:paraId="0000005D">
      <w:pPr>
        <w:spacing w:before="240" w:line="360" w:lineRule="auto"/>
        <w:ind w:left="720" w:hanging="720"/>
        <w:jc w:val="both"/>
        <w:rPr>
          <w:rFonts w:ascii="Arial" w:cs="Arial" w:eastAsia="Arial" w:hAnsi="Arial"/>
        </w:rPr>
      </w:pPr>
      <w:r w:rsidDel="00000000" w:rsidR="00000000" w:rsidRPr="00000000">
        <w:rPr>
          <w:rFonts w:ascii="Arial" w:cs="Arial" w:eastAsia="Arial" w:hAnsi="Arial"/>
          <w:rtl w:val="0"/>
        </w:rPr>
        <w:t xml:space="preserve">Ravitz, P. (2017). Contemporary Psychiatry, Psychoanalysis, and Psychotherapy. Can J Psychiatry. 62(5):304-307.</w:t>
      </w:r>
    </w:p>
    <w:p w:rsidR="00000000" w:rsidDel="00000000" w:rsidP="00000000" w:rsidRDefault="00000000" w:rsidRPr="00000000" w14:paraId="0000005E">
      <w:pPr>
        <w:shd w:fill="ffffff" w:val="clear"/>
        <w:spacing w:after="166" w:before="166" w:line="240" w:lineRule="auto"/>
        <w:ind w:left="720" w:hanging="720"/>
        <w:jc w:val="both"/>
        <w:rPr>
          <w:rFonts w:ascii="Arial" w:cs="Arial" w:eastAsia="Arial" w:hAnsi="Arial"/>
        </w:rPr>
      </w:pPr>
      <w:bookmarkStart w:colFirst="0" w:colLast="0" w:name="_heading=h.17dp8vu" w:id="10"/>
      <w:bookmarkEnd w:id="10"/>
      <w:r w:rsidDel="00000000" w:rsidR="00000000" w:rsidRPr="00000000">
        <w:rPr>
          <w:rFonts w:ascii="Arial" w:cs="Arial" w:eastAsia="Arial" w:hAnsi="Arial"/>
          <w:rtl w:val="0"/>
        </w:rPr>
        <w:t xml:space="preserve">Sarah, E. L., and Sagarika, R. (2021). Freud Developmental Theory.</w:t>
      </w:r>
      <w:r w:rsidDel="00000000" w:rsidR="00000000" w:rsidRPr="00000000">
        <w:rPr>
          <w:rFonts w:ascii="Arial" w:cs="Arial" w:eastAsia="Arial" w:hAnsi="Arial"/>
          <w:highlight w:val="white"/>
          <w:rtl w:val="0"/>
        </w:rPr>
        <w:t xml:space="preserve"> StatPearls Publishing LLC.</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white"/>
          <w:rtl w:val="0"/>
        </w:rPr>
        <w:t xml:space="preserve">Bookshelf ID: NBK557526PMID: 32491458</w:t>
      </w:r>
      <w:r w:rsidDel="00000000" w:rsidR="00000000" w:rsidRPr="00000000">
        <w:rPr>
          <w:rtl w:val="0"/>
        </w:rPr>
      </w:r>
    </w:p>
    <w:p w:rsidR="00000000" w:rsidDel="00000000" w:rsidP="00000000" w:rsidRDefault="00000000" w:rsidRPr="00000000" w14:paraId="0000005F">
      <w:pPr>
        <w:spacing w:before="240" w:line="360" w:lineRule="auto"/>
        <w:ind w:left="720" w:hanging="720"/>
        <w:jc w:val="both"/>
        <w:rPr>
          <w:rFonts w:ascii="Arial" w:cs="Arial" w:eastAsia="Arial" w:hAnsi="Arial"/>
          <w:highlight w:val="white"/>
        </w:rPr>
      </w:pPr>
      <w:bookmarkStart w:colFirst="0" w:colLast="0" w:name="_heading=h.3rdcrjn" w:id="11"/>
      <w:bookmarkEnd w:id="11"/>
      <w:r w:rsidDel="00000000" w:rsidR="00000000" w:rsidRPr="00000000">
        <w:rPr>
          <w:rFonts w:ascii="Arial" w:cs="Arial" w:eastAsia="Arial" w:hAnsi="Arial"/>
          <w:highlight w:val="white"/>
          <w:rtl w:val="0"/>
        </w:rPr>
        <w:t xml:space="preserve">Sauerteig, L. D. (2012). Loss of innocence: Albert Moll, Sigmund Freud and the invention of childhood sexuality around 1900. Med Hist. 2012 Apr;56(2):156-83.</w:t>
      </w:r>
    </w:p>
    <w:p w:rsidR="00000000" w:rsidDel="00000000" w:rsidP="00000000" w:rsidRDefault="00000000" w:rsidRPr="00000000" w14:paraId="00000060">
      <w:pPr>
        <w:spacing w:before="240" w:line="360" w:lineRule="auto"/>
        <w:ind w:left="720" w:hanging="720"/>
        <w:jc w:val="both"/>
        <w:rPr>
          <w:rFonts w:ascii="Arial" w:cs="Arial" w:eastAsia="Arial" w:hAnsi="Arial"/>
        </w:rPr>
      </w:pPr>
      <w:r w:rsidDel="00000000" w:rsidR="00000000" w:rsidRPr="00000000">
        <w:rPr>
          <w:rFonts w:ascii="Arial" w:cs="Arial" w:eastAsia="Arial" w:hAnsi="Arial"/>
          <w:rtl w:val="0"/>
        </w:rPr>
        <w:t xml:space="preserve">Stengel, E. (1956). Freud's impact on psychiatry. Br Med J. 1(4974):1000-3.</w:t>
      </w:r>
    </w:p>
    <w:p w:rsidR="00000000" w:rsidDel="00000000" w:rsidP="00000000" w:rsidRDefault="00000000" w:rsidRPr="00000000" w14:paraId="00000061">
      <w:pPr>
        <w:spacing w:before="240" w:line="360" w:lineRule="auto"/>
        <w:ind w:left="720" w:hanging="720"/>
        <w:jc w:val="both"/>
        <w:rPr>
          <w:rFonts w:ascii="Arial" w:cs="Arial" w:eastAsia="Arial" w:hAnsi="Arial"/>
          <w:highlight w:val="white"/>
        </w:rPr>
      </w:pPr>
      <w:bookmarkStart w:colFirst="0" w:colLast="0" w:name="_heading=h.26in1rg" w:id="12"/>
      <w:bookmarkEnd w:id="12"/>
      <w:r w:rsidDel="00000000" w:rsidR="00000000" w:rsidRPr="00000000">
        <w:rPr>
          <w:rFonts w:ascii="Arial" w:cs="Arial" w:eastAsia="Arial" w:hAnsi="Arial"/>
          <w:highlight w:val="white"/>
          <w:rtl w:val="0"/>
        </w:rPr>
        <w:t xml:space="preserve">Żechowski, C. (2017). Theory of drives and emotions - from Sigmund Freud to Jaak Panksepp. Psychiatr Pol. 51(6):1181-1189.</w:t>
      </w:r>
    </w:p>
    <w:sectPr>
      <w:footerReference r:id="rId8"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240" w:lineRule="auto"/>
    </w:pPr>
    <w:rPr>
      <w:rFonts w:ascii="Times New Roman" w:cs="Times New Roman" w:eastAsia="Times New Roman" w:hAnsi="Times New Roman"/>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link w:val="Heading1Char"/>
    <w:uiPriority w:val="9"/>
    <w:qFormat w:val="1"/>
    <w:rsid w:val="00D6184F"/>
    <w:pPr>
      <w:spacing w:after="100" w:afterAutospacing="1" w:before="100" w:beforeAutospacing="1" w:line="240" w:lineRule="auto"/>
      <w:outlineLvl w:val="0"/>
    </w:pPr>
    <w:rPr>
      <w:rFonts w:ascii="Times New Roman" w:cs="Times New Roman" w:eastAsia="Times New Roman" w:hAnsi="Times New Roman"/>
      <w:b w:val="1"/>
      <w:bCs w:val="1"/>
      <w:kern w:val="36"/>
      <w:sz w:val="48"/>
      <w:szCs w:val="48"/>
      <w:lang w:eastAsia="en-UG"/>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383E71"/>
    <w:pPr>
      <w:tabs>
        <w:tab w:val="center" w:pos="4680"/>
        <w:tab w:val="right" w:pos="9360"/>
      </w:tabs>
      <w:spacing w:after="0" w:line="240" w:lineRule="auto"/>
    </w:pPr>
  </w:style>
  <w:style w:type="character" w:styleId="HeaderChar" w:customStyle="1">
    <w:name w:val="Header Char"/>
    <w:basedOn w:val="DefaultParagraphFont"/>
    <w:link w:val="Header"/>
    <w:uiPriority w:val="99"/>
    <w:rsid w:val="00383E71"/>
  </w:style>
  <w:style w:type="paragraph" w:styleId="Footer">
    <w:name w:val="footer"/>
    <w:basedOn w:val="Normal"/>
    <w:link w:val="FooterChar"/>
    <w:uiPriority w:val="99"/>
    <w:unhideWhenUsed w:val="1"/>
    <w:rsid w:val="00383E71"/>
    <w:pPr>
      <w:tabs>
        <w:tab w:val="center" w:pos="4680"/>
        <w:tab w:val="right" w:pos="9360"/>
      </w:tabs>
      <w:spacing w:after="0" w:line="240" w:lineRule="auto"/>
    </w:pPr>
  </w:style>
  <w:style w:type="character" w:styleId="FooterChar" w:customStyle="1">
    <w:name w:val="Footer Char"/>
    <w:basedOn w:val="DefaultParagraphFont"/>
    <w:link w:val="Footer"/>
    <w:uiPriority w:val="99"/>
    <w:rsid w:val="00383E71"/>
  </w:style>
  <w:style w:type="paragraph" w:styleId="NormalWeb">
    <w:name w:val="Normal (Web)"/>
    <w:basedOn w:val="Normal"/>
    <w:uiPriority w:val="99"/>
    <w:unhideWhenUsed w:val="1"/>
    <w:rsid w:val="00544FCF"/>
    <w:pPr>
      <w:spacing w:after="100" w:afterAutospacing="1" w:before="100" w:beforeAutospacing="1" w:line="240" w:lineRule="auto"/>
    </w:pPr>
    <w:rPr>
      <w:rFonts w:ascii="Times New Roman" w:cs="Times New Roman" w:eastAsia="Times New Roman" w:hAnsi="Times New Roman"/>
      <w:sz w:val="24"/>
      <w:szCs w:val="24"/>
      <w:lang w:eastAsia="en-UG"/>
    </w:rPr>
  </w:style>
  <w:style w:type="character" w:styleId="Hyperlink">
    <w:name w:val="Hyperlink"/>
    <w:basedOn w:val="DefaultParagraphFont"/>
    <w:uiPriority w:val="99"/>
    <w:semiHidden w:val="1"/>
    <w:unhideWhenUsed w:val="1"/>
    <w:rsid w:val="00544FCF"/>
    <w:rPr>
      <w:color w:val="0000ff"/>
      <w:u w:val="single"/>
    </w:rPr>
  </w:style>
  <w:style w:type="character" w:styleId="ref-journal" w:customStyle="1">
    <w:name w:val="ref-journal"/>
    <w:basedOn w:val="DefaultParagraphFont"/>
    <w:rsid w:val="00544FCF"/>
  </w:style>
  <w:style w:type="character" w:styleId="ref-vol" w:customStyle="1">
    <w:name w:val="ref-vol"/>
    <w:basedOn w:val="DefaultParagraphFont"/>
    <w:rsid w:val="00544FCF"/>
  </w:style>
  <w:style w:type="character" w:styleId="Heading1Char" w:customStyle="1">
    <w:name w:val="Heading 1 Char"/>
    <w:basedOn w:val="DefaultParagraphFont"/>
    <w:link w:val="Heading1"/>
    <w:uiPriority w:val="9"/>
    <w:rsid w:val="00D6184F"/>
    <w:rPr>
      <w:rFonts w:ascii="Times New Roman" w:cs="Times New Roman" w:eastAsia="Times New Roman" w:hAnsi="Times New Roman"/>
      <w:b w:val="1"/>
      <w:bCs w:val="1"/>
      <w:kern w:val="36"/>
      <w:sz w:val="48"/>
      <w:szCs w:val="48"/>
      <w:lang w:eastAsia="en-UG"/>
    </w:rPr>
  </w:style>
  <w:style w:type="character" w:styleId="Title1" w:customStyle="1">
    <w:name w:val="Title1"/>
    <w:basedOn w:val="DefaultParagraphFont"/>
    <w:rsid w:val="00D6184F"/>
  </w:style>
  <w:style w:type="paragraph" w:styleId="contrib-group" w:customStyle="1">
    <w:name w:val="contrib-group"/>
    <w:basedOn w:val="Normal"/>
    <w:rsid w:val="00D6184F"/>
    <w:pPr>
      <w:spacing w:after="100" w:afterAutospacing="1" w:before="100" w:beforeAutospacing="1" w:line="240" w:lineRule="auto"/>
    </w:pPr>
    <w:rPr>
      <w:rFonts w:ascii="Times New Roman" w:cs="Times New Roman" w:eastAsia="Times New Roman" w:hAnsi="Times New Roman"/>
      <w:sz w:val="24"/>
      <w:szCs w:val="24"/>
      <w:lang w:eastAsia="en-UG"/>
    </w:rPr>
  </w:style>
  <w:style w:type="character" w:styleId="Strong">
    <w:name w:val="Strong"/>
    <w:basedOn w:val="DefaultParagraphFont"/>
    <w:uiPriority w:val="22"/>
    <w:qFormat w:val="1"/>
    <w:rsid w:val="000F2482"/>
    <w:rPr>
      <w:b w:val="1"/>
      <w:b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sS3nng/3iF/Cdh1DEfZk2cF+g8g==">AMUW2mVs1kqc38D4pvVaLydR9nGnMWNVAdgnV9M4Bn87cpRS4GYU1aA9STfsZBJxBoI/VWjGCXAHze2WfjXWGDwftNh0nkPuOqBl39cT6k1ESllz1PcnWqoBxInynyZoyjTpc9ZjBwNTGZjS43Apv2geqr397CIAtVYcfonw9x0muaBI//AAjeOzEzmWRakNjs8x5Pipx3AO+RxPqNsu2cY6kGtIji0oCofRzX5VK7u4pk9XKHNnF6GRIYf10SSV6J+4Ymm3dSg/KCOKoEpEAAGiRHGuxyz0szdkRfMr5Ocn1pf44rwAJv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2021-12-30T01:21:00Z</dcterms:created>
  <dc:creator>AMINAT AMINU</dc:creator>
</cp:coreProperties>
</file>