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3A4E9B" w14:textId="77777777" w:rsidR="00B249B6" w:rsidRDefault="00B249B6" w:rsidP="00B249B6">
      <w:r>
        <w:t>Level 6 Assessment 2 (critical commentary) [1500 words]</w:t>
      </w:r>
    </w:p>
    <w:p w14:paraId="0325295C" w14:textId="2EBEF5BE" w:rsidR="00B249B6" w:rsidRDefault="00B249B6" w:rsidP="00B249B6">
      <w:r>
        <w:t>Write a critical commentary on Lucan 10.1-40</w:t>
      </w:r>
    </w:p>
    <w:p w14:paraId="7DE02858" w14:textId="77777777" w:rsidR="00B249B6" w:rsidRDefault="00B249B6" w:rsidP="00B249B6"/>
    <w:p w14:paraId="44861F40" w14:textId="2ADAC753" w:rsidR="002A6072" w:rsidRDefault="005A6559" w:rsidP="00B249B6">
      <w:r>
        <w:t xml:space="preserve">Lucan’s “The Civil War” or “Pharsalia” </w:t>
      </w:r>
      <w:r w:rsidR="00CC388F">
        <w:t>is an account of the Civil war between Julius Ceasar and Pompey The Great.</w:t>
      </w:r>
      <w:r w:rsidR="00A23654">
        <w:t xml:space="preserve"> It was written during the latter half of the first century A.D., </w:t>
      </w:r>
      <w:r w:rsidR="00CE556F">
        <w:t>between 61 A.D. and 65 A.D.</w:t>
      </w:r>
      <w:r w:rsidR="00B01630">
        <w:t>, during Nero’s reign</w:t>
      </w:r>
      <w:r w:rsidR="00053619">
        <w:t>. The work is an epic poem</w:t>
      </w:r>
      <w:r w:rsidR="00EA723A">
        <w:t xml:space="preserve">, and remains unfinished due to Lucan’s death before its completion. </w:t>
      </w:r>
      <w:r w:rsidR="003340A5">
        <w:t>The beginning of b</w:t>
      </w:r>
      <w:r w:rsidR="00EA723A">
        <w:t xml:space="preserve">ook 10 </w:t>
      </w:r>
      <w:r w:rsidR="00B81B90">
        <w:t xml:space="preserve">(1-40) </w:t>
      </w:r>
      <w:r w:rsidR="00EA723A">
        <w:t xml:space="preserve">describes </w:t>
      </w:r>
      <w:r w:rsidR="003340A5">
        <w:t>Caes</w:t>
      </w:r>
      <w:r w:rsidR="005F1FF5">
        <w:t>a</w:t>
      </w:r>
      <w:r w:rsidR="003340A5">
        <w:t xml:space="preserve">r’s arrival in </w:t>
      </w:r>
      <w:r w:rsidR="00191437">
        <w:t>Egypt</w:t>
      </w:r>
      <w:r w:rsidR="00D13811">
        <w:t>, and extensively compares Caesar to Alexander the Great.</w:t>
      </w:r>
      <w:r w:rsidR="002A6072">
        <w:t xml:space="preserve"> </w:t>
      </w:r>
    </w:p>
    <w:p w14:paraId="351E718A" w14:textId="22421147" w:rsidR="00374444" w:rsidRDefault="00724D9A" w:rsidP="00B249B6">
      <w:r>
        <w:t xml:space="preserve">Lucan makes </w:t>
      </w:r>
      <w:r w:rsidR="005F1FF5">
        <w:t>use of comparison between Caesar</w:t>
      </w:r>
      <w:r w:rsidR="009E3979">
        <w:t xml:space="preserve"> and </w:t>
      </w:r>
      <w:r w:rsidR="00071BF2">
        <w:t>Alexander the Great</w:t>
      </w:r>
      <w:r w:rsidR="007E60B9">
        <w:t>. The most overt meaning is obvious</w:t>
      </w:r>
      <w:r w:rsidR="00374444">
        <w:t xml:space="preserve">, </w:t>
      </w:r>
      <w:r w:rsidR="00153722">
        <w:t>that the outcome of conquerors is often the same</w:t>
      </w:r>
      <w:r w:rsidR="00BF2D01">
        <w:t>.</w:t>
      </w:r>
      <w:r w:rsidR="00153722">
        <w:t xml:space="preserve"> </w:t>
      </w:r>
      <w:r w:rsidR="00BF2D01">
        <w:t>B</w:t>
      </w:r>
      <w:r w:rsidR="00944140">
        <w:t xml:space="preserve">oth Alexander and Ceasar </w:t>
      </w:r>
      <w:r w:rsidR="00D36217">
        <w:t>died</w:t>
      </w:r>
      <w:r w:rsidR="0067158A">
        <w:t xml:space="preserve"> </w:t>
      </w:r>
      <w:r w:rsidR="002B5EAF">
        <w:t>at the height of their power</w:t>
      </w:r>
      <w:r w:rsidR="00D36217">
        <w:t xml:space="preserve">, and while </w:t>
      </w:r>
      <w:r w:rsidR="0067158A">
        <w:t xml:space="preserve">Lucan </w:t>
      </w:r>
      <w:r w:rsidR="002B5EAF">
        <w:t xml:space="preserve">doesn’t </w:t>
      </w:r>
      <w:r w:rsidR="00D55FF0">
        <w:t xml:space="preserve">seem to imply </w:t>
      </w:r>
      <w:r w:rsidR="00BF2FC0">
        <w:t>any intent</w:t>
      </w:r>
      <w:r w:rsidR="00466297">
        <w:t xml:space="preserve">ional betrayal </w:t>
      </w:r>
      <w:r w:rsidR="00BF2D01">
        <w:t xml:space="preserve">or poisoning as is often speculated in modern times, </w:t>
      </w:r>
      <w:r w:rsidR="00161EB9">
        <w:t>he seems to imply that “nature” took matters into its own hands.</w:t>
      </w:r>
      <w:r w:rsidR="001C3764">
        <w:t xml:space="preserve"> </w:t>
      </w:r>
      <w:r w:rsidR="006C4D05">
        <w:t xml:space="preserve">Lucan said that Alexander </w:t>
      </w:r>
      <w:r w:rsidR="00153722">
        <w:t>“</w:t>
      </w:r>
      <w:r w:rsidR="00153722" w:rsidRPr="00153722">
        <w:t>would have marched round to the West, and gone beyond both the poles, and drunk of the Nile at its source. But Death stood in his way</w:t>
      </w:r>
      <w:r w:rsidR="00153722">
        <w:t>,”</w:t>
      </w:r>
      <w:r w:rsidR="00276E55">
        <w:rPr>
          <w:rStyle w:val="FootnoteReference"/>
        </w:rPr>
        <w:footnoteReference w:id="1"/>
      </w:r>
      <w:r w:rsidR="005F53EA">
        <w:t xml:space="preserve"> </w:t>
      </w:r>
      <w:r w:rsidR="00600CDF">
        <w:t>this is possibly a statement to the danger he thinks could have been caused by Caesar</w:t>
      </w:r>
      <w:r w:rsidR="000F5FD2">
        <w:t xml:space="preserve">, had the senate not taken matters into their own hands and </w:t>
      </w:r>
      <w:r w:rsidR="00872E4E">
        <w:t>assassinated him</w:t>
      </w:r>
      <w:r w:rsidR="006D29E7">
        <w:t>.</w:t>
      </w:r>
    </w:p>
    <w:p w14:paraId="21C5600D" w14:textId="12282864" w:rsidR="007A5976" w:rsidRDefault="00096059" w:rsidP="00B249B6">
      <w:r>
        <w:t xml:space="preserve">Lucan’s description of Ceasar’s action </w:t>
      </w:r>
      <w:r w:rsidR="00143748">
        <w:t xml:space="preserve">upon his arrival to Egypt may also be used to </w:t>
      </w:r>
      <w:r w:rsidR="00CC3696">
        <w:t>reflect negatively on Caesar</w:t>
      </w:r>
      <w:r w:rsidR="00FC45B3">
        <w:t>.</w:t>
      </w:r>
      <w:r w:rsidR="00D91A29">
        <w:t xml:space="preserve"> Lucan claims that when he got to Egypt,</w:t>
      </w:r>
      <w:r w:rsidR="0070662A">
        <w:t xml:space="preserve"> that</w:t>
      </w:r>
      <w:r w:rsidR="00D91A29">
        <w:t xml:space="preserve"> </w:t>
      </w:r>
      <w:r w:rsidR="00226EDB">
        <w:t>“</w:t>
      </w:r>
      <w:r w:rsidR="00226EDB" w:rsidRPr="00226EDB">
        <w:t>No thing of beauty attracted him, neither the gold and ornaments of the gods, nor the city walls; but in eager haste he went down into the vault hewn out for a tomb.</w:t>
      </w:r>
      <w:r w:rsidR="00226EDB">
        <w:t>”</w:t>
      </w:r>
      <w:r w:rsidR="0084678B">
        <w:rPr>
          <w:rStyle w:val="FootnoteReference"/>
        </w:rPr>
        <w:footnoteReference w:id="2"/>
      </w:r>
      <w:r w:rsidR="005D2FE9">
        <w:t xml:space="preserve"> The </w:t>
      </w:r>
      <w:r w:rsidR="009D2EE3">
        <w:t xml:space="preserve">implication of this is somewhat murky, however it </w:t>
      </w:r>
      <w:r w:rsidR="003E15C6">
        <w:t xml:space="preserve">could indicate Caesar’s lust for conquest, and show that he </w:t>
      </w:r>
      <w:r w:rsidR="003A72D5">
        <w:t xml:space="preserve">held Alexander to be </w:t>
      </w:r>
      <w:r w:rsidR="00601848">
        <w:t>a kind of heroic ideal.</w:t>
      </w:r>
      <w:r w:rsidR="00B410BC">
        <w:t xml:space="preserve"> A more positive interpretation, however, could be that Caesar</w:t>
      </w:r>
      <w:r w:rsidR="00DC128A">
        <w:t xml:space="preserve"> resisted the corrupting influence of</w:t>
      </w:r>
      <w:r w:rsidR="0051356E">
        <w:t xml:space="preserve"> conquered wealth. This would put him in opposition to both Alexander and other Roman conquerors, who </w:t>
      </w:r>
      <w:r w:rsidR="00631A77">
        <w:t xml:space="preserve">are often accused of </w:t>
      </w:r>
      <w:r w:rsidR="00664A0C">
        <w:t>being corrupted by such things, despite their levels of patriotism and austerity.</w:t>
      </w:r>
      <w:r w:rsidR="00D1665C">
        <w:rPr>
          <w:rStyle w:val="FootnoteReference"/>
        </w:rPr>
        <w:footnoteReference w:id="3"/>
      </w:r>
      <w:r w:rsidR="00F555F3">
        <w:t xml:space="preserve"> This would imply a more positive position towards Caesar, and would place his criticism of Alexander as being intended to </w:t>
      </w:r>
    </w:p>
    <w:p w14:paraId="2B57BDB6" w14:textId="1D1BE385" w:rsidR="00C738C5" w:rsidRDefault="00E60BA7" w:rsidP="00B249B6">
      <w:r>
        <w:t xml:space="preserve">The stance that Lucan takes on </w:t>
      </w:r>
      <w:r w:rsidR="0089369C">
        <w:t>Alexander is interesting</w:t>
      </w:r>
      <w:r w:rsidR="00D41E42">
        <w:t>. H</w:t>
      </w:r>
      <w:r w:rsidR="00FC5607">
        <w:t>is depiction</w:t>
      </w:r>
      <w:r w:rsidR="00D41E42">
        <w:t xml:space="preserve"> is </w:t>
      </w:r>
      <w:r w:rsidR="009832D1">
        <w:t xml:space="preserve">incredibly negative </w:t>
      </w:r>
      <w:r w:rsidR="00FC5607">
        <w:t xml:space="preserve">of Alexander, describing him as </w:t>
      </w:r>
      <w:r w:rsidR="00192DF5">
        <w:t>“</w:t>
      </w:r>
      <w:r w:rsidR="005D5098">
        <w:t>T</w:t>
      </w:r>
      <w:r w:rsidR="00192DF5" w:rsidRPr="00192DF5">
        <w:t>he mad son of Macedonian Philip, that fortunate freebooter</w:t>
      </w:r>
      <w:r w:rsidR="005D5098">
        <w:t>,</w:t>
      </w:r>
      <w:r w:rsidR="00192DF5">
        <w:t>”</w:t>
      </w:r>
      <w:r w:rsidR="00C84562">
        <w:rPr>
          <w:rStyle w:val="FootnoteReference"/>
        </w:rPr>
        <w:footnoteReference w:id="4"/>
      </w:r>
      <w:r w:rsidR="00005F19">
        <w:t xml:space="preserve"> and </w:t>
      </w:r>
      <w:r w:rsidR="00B721BE">
        <w:t>that “</w:t>
      </w:r>
      <w:r w:rsidR="00EC2D94">
        <w:t>H</w:t>
      </w:r>
      <w:r w:rsidR="00B721BE" w:rsidRPr="00B721BE">
        <w:t>e was a pestilence to earth, a thunderbolt that struck all peoples alike, a comet of disaster to mankind.</w:t>
      </w:r>
      <w:r w:rsidR="00B721BE">
        <w:t>”</w:t>
      </w:r>
      <w:r w:rsidR="00C84562">
        <w:rPr>
          <w:rStyle w:val="FootnoteReference"/>
        </w:rPr>
        <w:footnoteReference w:id="5"/>
      </w:r>
      <w:r w:rsidR="00F364EA">
        <w:t xml:space="preserve"> The latter description is particularly </w:t>
      </w:r>
      <w:r w:rsidR="00F364EA">
        <w:lastRenderedPageBreak/>
        <w:t xml:space="preserve">interesting, almost describing him </w:t>
      </w:r>
      <w:r w:rsidR="00282FA5">
        <w:t xml:space="preserve">as a natural disaster </w:t>
      </w:r>
      <w:r w:rsidR="001C2370">
        <w:t xml:space="preserve">that fell upon the </w:t>
      </w:r>
      <w:r w:rsidR="007E3390">
        <w:t xml:space="preserve">world. This negative view of </w:t>
      </w:r>
      <w:r w:rsidR="00C72B2A">
        <w:t xml:space="preserve">Alexander is likely influenced by several factors. The first is the </w:t>
      </w:r>
      <w:r w:rsidR="006E2B45">
        <w:t xml:space="preserve">Roman attitude towards Kings. At this point in the early empire, </w:t>
      </w:r>
      <w:r w:rsidR="00896C4E">
        <w:t>the majority of Romans still held the negative disposition towards</w:t>
      </w:r>
      <w:r w:rsidR="002637E3">
        <w:t xml:space="preserve"> monarchy that had been prevalent since the </w:t>
      </w:r>
      <w:r w:rsidR="0092096C">
        <w:t>founding of the republic</w:t>
      </w:r>
      <w:r w:rsidR="00EA37B6">
        <w:t xml:space="preserve">, which would inform the </w:t>
      </w:r>
      <w:r w:rsidR="00965602">
        <w:t>biases held by Lucan as a Roman</w:t>
      </w:r>
      <w:r w:rsidR="0092096C">
        <w:t>.</w:t>
      </w:r>
      <w:r w:rsidR="00C57934">
        <w:t xml:space="preserve"> The second major factor that was likely </w:t>
      </w:r>
      <w:r w:rsidR="00DF0B35">
        <w:t>affecting</w:t>
      </w:r>
      <w:r w:rsidR="00C57934">
        <w:t xml:space="preserve"> </w:t>
      </w:r>
      <w:r w:rsidR="00CE06DC">
        <w:t xml:space="preserve">Lucan’s biases towards </w:t>
      </w:r>
      <w:r w:rsidR="006C1769">
        <w:t>Alexander is his opinion</w:t>
      </w:r>
      <w:r w:rsidR="00C57934">
        <w:t xml:space="preserve"> </w:t>
      </w:r>
      <w:r w:rsidR="006C1769">
        <w:t>of the east</w:t>
      </w:r>
      <w:r w:rsidR="00E97E55">
        <w:t xml:space="preserve">. In </w:t>
      </w:r>
      <w:r w:rsidR="0073403A">
        <w:t xml:space="preserve">almost </w:t>
      </w:r>
      <w:r w:rsidR="00E97E55">
        <w:t>every period of</w:t>
      </w:r>
      <w:r w:rsidR="0073403A">
        <w:t xml:space="preserve"> the</w:t>
      </w:r>
      <w:r w:rsidR="00E97E55">
        <w:t xml:space="preserve"> Rom</w:t>
      </w:r>
      <w:r w:rsidR="0073403A">
        <w:t>an empire’s</w:t>
      </w:r>
      <w:r w:rsidR="00E97E55">
        <w:t xml:space="preserve"> history, from the war with </w:t>
      </w:r>
      <w:r w:rsidR="0073403A">
        <w:t>Egypt</w:t>
      </w:r>
      <w:r w:rsidR="00E97E55">
        <w:t xml:space="preserve"> </w:t>
      </w:r>
      <w:r w:rsidR="0073403A">
        <w:t xml:space="preserve">under Augustus, </w:t>
      </w:r>
      <w:r w:rsidR="00E97E55">
        <w:t xml:space="preserve">up until the fall of the Byzantine Empire, </w:t>
      </w:r>
      <w:r w:rsidR="0073403A">
        <w:t>the biggest competition came from the east.</w:t>
      </w:r>
      <w:r w:rsidR="003A3678">
        <w:t xml:space="preserve"> At the time Lucan was writing,</w:t>
      </w:r>
      <w:r w:rsidR="00992A34">
        <w:t xml:space="preserve"> the war with</w:t>
      </w:r>
      <w:r w:rsidR="003A3678">
        <w:t xml:space="preserve"> </w:t>
      </w:r>
      <w:r w:rsidR="009D288D">
        <w:t>Ptolemaic Egypt was still lingering in recent memory</w:t>
      </w:r>
      <w:r w:rsidR="008B3964">
        <w:t xml:space="preserve">, and the Parthian Empire was an ever-present </w:t>
      </w:r>
      <w:r w:rsidR="00D10EE4">
        <w:t xml:space="preserve">threat to the early empire. </w:t>
      </w:r>
      <w:r w:rsidR="000377D0">
        <w:t xml:space="preserve">During the time Lucan was writing, </w:t>
      </w:r>
      <w:r w:rsidR="001F1F66">
        <w:t xml:space="preserve">the Romans and Parthians </w:t>
      </w:r>
      <w:r w:rsidR="007A26FE">
        <w:t>fought a war over Armenia</w:t>
      </w:r>
      <w:r w:rsidR="00AB3C20">
        <w:t>, from 58 A.D. to 63 A.D., which ended in favour of the Parthians</w:t>
      </w:r>
      <w:r w:rsidR="003F4621">
        <w:t>.</w:t>
      </w:r>
      <w:r w:rsidR="00AF62EE">
        <w:rPr>
          <w:rStyle w:val="FootnoteReference"/>
        </w:rPr>
        <w:footnoteReference w:id="6"/>
      </w:r>
      <w:r w:rsidR="003F4621">
        <w:t xml:space="preserve"> </w:t>
      </w:r>
      <w:r w:rsidR="00B04920">
        <w:t xml:space="preserve">The </w:t>
      </w:r>
      <w:r w:rsidR="000C46CB">
        <w:t xml:space="preserve">clearest evidence of </w:t>
      </w:r>
      <w:r w:rsidR="0047132D">
        <w:t xml:space="preserve">Lucan’s bias that can be found in this extract is </w:t>
      </w:r>
      <w:r w:rsidR="00EA71C4">
        <w:t>“Guilty Egypt”</w:t>
      </w:r>
      <w:r w:rsidR="00A17BD9">
        <w:rPr>
          <w:rStyle w:val="FootnoteReference"/>
        </w:rPr>
        <w:footnoteReference w:id="7"/>
      </w:r>
      <w:r w:rsidR="00FE31B5">
        <w:t>, though shortly after the extract (45-46) Lucan laments that “</w:t>
      </w:r>
      <w:r w:rsidR="00C162A6" w:rsidRPr="00C162A6">
        <w:t>Shame is it that the peoples of the East shrank more from contact with the phalanx than they shrink now from contact with the legion.</w:t>
      </w:r>
      <w:r w:rsidR="00C162A6">
        <w:t>”</w:t>
      </w:r>
      <w:r w:rsidR="001856BF">
        <w:rPr>
          <w:rStyle w:val="FootnoteReference"/>
        </w:rPr>
        <w:footnoteReference w:id="8"/>
      </w:r>
      <w:r w:rsidR="00370ACA">
        <w:t xml:space="preserve"> This adequately</w:t>
      </w:r>
      <w:r w:rsidR="00814FBB">
        <w:t xml:space="preserve"> demonstrates the bias against the east that Lucan held, and that likely contributed to his dislike of Alexander the Great</w:t>
      </w:r>
      <w:r w:rsidR="009E554F">
        <w:t>, a figure who (comparatively to Rome) can easily be considered an eastern figure, and a barbarian</w:t>
      </w:r>
      <w:r w:rsidR="00814FBB">
        <w:t>.</w:t>
      </w:r>
      <w:r w:rsidR="00481677">
        <w:t xml:space="preserve"> It is notable that when compared to other contemporary or near contemporary on Alexander the great, </w:t>
      </w:r>
      <w:r w:rsidR="001C0C71">
        <w:t xml:space="preserve">a more negative attitude is often prevalent among the Roman writers, </w:t>
      </w:r>
      <w:r w:rsidR="00AB10F0">
        <w:t xml:space="preserve">such as </w:t>
      </w:r>
      <w:r w:rsidR="003903DC">
        <w:t>Quintus Curtius Rufus</w:t>
      </w:r>
      <w:r w:rsidR="008E7897">
        <w:t xml:space="preserve"> (1</w:t>
      </w:r>
      <w:r w:rsidR="008E7897" w:rsidRPr="008E7897">
        <w:rPr>
          <w:vertAlign w:val="superscript"/>
        </w:rPr>
        <w:t>st</w:t>
      </w:r>
      <w:r w:rsidR="008E7897">
        <w:t xml:space="preserve"> century A.D.)</w:t>
      </w:r>
      <w:r w:rsidR="003903DC">
        <w:t>.</w:t>
      </w:r>
      <w:r w:rsidR="003A7DBC">
        <w:t xml:space="preserve"> </w:t>
      </w:r>
      <w:r w:rsidR="00D16C65">
        <w:t xml:space="preserve">Comparatively, the </w:t>
      </w:r>
      <w:r w:rsidR="00744CF2">
        <w:t xml:space="preserve">Greek </w:t>
      </w:r>
      <w:r w:rsidR="00F95181">
        <w:t>authors</w:t>
      </w:r>
      <w:r w:rsidR="007E361E">
        <w:t xml:space="preserve"> writing under Roman rule</w:t>
      </w:r>
      <w:r w:rsidR="00F95181">
        <w:t xml:space="preserve"> </w:t>
      </w:r>
      <w:r w:rsidR="00A33828">
        <w:t>tend to be much more pos</w:t>
      </w:r>
      <w:r w:rsidR="00985B7A">
        <w:t>i</w:t>
      </w:r>
      <w:r w:rsidR="00A33828">
        <w:t>tive</w:t>
      </w:r>
      <w:r w:rsidR="008E7897">
        <w:t>, such</w:t>
      </w:r>
      <w:r w:rsidR="007E361E">
        <w:t xml:space="preserve"> as Arrian</w:t>
      </w:r>
      <w:r w:rsidR="009759B5">
        <w:t xml:space="preserve"> (</w:t>
      </w:r>
      <w:r w:rsidR="00C821AC">
        <w:t>1</w:t>
      </w:r>
      <w:r w:rsidR="00C821AC" w:rsidRPr="00C821AC">
        <w:rPr>
          <w:vertAlign w:val="superscript"/>
        </w:rPr>
        <w:t>st</w:t>
      </w:r>
      <w:r w:rsidR="00C821AC">
        <w:t xml:space="preserve"> and 2</w:t>
      </w:r>
      <w:r w:rsidR="00C821AC" w:rsidRPr="00C821AC">
        <w:rPr>
          <w:vertAlign w:val="superscript"/>
        </w:rPr>
        <w:t>nd</w:t>
      </w:r>
      <w:r w:rsidR="00C821AC">
        <w:t xml:space="preserve"> centuries A.D.)</w:t>
      </w:r>
      <w:r w:rsidR="00E80748">
        <w:rPr>
          <w:rStyle w:val="FootnoteReference"/>
        </w:rPr>
        <w:footnoteReference w:id="9"/>
      </w:r>
      <w:r w:rsidR="007E361E">
        <w:t xml:space="preserve"> and Plutarch</w:t>
      </w:r>
      <w:r w:rsidR="00CC6D9C">
        <w:t xml:space="preserve"> (1</w:t>
      </w:r>
      <w:r w:rsidR="00CC6D9C" w:rsidRPr="00CC6D9C">
        <w:rPr>
          <w:vertAlign w:val="superscript"/>
        </w:rPr>
        <w:t>st</w:t>
      </w:r>
      <w:r w:rsidR="00C821AC">
        <w:t xml:space="preserve"> and </w:t>
      </w:r>
      <w:r w:rsidR="00CC6D9C">
        <w:t>2</w:t>
      </w:r>
      <w:r w:rsidR="00CC6D9C" w:rsidRPr="00CC6D9C">
        <w:rPr>
          <w:vertAlign w:val="superscript"/>
        </w:rPr>
        <w:t>nd</w:t>
      </w:r>
      <w:r w:rsidR="00CC6D9C">
        <w:t xml:space="preserve"> centuries A.D.)</w:t>
      </w:r>
      <w:r w:rsidR="001A3849">
        <w:rPr>
          <w:rStyle w:val="FootnoteReference"/>
        </w:rPr>
        <w:footnoteReference w:id="10"/>
      </w:r>
      <w:r w:rsidR="00A75A59">
        <w:t xml:space="preserve">. This is likely due to both Alexander and the Macedonians being very close to the Greek world, </w:t>
      </w:r>
      <w:r w:rsidR="00B928E4">
        <w:t xml:space="preserve">and because of a far more positive attitude to kings that was common in the Greek world before the </w:t>
      </w:r>
      <w:r w:rsidR="00753F00">
        <w:t xml:space="preserve">Roman </w:t>
      </w:r>
      <w:r w:rsidR="00B928E4">
        <w:t>invasion</w:t>
      </w:r>
      <w:r w:rsidR="00F83A99">
        <w:t>.</w:t>
      </w:r>
      <w:r w:rsidR="007F47B0">
        <w:t xml:space="preserve"> Additionally, the writers in the Greek world would have a very different concept of what is “the east”, </w:t>
      </w:r>
      <w:r w:rsidR="00C4007D">
        <w:t xml:space="preserve">almost certainly not considering Alexander to be an eastern figure, and thus not associating the eastern </w:t>
      </w:r>
      <w:r w:rsidR="001240F8">
        <w:t>strife of the empire</w:t>
      </w:r>
      <w:r w:rsidR="001D60DD">
        <w:t xml:space="preserve"> with Alexander</w:t>
      </w:r>
      <w:r w:rsidR="00733E34">
        <w:t>, allowing for a more positive perception</w:t>
      </w:r>
      <w:r w:rsidR="001D60DD">
        <w:t>.</w:t>
      </w:r>
    </w:p>
    <w:p w14:paraId="23963FC0" w14:textId="00BFAF95" w:rsidR="00E657C2" w:rsidRDefault="00E657C2" w:rsidP="00B249B6">
      <w:r>
        <w:t>The depiction of Alexander that Lucan writes seems to invoke the idea that Alexander was a form of divine punishment or trial, claiming that he was “</w:t>
      </w:r>
      <w:r w:rsidRPr="00E657C2">
        <w:t>a man who was born to teach this bad lesson to the world, that so many lands may obey one lord.</w:t>
      </w:r>
      <w:r>
        <w:t>”</w:t>
      </w:r>
      <w:r w:rsidR="000D4CD2">
        <w:rPr>
          <w:rStyle w:val="FootnoteReference"/>
        </w:rPr>
        <w:footnoteReference w:id="11"/>
      </w:r>
      <w:r w:rsidR="00B10E3C">
        <w:t xml:space="preserve"> This idea of a divine calamity is again stressed in his </w:t>
      </w:r>
      <w:r w:rsidR="00056DF2">
        <w:t>description of Alexander’s actions.</w:t>
      </w:r>
      <w:r w:rsidR="005E2B55">
        <w:t xml:space="preserve"> Lucan describes Alexander </w:t>
      </w:r>
      <w:r w:rsidR="0088366F">
        <w:t>as “</w:t>
      </w:r>
      <w:r w:rsidR="005E2B55" w:rsidRPr="005E2B55">
        <w:t xml:space="preserve">a pestilence to earth, a thunderbolt that struck all peoples </w:t>
      </w:r>
      <w:r w:rsidR="005E2B55" w:rsidRPr="005E2B55">
        <w:lastRenderedPageBreak/>
        <w:t>alike, a comet of disaster to mankind.</w:t>
      </w:r>
      <w:r w:rsidR="005E2B55">
        <w:t>”</w:t>
      </w:r>
      <w:r w:rsidR="007F6CD6">
        <w:rPr>
          <w:rStyle w:val="FootnoteReference"/>
        </w:rPr>
        <w:footnoteReference w:id="12"/>
      </w:r>
      <w:r w:rsidR="00C41BFC">
        <w:t xml:space="preserve"> This invokes several important themes and motifs, but the most important of these is the description of Alexander as a thunderbolt. The Thunderbolt was the symbol of </w:t>
      </w:r>
      <w:r w:rsidR="007F6CD6">
        <w:t>Jupiter, the Roman king of the gods</w:t>
      </w:r>
      <w:r w:rsidR="000D4CD2">
        <w:t>, and invoking it here adds more credence to the association that Lucan is making between Alexander and the divine</w:t>
      </w:r>
      <w:r w:rsidR="007F6CD6">
        <w:t>.</w:t>
      </w:r>
      <w:r w:rsidR="008E3CA5">
        <w:t xml:space="preserve"> </w:t>
      </w:r>
      <w:r w:rsidR="00C41BFC">
        <w:t>Lucan also claims that</w:t>
      </w:r>
      <w:r w:rsidR="00A57E84">
        <w:t xml:space="preserve"> </w:t>
      </w:r>
      <w:r w:rsidR="00C41BFC">
        <w:t>“</w:t>
      </w:r>
      <w:r w:rsidR="00C41BFC" w:rsidRPr="00C41BFC">
        <w:t>No obstacle to him was heat, or sea, or barren Libya, or the Syrtes, or the desert. Following the curve of the earth, he would have marched round to the West, and gone beyond both the poles, and drunk of the Nile at its source.</w:t>
      </w:r>
      <w:r w:rsidR="00C41BFC">
        <w:t>”</w:t>
      </w:r>
      <w:r w:rsidR="000D4CD2">
        <w:rPr>
          <w:rStyle w:val="FootnoteReference"/>
        </w:rPr>
        <w:footnoteReference w:id="13"/>
      </w:r>
      <w:r w:rsidR="000D4CD2">
        <w:t xml:space="preserve"> </w:t>
      </w:r>
      <w:r w:rsidR="008E3CA5">
        <w:t xml:space="preserve">Here he is described as being entirely unstoppable, </w:t>
      </w:r>
      <w:r w:rsidR="00C04975">
        <w:t>only being halted in his conquests by nature. This could again hint towards a theme of divine punishment, not only that Alexander inflicts upon the world, but also that the gods inflict upon alexander.</w:t>
      </w:r>
      <w:r w:rsidR="00CA5504">
        <w:t xml:space="preserve"> Another line that reinforces this theme is that Alexander was “</w:t>
      </w:r>
      <w:r w:rsidR="00CA5504" w:rsidRPr="00CA5504">
        <w:t>driven by the impulse of destiny</w:t>
      </w:r>
      <w:r w:rsidR="00CA5504">
        <w:t>.”</w:t>
      </w:r>
      <w:r w:rsidR="00765F8D">
        <w:rPr>
          <w:rStyle w:val="FootnoteReference"/>
        </w:rPr>
        <w:footnoteReference w:id="14"/>
      </w:r>
      <w:r w:rsidR="00CA5504">
        <w:t xml:space="preserve"> This of course implies a level of intent and divine intervention</w:t>
      </w:r>
      <w:r w:rsidR="00F832E8">
        <w:t xml:space="preserve"> that pushed Alexander into the conquest and likely allowed him to be as successful in his conquests as he was, something perhaps reinforced by the sheer amount of luck that was instrumental in his campaigns.</w:t>
      </w:r>
    </w:p>
    <w:p w14:paraId="68D165B6" w14:textId="4AA56235" w:rsidR="00AF3384" w:rsidRDefault="00AF3384" w:rsidP="00B249B6">
      <w:r>
        <w:t xml:space="preserve">A more subtle </w:t>
      </w:r>
      <w:r w:rsidR="0064214E">
        <w:t xml:space="preserve">criticism of Alexander is also present, with Lucan claiming that </w:t>
      </w:r>
      <w:r w:rsidR="005917DA">
        <w:t>“</w:t>
      </w:r>
      <w:r w:rsidR="00EF1F87" w:rsidRPr="00EF1F87">
        <w:t>He left his own obscure realm of Macedonia; he spurned Athens which his father had conquered</w:t>
      </w:r>
      <w:r w:rsidR="00EF1F87">
        <w:t>.”</w:t>
      </w:r>
      <w:r w:rsidR="000D4CD2">
        <w:rPr>
          <w:rStyle w:val="FootnoteReference"/>
        </w:rPr>
        <w:footnoteReference w:id="15"/>
      </w:r>
      <w:r w:rsidR="00EF1F87">
        <w:t xml:space="preserve"> This could be interpreted as a</w:t>
      </w:r>
      <w:r w:rsidR="00B13B3F">
        <w:t xml:space="preserve">n inference that </w:t>
      </w:r>
      <w:r w:rsidR="00764195">
        <w:t xml:space="preserve">Alexander was </w:t>
      </w:r>
      <w:r w:rsidR="00916CE8">
        <w:t>going against his father’s wishes in attacking Persia</w:t>
      </w:r>
      <w:r w:rsidR="00B264E2">
        <w:t xml:space="preserve">, a betrayal of his father that would be considered very </w:t>
      </w:r>
      <w:r w:rsidR="00130A64">
        <w:t>poor behaviour by the Romans</w:t>
      </w:r>
      <w:r w:rsidR="00916CE8">
        <w:t xml:space="preserve">. </w:t>
      </w:r>
      <w:r w:rsidR="00FF6E5D">
        <w:t xml:space="preserve">However, </w:t>
      </w:r>
      <w:r w:rsidR="00580770">
        <w:t xml:space="preserve">it should be noted that </w:t>
      </w:r>
      <w:r w:rsidR="005815D9">
        <w:t>regardless of his other wishes, or his expectation of the extent of his son’s conquests, Philip of Macedon was expecting a war with the Persians</w:t>
      </w:r>
      <w:r w:rsidR="00C957D2">
        <w:t>, so this may be an inconsistency on the part of Lucan</w:t>
      </w:r>
      <w:r w:rsidR="005815D9">
        <w:t>.</w:t>
      </w:r>
    </w:p>
    <w:p w14:paraId="4923A7BF" w14:textId="4ABE4175" w:rsidR="00351523" w:rsidRDefault="00351523" w:rsidP="00B249B6">
      <w:r>
        <w:t xml:space="preserve">In conclusion, Lucan uses Alexander the Great’s actions to </w:t>
      </w:r>
      <w:r w:rsidR="0065627C">
        <w:t>reflect upon</w:t>
      </w:r>
      <w:r w:rsidR="00AA618B">
        <w:t xml:space="preserve"> Julius</w:t>
      </w:r>
      <w:r w:rsidR="0065627C">
        <w:t xml:space="preserve"> Caesar.</w:t>
      </w:r>
      <w:r w:rsidR="00295690">
        <w:t xml:space="preserve"> He depicts Alexander as a </w:t>
      </w:r>
      <w:r w:rsidR="00677595">
        <w:t>mad</w:t>
      </w:r>
      <w:r w:rsidR="00295690">
        <w:t xml:space="preserve"> tyrant, a force of nature that ruined the world</w:t>
      </w:r>
      <w:r w:rsidR="00BC2AB2">
        <w:t xml:space="preserve"> </w:t>
      </w:r>
      <w:r w:rsidR="008E13FA">
        <w:t>when “</w:t>
      </w:r>
      <w:r w:rsidR="008E13FA" w:rsidRPr="008E13FA">
        <w:t>he drove his sword home in the breast of every nation</w:t>
      </w:r>
      <w:r w:rsidR="008E13FA">
        <w:t>”</w:t>
      </w:r>
      <w:r w:rsidR="001C5E29">
        <w:rPr>
          <w:rStyle w:val="FootnoteReference"/>
        </w:rPr>
        <w:footnoteReference w:id="16"/>
      </w:r>
      <w:r w:rsidR="00AD317D">
        <w:t>. This he uses</w:t>
      </w:r>
      <w:r w:rsidR="00AA098B">
        <w:t xml:space="preserve"> to criticize Caesar’s actions</w:t>
      </w:r>
      <w:r w:rsidR="00182FB9">
        <w:t xml:space="preserve">, reflecting Caesar’s </w:t>
      </w:r>
      <w:r w:rsidR="00596C0E">
        <w:t xml:space="preserve">own conquests, ambition, and eventual </w:t>
      </w:r>
      <w:r w:rsidR="00583997">
        <w:t>assassination</w:t>
      </w:r>
      <w:r w:rsidR="00596C0E">
        <w:t xml:space="preserve"> with Alexander’s</w:t>
      </w:r>
      <w:r w:rsidR="00583997">
        <w:t xml:space="preserve"> conquests and death</w:t>
      </w:r>
      <w:r w:rsidR="006E3B14">
        <w:t>. However he also poses Caesar as perhaps not being influenced by the riches of the lands that he conquered, in opposition to the typical view of Alexander</w:t>
      </w:r>
      <w:r w:rsidR="00953187">
        <w:t xml:space="preserve"> and many other conquerors</w:t>
      </w:r>
      <w:r w:rsidR="006E3B14">
        <w:t>.</w:t>
      </w:r>
      <w:r w:rsidR="00CF2C53">
        <w:t xml:space="preserve"> Lucan offers a unique viewpoint on Alexander, </w:t>
      </w:r>
      <w:r w:rsidR="000D592C">
        <w:t xml:space="preserve">remarkably unfavourable even among the less positive Roman writers, </w:t>
      </w:r>
      <w:r w:rsidR="00CF2C53">
        <w:t>though one that cannot be taken at face value due to the political content of Lucan’s writing</w:t>
      </w:r>
      <w:r w:rsidR="009E7445">
        <w:t>.</w:t>
      </w:r>
    </w:p>
    <w:p w14:paraId="6A1C1B75" w14:textId="77777777" w:rsidR="00950FD6" w:rsidRDefault="00950FD6" w:rsidP="00B249B6"/>
    <w:p w14:paraId="302806AE" w14:textId="77777777" w:rsidR="00950FD6" w:rsidRDefault="00950FD6" w:rsidP="00B249B6"/>
    <w:p w14:paraId="01EAE0F8" w14:textId="77777777" w:rsidR="005A6559" w:rsidRDefault="005A6559" w:rsidP="00B249B6"/>
    <w:p w14:paraId="3A3C252F" w14:textId="10C3A34B" w:rsidR="00C738C5" w:rsidRDefault="00C738C5" w:rsidP="00B249B6">
      <w:r>
        <w:t>Bibliography:</w:t>
      </w:r>
    </w:p>
    <w:p w14:paraId="7EA35FBB" w14:textId="76E69773" w:rsidR="00B249B6" w:rsidRDefault="009C03FF" w:rsidP="00B249B6">
      <w:r w:rsidRPr="009C03FF">
        <w:t xml:space="preserve">Lucan (1928) </w:t>
      </w:r>
      <w:r w:rsidRPr="009C03FF">
        <w:rPr>
          <w:i/>
          <w:iCs/>
        </w:rPr>
        <w:t>The civil war (Pharsalia)</w:t>
      </w:r>
      <w:r w:rsidRPr="009C03FF">
        <w:t>. Translated by J.D. Duff. Cambridge, MA: Harvard University Press.</w:t>
      </w:r>
    </w:p>
    <w:p w14:paraId="5503B8A7" w14:textId="2C6958BF" w:rsidR="00183795" w:rsidRPr="00183795" w:rsidRDefault="00183795" w:rsidP="00183795">
      <w:r w:rsidRPr="00183795">
        <w:t xml:space="preserve">Lintott, A. W. </w:t>
      </w:r>
      <w:r>
        <w:t xml:space="preserve">(1971) </w:t>
      </w:r>
      <w:r w:rsidRPr="00183795">
        <w:t xml:space="preserve">Lucan and the History of the Civil War. </w:t>
      </w:r>
      <w:r w:rsidRPr="00183795">
        <w:rPr>
          <w:i/>
          <w:iCs/>
        </w:rPr>
        <w:t>The Classical Quarterly</w:t>
      </w:r>
      <w:r w:rsidRPr="00183795">
        <w:t xml:space="preserve">, vol. 21, no. 2, pp. 488–505. </w:t>
      </w:r>
      <w:r w:rsidRPr="00183795">
        <w:rPr>
          <w:i/>
          <w:iCs/>
        </w:rPr>
        <w:t>JSTOR</w:t>
      </w:r>
      <w:r w:rsidRPr="00183795">
        <w:t>, http://www.jstor.org/stable/637805. Accessed 8 Feb. 2026.</w:t>
      </w:r>
    </w:p>
    <w:p w14:paraId="7E0960C4" w14:textId="653635A1" w:rsidR="007F3256" w:rsidRDefault="007F3256" w:rsidP="007F3256">
      <w:r w:rsidRPr="007F3256">
        <w:t xml:space="preserve">DINTER, MARTIN T. </w:t>
      </w:r>
      <w:r>
        <w:t>(</w:t>
      </w:r>
      <w:r w:rsidRPr="007F3256">
        <w:t>2012</w:t>
      </w:r>
      <w:r>
        <w:t>)</w:t>
      </w:r>
      <w:r w:rsidRPr="007F3256">
        <w:t xml:space="preserve">“Lucan’s Epic Body: Anatomizing Civil War.” </w:t>
      </w:r>
      <w:r w:rsidRPr="007F3256">
        <w:rPr>
          <w:i/>
          <w:iCs/>
        </w:rPr>
        <w:t>Anatomizing Civil War: Studies in Lucan’s Epic Technique</w:t>
      </w:r>
      <w:r w:rsidRPr="007F3256">
        <w:t xml:space="preserve">, University of Michigan Press, pp. 9–49. </w:t>
      </w:r>
      <w:r w:rsidRPr="007F3256">
        <w:rPr>
          <w:i/>
          <w:iCs/>
        </w:rPr>
        <w:t>JSTOR</w:t>
      </w:r>
      <w:r w:rsidRPr="007F3256">
        <w:t xml:space="preserve">, </w:t>
      </w:r>
      <w:hyperlink r:id="rId7" w:history="1">
        <w:r w:rsidR="00DE13BF" w:rsidRPr="007F3256">
          <w:rPr>
            <w:rStyle w:val="Hyperlink"/>
          </w:rPr>
          <w:t>https://doi.org/10.2307/j.ctv3znzd3.6. Accessed 8 Feb. 2026</w:t>
        </w:r>
      </w:hyperlink>
      <w:r w:rsidRPr="007F3256">
        <w:t>.</w:t>
      </w:r>
    </w:p>
    <w:p w14:paraId="6389DDF9" w14:textId="18052D0F" w:rsidR="00DE13BF" w:rsidRPr="00DE13BF" w:rsidRDefault="00DE13BF" w:rsidP="00DE13BF">
      <w:r w:rsidRPr="00DE13BF">
        <w:t xml:space="preserve">Martindale, Charles. </w:t>
      </w:r>
      <w:r>
        <w:t>(</w:t>
      </w:r>
      <w:r w:rsidRPr="00DE13BF">
        <w:t>1984</w:t>
      </w:r>
      <w:r>
        <w:t xml:space="preserve">) </w:t>
      </w:r>
      <w:r w:rsidRPr="00DE13BF">
        <w:t xml:space="preserve">“The Politician Lucan.” </w:t>
      </w:r>
      <w:r w:rsidRPr="00DE13BF">
        <w:rPr>
          <w:i/>
          <w:iCs/>
        </w:rPr>
        <w:t>Greece &amp; Rome</w:t>
      </w:r>
      <w:r w:rsidRPr="00DE13BF">
        <w:t xml:space="preserve">, vol. 31, no. 1, pp. 64–79. </w:t>
      </w:r>
      <w:r w:rsidRPr="00DE13BF">
        <w:rPr>
          <w:i/>
          <w:iCs/>
        </w:rPr>
        <w:t>JSTOR</w:t>
      </w:r>
      <w:r w:rsidRPr="00DE13BF">
        <w:t>, http://www.jstor.org/stable/642371. Accessed 8 Feb. 2026.</w:t>
      </w:r>
    </w:p>
    <w:p w14:paraId="12112342" w14:textId="5341124C" w:rsidR="0083072C" w:rsidRDefault="00D10EE4" w:rsidP="00B249B6">
      <w:r w:rsidRPr="00D10EE4">
        <w:t>Rawlinson, G. (2007). Parthia. United States</w:t>
      </w:r>
      <w:r w:rsidR="00AF62EE">
        <w:t>,</w:t>
      </w:r>
      <w:r w:rsidRPr="00D10EE4">
        <w:t> Cosimo, Incorporated.</w:t>
      </w:r>
    </w:p>
    <w:p w14:paraId="7EBEA32A" w14:textId="45D40BF0" w:rsidR="00054E39" w:rsidRDefault="00054E39" w:rsidP="00054E39">
      <w:r w:rsidRPr="008D5E05">
        <w:t xml:space="preserve">Karamanolis, G. (2010). </w:t>
      </w:r>
      <w:r w:rsidRPr="008D5E05">
        <w:rPr>
          <w:i/>
          <w:iCs/>
        </w:rPr>
        <w:t>Plutarch (Stanford Encyclopedia of Philosophy)</w:t>
      </w:r>
      <w:r w:rsidRPr="008D5E05">
        <w:t xml:space="preserve">. [online] Stanford.edu. Available at: </w:t>
      </w:r>
      <w:hyperlink r:id="rId8" w:history="1">
        <w:r w:rsidR="000B7E93" w:rsidRPr="00E42941">
          <w:rPr>
            <w:rStyle w:val="Hyperlink"/>
          </w:rPr>
          <w:t>https://plato.stanford.edu/entries/plutarch/</w:t>
        </w:r>
      </w:hyperlink>
      <w:r w:rsidRPr="008D5E05">
        <w:t>.</w:t>
      </w:r>
    </w:p>
    <w:p w14:paraId="26C33C88" w14:textId="77777777" w:rsidR="000B7E93" w:rsidRPr="000B7E93" w:rsidRDefault="000B7E93" w:rsidP="000B7E93">
      <w:r w:rsidRPr="000B7E93">
        <w:t xml:space="preserve">Wasson, D. L. (2020, November 30). Arrian. </w:t>
      </w:r>
      <w:r w:rsidRPr="000B7E93">
        <w:rPr>
          <w:i/>
          <w:iCs/>
        </w:rPr>
        <w:t>World History Encyclopedia</w:t>
      </w:r>
      <w:r w:rsidRPr="000B7E93">
        <w:t xml:space="preserve">. </w:t>
      </w:r>
      <w:hyperlink r:id="rId9" w:history="1">
        <w:r w:rsidRPr="000B7E93">
          <w:rPr>
            <w:rStyle w:val="Hyperlink"/>
          </w:rPr>
          <w:t>https://www.worldhistory.org/Arrian/</w:t>
        </w:r>
      </w:hyperlink>
      <w:r w:rsidRPr="000B7E93">
        <w:t xml:space="preserve"> </w:t>
      </w:r>
    </w:p>
    <w:p w14:paraId="0201F68E" w14:textId="77777777" w:rsidR="00285DA6" w:rsidRPr="00285DA6" w:rsidRDefault="00285DA6" w:rsidP="00285DA6">
      <w:r w:rsidRPr="00285DA6">
        <w:t xml:space="preserve">Holmes, N. (1993). Notes on Lucan 10. </w:t>
      </w:r>
      <w:r w:rsidRPr="00285DA6">
        <w:rPr>
          <w:i/>
          <w:iCs/>
        </w:rPr>
        <w:t>The Classical Quarterly</w:t>
      </w:r>
      <w:r w:rsidRPr="00285DA6">
        <w:t xml:space="preserve">, </w:t>
      </w:r>
      <w:r w:rsidRPr="00285DA6">
        <w:rPr>
          <w:i/>
          <w:iCs/>
        </w:rPr>
        <w:t>43</w:t>
      </w:r>
      <w:r w:rsidRPr="00285DA6">
        <w:t>(1), 266–273. http://www.jstor.org/stable/639468</w:t>
      </w:r>
    </w:p>
    <w:p w14:paraId="077A6D45" w14:textId="77777777" w:rsidR="00054E39" w:rsidRDefault="00054E39" w:rsidP="00B249B6"/>
    <w:sectPr w:rsidR="00054E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8B582D" w14:textId="77777777" w:rsidR="000B0EFB" w:rsidRDefault="000B0EFB" w:rsidP="00C84562">
      <w:pPr>
        <w:spacing w:after="0" w:line="240" w:lineRule="auto"/>
      </w:pPr>
      <w:r>
        <w:separator/>
      </w:r>
    </w:p>
  </w:endnote>
  <w:endnote w:type="continuationSeparator" w:id="0">
    <w:p w14:paraId="201F9EC0" w14:textId="77777777" w:rsidR="000B0EFB" w:rsidRDefault="000B0EFB" w:rsidP="00C845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EF1895" w14:textId="77777777" w:rsidR="000B0EFB" w:rsidRDefault="000B0EFB" w:rsidP="00C84562">
      <w:pPr>
        <w:spacing w:after="0" w:line="240" w:lineRule="auto"/>
      </w:pPr>
      <w:r>
        <w:separator/>
      </w:r>
    </w:p>
  </w:footnote>
  <w:footnote w:type="continuationSeparator" w:id="0">
    <w:p w14:paraId="17E9FE6B" w14:textId="77777777" w:rsidR="000B0EFB" w:rsidRDefault="000B0EFB" w:rsidP="00C84562">
      <w:pPr>
        <w:spacing w:after="0" w:line="240" w:lineRule="auto"/>
      </w:pPr>
      <w:r>
        <w:continuationSeparator/>
      </w:r>
    </w:p>
  </w:footnote>
  <w:footnote w:id="1">
    <w:p w14:paraId="7323E63B" w14:textId="6E0D114F" w:rsidR="00276E55" w:rsidRDefault="00276E55">
      <w:pPr>
        <w:pStyle w:val="FootnoteText"/>
      </w:pPr>
      <w:r>
        <w:rPr>
          <w:rStyle w:val="FootnoteReference"/>
        </w:rPr>
        <w:footnoteRef/>
      </w:r>
      <w:r>
        <w:t xml:space="preserve"> </w:t>
      </w:r>
      <w:r w:rsidRPr="009C03FF">
        <w:t>Lucan (1928)</w:t>
      </w:r>
      <w:r>
        <w:t>, book 10</w:t>
      </w:r>
    </w:p>
  </w:footnote>
  <w:footnote w:id="2">
    <w:p w14:paraId="48430198" w14:textId="4490C961" w:rsidR="0084678B" w:rsidRDefault="0084678B">
      <w:pPr>
        <w:pStyle w:val="FootnoteText"/>
      </w:pPr>
      <w:r>
        <w:rPr>
          <w:rStyle w:val="FootnoteReference"/>
        </w:rPr>
        <w:footnoteRef/>
      </w:r>
      <w:r>
        <w:t xml:space="preserve"> </w:t>
      </w:r>
      <w:r w:rsidRPr="009C03FF">
        <w:t>Lucan (1928)</w:t>
      </w:r>
      <w:r>
        <w:t>, book 10</w:t>
      </w:r>
    </w:p>
  </w:footnote>
  <w:footnote w:id="3">
    <w:p w14:paraId="05FED1BC" w14:textId="131E9997" w:rsidR="00D1665C" w:rsidRDefault="00D1665C">
      <w:pPr>
        <w:pStyle w:val="FootnoteText"/>
      </w:pPr>
      <w:r>
        <w:rPr>
          <w:rStyle w:val="FootnoteReference"/>
        </w:rPr>
        <w:footnoteRef/>
      </w:r>
      <w:r>
        <w:t xml:space="preserve"> </w:t>
      </w:r>
      <w:r w:rsidRPr="00285DA6">
        <w:t>Holmes, N. (1993).</w:t>
      </w:r>
    </w:p>
  </w:footnote>
  <w:footnote w:id="4">
    <w:p w14:paraId="169FDAB7" w14:textId="5856CB00" w:rsidR="00C84562" w:rsidRDefault="00C84562">
      <w:pPr>
        <w:pStyle w:val="FootnoteText"/>
      </w:pPr>
      <w:r>
        <w:rPr>
          <w:rStyle w:val="FootnoteReference"/>
        </w:rPr>
        <w:footnoteRef/>
      </w:r>
      <w:r>
        <w:t xml:space="preserve"> </w:t>
      </w:r>
      <w:r w:rsidR="005F0335" w:rsidRPr="009C03FF">
        <w:t>Lucan (1928)</w:t>
      </w:r>
      <w:r w:rsidR="00E56FFC">
        <w:t>, book 10</w:t>
      </w:r>
    </w:p>
  </w:footnote>
  <w:footnote w:id="5">
    <w:p w14:paraId="179FFD68" w14:textId="2A626115" w:rsidR="00C84562" w:rsidRDefault="00C84562">
      <w:pPr>
        <w:pStyle w:val="FootnoteText"/>
      </w:pPr>
      <w:r>
        <w:rPr>
          <w:rStyle w:val="FootnoteReference"/>
        </w:rPr>
        <w:footnoteRef/>
      </w:r>
      <w:r>
        <w:t xml:space="preserve"> </w:t>
      </w:r>
      <w:r w:rsidR="005F0335" w:rsidRPr="009C03FF">
        <w:t>Lucan (1928)</w:t>
      </w:r>
      <w:r w:rsidR="00E56FFC">
        <w:t>, book 10</w:t>
      </w:r>
    </w:p>
  </w:footnote>
  <w:footnote w:id="6">
    <w:p w14:paraId="10521534" w14:textId="6911F0C3" w:rsidR="00AF62EE" w:rsidRDefault="00AF62EE">
      <w:pPr>
        <w:pStyle w:val="FootnoteText"/>
      </w:pPr>
      <w:r>
        <w:rPr>
          <w:rStyle w:val="FootnoteReference"/>
        </w:rPr>
        <w:footnoteRef/>
      </w:r>
      <w:r>
        <w:t xml:space="preserve"> </w:t>
      </w:r>
      <w:r w:rsidR="0086466F" w:rsidRPr="00D10EE4">
        <w:t>Rawlinson, G. (2007). </w:t>
      </w:r>
    </w:p>
  </w:footnote>
  <w:footnote w:id="7">
    <w:p w14:paraId="01A5F3D2" w14:textId="01712182" w:rsidR="00A17BD9" w:rsidRDefault="00A17BD9">
      <w:pPr>
        <w:pStyle w:val="FootnoteText"/>
      </w:pPr>
      <w:r>
        <w:rPr>
          <w:rStyle w:val="FootnoteReference"/>
        </w:rPr>
        <w:footnoteRef/>
      </w:r>
      <w:r>
        <w:t xml:space="preserve"> </w:t>
      </w:r>
      <w:r w:rsidRPr="009C03FF">
        <w:t>Lucan (1928)</w:t>
      </w:r>
      <w:r>
        <w:t>, book 10</w:t>
      </w:r>
    </w:p>
  </w:footnote>
  <w:footnote w:id="8">
    <w:p w14:paraId="082BCAB3" w14:textId="1A307A50" w:rsidR="001856BF" w:rsidRDefault="001856BF">
      <w:pPr>
        <w:pStyle w:val="FootnoteText"/>
      </w:pPr>
      <w:r>
        <w:rPr>
          <w:rStyle w:val="FootnoteReference"/>
        </w:rPr>
        <w:footnoteRef/>
      </w:r>
      <w:r>
        <w:t xml:space="preserve"> </w:t>
      </w:r>
      <w:r w:rsidRPr="009C03FF">
        <w:t>Lucan (1928)</w:t>
      </w:r>
      <w:r>
        <w:t>, book 10</w:t>
      </w:r>
    </w:p>
  </w:footnote>
  <w:footnote w:id="9">
    <w:p w14:paraId="11A7AD81" w14:textId="6DAD5B1E" w:rsidR="00E80748" w:rsidRDefault="00E80748">
      <w:pPr>
        <w:pStyle w:val="FootnoteText"/>
      </w:pPr>
      <w:r>
        <w:rPr>
          <w:rStyle w:val="FootnoteReference"/>
        </w:rPr>
        <w:footnoteRef/>
      </w:r>
      <w:r>
        <w:t xml:space="preserve"> </w:t>
      </w:r>
      <w:r w:rsidRPr="000B7E93">
        <w:t>Wasson, D. L. (2020, November 30).</w:t>
      </w:r>
    </w:p>
  </w:footnote>
  <w:footnote w:id="10">
    <w:p w14:paraId="11FA53F7" w14:textId="1F182DA4" w:rsidR="001A3849" w:rsidRDefault="001A3849">
      <w:pPr>
        <w:pStyle w:val="FootnoteText"/>
      </w:pPr>
      <w:r>
        <w:rPr>
          <w:rStyle w:val="FootnoteReference"/>
        </w:rPr>
        <w:footnoteRef/>
      </w:r>
      <w:r>
        <w:t xml:space="preserve"> </w:t>
      </w:r>
      <w:r w:rsidRPr="008D5E05">
        <w:t>Karamanolis, G. (2010).</w:t>
      </w:r>
    </w:p>
  </w:footnote>
  <w:footnote w:id="11">
    <w:p w14:paraId="6AE42318" w14:textId="3600E07E" w:rsidR="000D4CD2" w:rsidRDefault="000D4CD2">
      <w:pPr>
        <w:pStyle w:val="FootnoteText"/>
      </w:pPr>
      <w:r>
        <w:rPr>
          <w:rStyle w:val="FootnoteReference"/>
        </w:rPr>
        <w:footnoteRef/>
      </w:r>
      <w:r>
        <w:t xml:space="preserve"> </w:t>
      </w:r>
      <w:r w:rsidRPr="009C03FF">
        <w:t>Lucan (1928)</w:t>
      </w:r>
      <w:r>
        <w:t>, book 10</w:t>
      </w:r>
    </w:p>
  </w:footnote>
  <w:footnote w:id="12">
    <w:p w14:paraId="47442382" w14:textId="2CE0E45C" w:rsidR="007F6CD6" w:rsidRDefault="007F6CD6">
      <w:pPr>
        <w:pStyle w:val="FootnoteText"/>
      </w:pPr>
      <w:r>
        <w:rPr>
          <w:rStyle w:val="FootnoteReference"/>
        </w:rPr>
        <w:footnoteRef/>
      </w:r>
      <w:r>
        <w:t xml:space="preserve"> </w:t>
      </w:r>
      <w:r w:rsidR="000D4CD2" w:rsidRPr="009C03FF">
        <w:t>Lucan (1928)</w:t>
      </w:r>
      <w:r w:rsidR="000D4CD2">
        <w:t>, book 10</w:t>
      </w:r>
    </w:p>
  </w:footnote>
  <w:footnote w:id="13">
    <w:p w14:paraId="26EA3263" w14:textId="0096E6CE" w:rsidR="000D4CD2" w:rsidRDefault="000D4CD2">
      <w:pPr>
        <w:pStyle w:val="FootnoteText"/>
      </w:pPr>
      <w:r>
        <w:rPr>
          <w:rStyle w:val="FootnoteReference"/>
        </w:rPr>
        <w:footnoteRef/>
      </w:r>
      <w:r>
        <w:t xml:space="preserve"> </w:t>
      </w:r>
      <w:r w:rsidRPr="009C03FF">
        <w:t>Lucan (1928)</w:t>
      </w:r>
      <w:r>
        <w:t>, book 10</w:t>
      </w:r>
    </w:p>
  </w:footnote>
  <w:footnote w:id="14">
    <w:p w14:paraId="54BFA58B" w14:textId="22EC4C95" w:rsidR="00765F8D" w:rsidRDefault="00765F8D">
      <w:pPr>
        <w:pStyle w:val="FootnoteText"/>
      </w:pPr>
      <w:r>
        <w:rPr>
          <w:rStyle w:val="FootnoteReference"/>
        </w:rPr>
        <w:footnoteRef/>
      </w:r>
      <w:r>
        <w:t xml:space="preserve"> </w:t>
      </w:r>
      <w:r w:rsidRPr="009C03FF">
        <w:t>Lucan (1928)</w:t>
      </w:r>
      <w:r>
        <w:t>, book 10</w:t>
      </w:r>
    </w:p>
  </w:footnote>
  <w:footnote w:id="15">
    <w:p w14:paraId="45B55B5A" w14:textId="2FBA3AB6" w:rsidR="000D4CD2" w:rsidRDefault="000D4CD2">
      <w:pPr>
        <w:pStyle w:val="FootnoteText"/>
      </w:pPr>
      <w:r>
        <w:rPr>
          <w:rStyle w:val="FootnoteReference"/>
        </w:rPr>
        <w:footnoteRef/>
      </w:r>
      <w:r>
        <w:t xml:space="preserve"> </w:t>
      </w:r>
      <w:r w:rsidRPr="009C03FF">
        <w:t>Lucan (1928)</w:t>
      </w:r>
      <w:r>
        <w:t>, book 10</w:t>
      </w:r>
    </w:p>
  </w:footnote>
  <w:footnote w:id="16">
    <w:p w14:paraId="1CE92D8E" w14:textId="6AE198F2" w:rsidR="001C5E29" w:rsidRDefault="001C5E29">
      <w:pPr>
        <w:pStyle w:val="FootnoteText"/>
      </w:pPr>
      <w:r>
        <w:rPr>
          <w:rStyle w:val="FootnoteReference"/>
        </w:rPr>
        <w:footnoteRef/>
      </w:r>
      <w:r>
        <w:t xml:space="preserve"> </w:t>
      </w:r>
      <w:r w:rsidRPr="009C03FF">
        <w:t>Lucan (1928)</w:t>
      </w:r>
      <w:r>
        <w:t>, book 10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49B6"/>
    <w:rsid w:val="00005F19"/>
    <w:rsid w:val="000377D0"/>
    <w:rsid w:val="00053619"/>
    <w:rsid w:val="00054E39"/>
    <w:rsid w:val="00056DF2"/>
    <w:rsid w:val="00071BF2"/>
    <w:rsid w:val="00096059"/>
    <w:rsid w:val="000B0EFB"/>
    <w:rsid w:val="000B7E93"/>
    <w:rsid w:val="000C46CB"/>
    <w:rsid w:val="000D4CD2"/>
    <w:rsid w:val="000D592C"/>
    <w:rsid w:val="000E7267"/>
    <w:rsid w:val="000F5FD2"/>
    <w:rsid w:val="001240F8"/>
    <w:rsid w:val="00130A64"/>
    <w:rsid w:val="00143748"/>
    <w:rsid w:val="00153722"/>
    <w:rsid w:val="00161EB9"/>
    <w:rsid w:val="00182FB9"/>
    <w:rsid w:val="00183795"/>
    <w:rsid w:val="001856BF"/>
    <w:rsid w:val="00191437"/>
    <w:rsid w:val="00192DF5"/>
    <w:rsid w:val="001A3849"/>
    <w:rsid w:val="001C0C71"/>
    <w:rsid w:val="001C2370"/>
    <w:rsid w:val="001C3764"/>
    <w:rsid w:val="001C5E29"/>
    <w:rsid w:val="001D60DD"/>
    <w:rsid w:val="001F1F66"/>
    <w:rsid w:val="00226EDB"/>
    <w:rsid w:val="002565AC"/>
    <w:rsid w:val="002637E3"/>
    <w:rsid w:val="00276E55"/>
    <w:rsid w:val="00282FA5"/>
    <w:rsid w:val="00285DA6"/>
    <w:rsid w:val="00295690"/>
    <w:rsid w:val="002A6072"/>
    <w:rsid w:val="002B5EAF"/>
    <w:rsid w:val="003340A5"/>
    <w:rsid w:val="00351523"/>
    <w:rsid w:val="003527B5"/>
    <w:rsid w:val="00367035"/>
    <w:rsid w:val="00370ACA"/>
    <w:rsid w:val="00374444"/>
    <w:rsid w:val="00387064"/>
    <w:rsid w:val="003903DC"/>
    <w:rsid w:val="003A3678"/>
    <w:rsid w:val="003A72D5"/>
    <w:rsid w:val="003A7DBC"/>
    <w:rsid w:val="003D6F11"/>
    <w:rsid w:val="003E15C6"/>
    <w:rsid w:val="003F4621"/>
    <w:rsid w:val="00466297"/>
    <w:rsid w:val="0047132D"/>
    <w:rsid w:val="00481677"/>
    <w:rsid w:val="0051356E"/>
    <w:rsid w:val="0053051A"/>
    <w:rsid w:val="00536944"/>
    <w:rsid w:val="00580770"/>
    <w:rsid w:val="005815D9"/>
    <w:rsid w:val="00581DB0"/>
    <w:rsid w:val="00583997"/>
    <w:rsid w:val="005917DA"/>
    <w:rsid w:val="0059593B"/>
    <w:rsid w:val="00596C0E"/>
    <w:rsid w:val="005A6559"/>
    <w:rsid w:val="005D2FE9"/>
    <w:rsid w:val="005D5098"/>
    <w:rsid w:val="005D531C"/>
    <w:rsid w:val="005D67FD"/>
    <w:rsid w:val="005E2B55"/>
    <w:rsid w:val="005F0335"/>
    <w:rsid w:val="005F1FF5"/>
    <w:rsid w:val="005F53EA"/>
    <w:rsid w:val="00600CDF"/>
    <w:rsid w:val="00601848"/>
    <w:rsid w:val="00631A77"/>
    <w:rsid w:val="006326A6"/>
    <w:rsid w:val="0064214E"/>
    <w:rsid w:val="0065627C"/>
    <w:rsid w:val="006579DE"/>
    <w:rsid w:val="00664A0C"/>
    <w:rsid w:val="0067158A"/>
    <w:rsid w:val="00677595"/>
    <w:rsid w:val="006B08C9"/>
    <w:rsid w:val="006C1769"/>
    <w:rsid w:val="006C4D05"/>
    <w:rsid w:val="006C507B"/>
    <w:rsid w:val="006D29E7"/>
    <w:rsid w:val="006E2B45"/>
    <w:rsid w:val="006E3B14"/>
    <w:rsid w:val="0070662A"/>
    <w:rsid w:val="00724D9A"/>
    <w:rsid w:val="00733E34"/>
    <w:rsid w:val="0073403A"/>
    <w:rsid w:val="00744CF2"/>
    <w:rsid w:val="00753F00"/>
    <w:rsid w:val="00764195"/>
    <w:rsid w:val="00765F8D"/>
    <w:rsid w:val="007A26FE"/>
    <w:rsid w:val="007A5976"/>
    <w:rsid w:val="007C7BCB"/>
    <w:rsid w:val="007E3390"/>
    <w:rsid w:val="007E361E"/>
    <w:rsid w:val="007E60B9"/>
    <w:rsid w:val="007F3256"/>
    <w:rsid w:val="007F47B0"/>
    <w:rsid w:val="007F6CD6"/>
    <w:rsid w:val="00814FBB"/>
    <w:rsid w:val="0083072C"/>
    <w:rsid w:val="0084678B"/>
    <w:rsid w:val="0086466F"/>
    <w:rsid w:val="00872E4E"/>
    <w:rsid w:val="0088366F"/>
    <w:rsid w:val="0089369C"/>
    <w:rsid w:val="00896C4E"/>
    <w:rsid w:val="008B3964"/>
    <w:rsid w:val="008E13FA"/>
    <w:rsid w:val="008E3CA5"/>
    <w:rsid w:val="008E7897"/>
    <w:rsid w:val="00916CE8"/>
    <w:rsid w:val="0092096C"/>
    <w:rsid w:val="00944140"/>
    <w:rsid w:val="00950FD6"/>
    <w:rsid w:val="00953187"/>
    <w:rsid w:val="00965602"/>
    <w:rsid w:val="009759B5"/>
    <w:rsid w:val="0098102F"/>
    <w:rsid w:val="009832D1"/>
    <w:rsid w:val="00985B7A"/>
    <w:rsid w:val="00992A34"/>
    <w:rsid w:val="009C03FF"/>
    <w:rsid w:val="009D288D"/>
    <w:rsid w:val="009D2EE3"/>
    <w:rsid w:val="009E3979"/>
    <w:rsid w:val="009E554F"/>
    <w:rsid w:val="009E7445"/>
    <w:rsid w:val="00A17BD9"/>
    <w:rsid w:val="00A23654"/>
    <w:rsid w:val="00A33828"/>
    <w:rsid w:val="00A57E84"/>
    <w:rsid w:val="00A75A59"/>
    <w:rsid w:val="00AA098B"/>
    <w:rsid w:val="00AA618B"/>
    <w:rsid w:val="00AB10F0"/>
    <w:rsid w:val="00AB3C20"/>
    <w:rsid w:val="00AD317D"/>
    <w:rsid w:val="00AF3384"/>
    <w:rsid w:val="00AF62EE"/>
    <w:rsid w:val="00B01630"/>
    <w:rsid w:val="00B04920"/>
    <w:rsid w:val="00B10E3C"/>
    <w:rsid w:val="00B13B3F"/>
    <w:rsid w:val="00B249B6"/>
    <w:rsid w:val="00B264E2"/>
    <w:rsid w:val="00B410BC"/>
    <w:rsid w:val="00B721BE"/>
    <w:rsid w:val="00B81B90"/>
    <w:rsid w:val="00B928E4"/>
    <w:rsid w:val="00BA3B4C"/>
    <w:rsid w:val="00BC2AB2"/>
    <w:rsid w:val="00BF2D01"/>
    <w:rsid w:val="00BF2FC0"/>
    <w:rsid w:val="00C04975"/>
    <w:rsid w:val="00C162A6"/>
    <w:rsid w:val="00C4007D"/>
    <w:rsid w:val="00C41BFC"/>
    <w:rsid w:val="00C57934"/>
    <w:rsid w:val="00C65254"/>
    <w:rsid w:val="00C72B2A"/>
    <w:rsid w:val="00C738C5"/>
    <w:rsid w:val="00C821AC"/>
    <w:rsid w:val="00C84562"/>
    <w:rsid w:val="00C957D2"/>
    <w:rsid w:val="00CA5504"/>
    <w:rsid w:val="00CC3696"/>
    <w:rsid w:val="00CC388F"/>
    <w:rsid w:val="00CC6D9C"/>
    <w:rsid w:val="00CD35BE"/>
    <w:rsid w:val="00CE06DC"/>
    <w:rsid w:val="00CE556F"/>
    <w:rsid w:val="00CF2C53"/>
    <w:rsid w:val="00D10EE4"/>
    <w:rsid w:val="00D13811"/>
    <w:rsid w:val="00D1665C"/>
    <w:rsid w:val="00D16C65"/>
    <w:rsid w:val="00D36217"/>
    <w:rsid w:val="00D41E42"/>
    <w:rsid w:val="00D5540D"/>
    <w:rsid w:val="00D55FF0"/>
    <w:rsid w:val="00D91A29"/>
    <w:rsid w:val="00DC128A"/>
    <w:rsid w:val="00DE13BF"/>
    <w:rsid w:val="00DF0B35"/>
    <w:rsid w:val="00E56FFC"/>
    <w:rsid w:val="00E60BA7"/>
    <w:rsid w:val="00E657C2"/>
    <w:rsid w:val="00E80748"/>
    <w:rsid w:val="00E97E55"/>
    <w:rsid w:val="00EA37B6"/>
    <w:rsid w:val="00EA71C4"/>
    <w:rsid w:val="00EA723A"/>
    <w:rsid w:val="00EB38E7"/>
    <w:rsid w:val="00EC2D94"/>
    <w:rsid w:val="00ED5169"/>
    <w:rsid w:val="00EF1F87"/>
    <w:rsid w:val="00F364EA"/>
    <w:rsid w:val="00F42521"/>
    <w:rsid w:val="00F555F3"/>
    <w:rsid w:val="00F67FAD"/>
    <w:rsid w:val="00F832E8"/>
    <w:rsid w:val="00F83A99"/>
    <w:rsid w:val="00F95181"/>
    <w:rsid w:val="00FC45B3"/>
    <w:rsid w:val="00FC4CA1"/>
    <w:rsid w:val="00FC5607"/>
    <w:rsid w:val="00FD79A5"/>
    <w:rsid w:val="00FE31B5"/>
    <w:rsid w:val="00FF6E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FD0DA5"/>
  <w15:chartTrackingRefBased/>
  <w15:docId w15:val="{07C25C33-84EE-455E-BB90-E8C9AEE356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49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49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49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49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49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49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49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49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49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49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49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49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49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49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49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49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49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49B6"/>
    <w:rPr>
      <w:rFonts w:eastAsiaTheme="majorEastAsia" w:cstheme="majorBidi"/>
      <w:color w:val="272727" w:themeColor="text1" w:themeTint="D8"/>
    </w:rPr>
  </w:style>
  <w:style w:type="paragraph" w:styleId="Title">
    <w:name w:val="Title"/>
    <w:basedOn w:val="Normal"/>
    <w:next w:val="Normal"/>
    <w:link w:val="TitleChar"/>
    <w:uiPriority w:val="10"/>
    <w:qFormat/>
    <w:rsid w:val="00B249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49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49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49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49B6"/>
    <w:pPr>
      <w:spacing w:before="160"/>
      <w:jc w:val="center"/>
    </w:pPr>
    <w:rPr>
      <w:i/>
      <w:iCs/>
      <w:color w:val="404040" w:themeColor="text1" w:themeTint="BF"/>
    </w:rPr>
  </w:style>
  <w:style w:type="character" w:customStyle="1" w:styleId="QuoteChar">
    <w:name w:val="Quote Char"/>
    <w:basedOn w:val="DefaultParagraphFont"/>
    <w:link w:val="Quote"/>
    <w:uiPriority w:val="29"/>
    <w:rsid w:val="00B249B6"/>
    <w:rPr>
      <w:i/>
      <w:iCs/>
      <w:color w:val="404040" w:themeColor="text1" w:themeTint="BF"/>
    </w:rPr>
  </w:style>
  <w:style w:type="paragraph" w:styleId="ListParagraph">
    <w:name w:val="List Paragraph"/>
    <w:basedOn w:val="Normal"/>
    <w:uiPriority w:val="34"/>
    <w:qFormat/>
    <w:rsid w:val="00B249B6"/>
    <w:pPr>
      <w:ind w:left="720"/>
      <w:contextualSpacing/>
    </w:pPr>
  </w:style>
  <w:style w:type="character" w:styleId="IntenseEmphasis">
    <w:name w:val="Intense Emphasis"/>
    <w:basedOn w:val="DefaultParagraphFont"/>
    <w:uiPriority w:val="21"/>
    <w:qFormat/>
    <w:rsid w:val="00B249B6"/>
    <w:rPr>
      <w:i/>
      <w:iCs/>
      <w:color w:val="0F4761" w:themeColor="accent1" w:themeShade="BF"/>
    </w:rPr>
  </w:style>
  <w:style w:type="paragraph" w:styleId="IntenseQuote">
    <w:name w:val="Intense Quote"/>
    <w:basedOn w:val="Normal"/>
    <w:next w:val="Normal"/>
    <w:link w:val="IntenseQuoteChar"/>
    <w:uiPriority w:val="30"/>
    <w:qFormat/>
    <w:rsid w:val="00B249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49B6"/>
    <w:rPr>
      <w:i/>
      <w:iCs/>
      <w:color w:val="0F4761" w:themeColor="accent1" w:themeShade="BF"/>
    </w:rPr>
  </w:style>
  <w:style w:type="character" w:styleId="IntenseReference">
    <w:name w:val="Intense Reference"/>
    <w:basedOn w:val="DefaultParagraphFont"/>
    <w:uiPriority w:val="32"/>
    <w:qFormat/>
    <w:rsid w:val="00B249B6"/>
    <w:rPr>
      <w:b/>
      <w:bCs/>
      <w:smallCaps/>
      <w:color w:val="0F4761" w:themeColor="accent1" w:themeShade="BF"/>
      <w:spacing w:val="5"/>
    </w:rPr>
  </w:style>
  <w:style w:type="character" w:styleId="Hyperlink">
    <w:name w:val="Hyperlink"/>
    <w:basedOn w:val="DefaultParagraphFont"/>
    <w:uiPriority w:val="99"/>
    <w:unhideWhenUsed/>
    <w:rsid w:val="00DE13BF"/>
    <w:rPr>
      <w:color w:val="467886" w:themeColor="hyperlink"/>
      <w:u w:val="single"/>
    </w:rPr>
  </w:style>
  <w:style w:type="character" w:styleId="UnresolvedMention">
    <w:name w:val="Unresolved Mention"/>
    <w:basedOn w:val="DefaultParagraphFont"/>
    <w:uiPriority w:val="99"/>
    <w:semiHidden/>
    <w:unhideWhenUsed/>
    <w:rsid w:val="00DE13BF"/>
    <w:rPr>
      <w:color w:val="605E5C"/>
      <w:shd w:val="clear" w:color="auto" w:fill="E1DFDD"/>
    </w:rPr>
  </w:style>
  <w:style w:type="paragraph" w:styleId="FootnoteText">
    <w:name w:val="footnote text"/>
    <w:basedOn w:val="Normal"/>
    <w:link w:val="FootnoteTextChar"/>
    <w:uiPriority w:val="99"/>
    <w:semiHidden/>
    <w:unhideWhenUsed/>
    <w:rsid w:val="00C8456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84562"/>
    <w:rPr>
      <w:sz w:val="20"/>
      <w:szCs w:val="20"/>
    </w:rPr>
  </w:style>
  <w:style w:type="character" w:styleId="FootnoteReference">
    <w:name w:val="footnote reference"/>
    <w:basedOn w:val="DefaultParagraphFont"/>
    <w:uiPriority w:val="99"/>
    <w:semiHidden/>
    <w:unhideWhenUsed/>
    <w:rsid w:val="00C8456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ato.stanford.edu/entries/plutarch/" TargetMode="External"/><Relationship Id="rId3" Type="http://schemas.openxmlformats.org/officeDocument/2006/relationships/settings" Target="settings.xml"/><Relationship Id="rId7" Type="http://schemas.openxmlformats.org/officeDocument/2006/relationships/hyperlink" Target="https://doi.org/10.2307/j.ctv3znzd3.6.%20Accessed%208%20Feb.%202026"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worldhistory.org/Arri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F5CF00-78E9-467E-91AE-1746A15927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716</TotalTime>
  <Pages>4</Pages>
  <Words>1492</Words>
  <Characters>7897</Characters>
  <Application>Microsoft Office Word</Application>
  <DocSecurity>0</DocSecurity>
  <Lines>154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Edwards (2304623)</dc:creator>
  <cp:keywords/>
  <dc:description/>
  <cp:lastModifiedBy>Robert Edwards (2304623)</cp:lastModifiedBy>
  <cp:revision>218</cp:revision>
  <dcterms:created xsi:type="dcterms:W3CDTF">2026-02-07T23:57:00Z</dcterms:created>
  <dcterms:modified xsi:type="dcterms:W3CDTF">2026-02-08T21:24:00Z</dcterms:modified>
</cp:coreProperties>
</file>