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7156F" w:rsidRDefault="0077156F" w:rsidP="0077156F">
      <w:pPr>
        <w:jc w:val="center"/>
      </w:pPr>
      <w:r>
        <w:rPr>
          <w:noProof/>
        </w:rPr>
        <w:drawing>
          <wp:inline distT="0" distB="0" distL="0" distR="0" wp14:anchorId="1A57F48B" wp14:editId="3B4D36C3">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r>
        <w:fldChar w:fldCharType="begin"/>
      </w:r>
      <w:r>
        <w:instrText xml:space="preserve"> INCLUDEPICTURE "C:\\Users\\AzZedin01\\Library\\Group Containers\\UBF8T346G9.ms\\WebArchiveCopyPasteTempFiles\\com.microsoft.Word\\8P2xdp3q1g646AAAAAElFTkSuQmCC" \* MERGEFORMAT </w:instrText>
      </w:r>
      <w:r>
        <w:fldChar w:fldCharType="end"/>
      </w:r>
    </w:p>
    <w:p w:rsidR="0077156F" w:rsidRDefault="0077156F" w:rsidP="0077156F">
      <w:pPr>
        <w:jc w:val="center"/>
      </w:pPr>
    </w:p>
    <w:p w:rsidR="0077156F" w:rsidRDefault="0077156F" w:rsidP="0077156F">
      <w:pPr>
        <w:jc w:val="center"/>
      </w:pPr>
    </w:p>
    <w:p w:rsidR="0077156F" w:rsidRDefault="0077156F" w:rsidP="0077156F">
      <w:pPr>
        <w:jc w:val="center"/>
      </w:pPr>
    </w:p>
    <w:p w:rsidR="0077156F" w:rsidRDefault="0077156F" w:rsidP="0077156F">
      <w:pPr>
        <w:jc w:val="center"/>
      </w:pPr>
    </w:p>
    <w:p w:rsidR="0077156F" w:rsidRDefault="0077156F" w:rsidP="0077156F">
      <w:pPr>
        <w:jc w:val="center"/>
      </w:pPr>
    </w:p>
    <w:p w:rsidR="0077156F" w:rsidRPr="00646406" w:rsidRDefault="0077156F" w:rsidP="0077156F">
      <w:pPr>
        <w:jc w:val="center"/>
        <w:rPr>
          <w:rFonts w:ascii="Arial" w:hAnsi="Arial" w:cs="Arial"/>
          <w:b/>
          <w:bCs/>
        </w:rPr>
      </w:pPr>
      <w:r>
        <w:rPr>
          <w:rFonts w:ascii="Arial" w:hAnsi="Arial" w:cs="Arial"/>
          <w:b/>
          <w:bCs/>
        </w:rPr>
        <w:t>Student Name</w:t>
      </w:r>
      <w:r w:rsidRPr="00646406">
        <w:rPr>
          <w:rFonts w:ascii="Arial" w:hAnsi="Arial" w:cs="Arial"/>
          <w:b/>
          <w:bCs/>
        </w:rPr>
        <w:t>:</w:t>
      </w:r>
      <w:r>
        <w:rPr>
          <w:rFonts w:ascii="Arial" w:hAnsi="Arial" w:cs="Arial"/>
          <w:b/>
          <w:bCs/>
        </w:rPr>
        <w:t xml:space="preserve"> </w:t>
      </w:r>
      <w:proofErr w:type="spellStart"/>
      <w:r>
        <w:rPr>
          <w:rFonts w:ascii="Arial" w:hAnsi="Arial" w:cs="Arial"/>
          <w:b/>
          <w:bCs/>
        </w:rPr>
        <w:t>Chirag</w:t>
      </w:r>
      <w:proofErr w:type="spellEnd"/>
      <w:r>
        <w:rPr>
          <w:rFonts w:ascii="Arial" w:hAnsi="Arial" w:cs="Arial"/>
          <w:b/>
          <w:bCs/>
        </w:rPr>
        <w:t xml:space="preserve"> </w:t>
      </w:r>
      <w:proofErr w:type="spellStart"/>
      <w:r>
        <w:rPr>
          <w:rFonts w:ascii="Arial" w:hAnsi="Arial" w:cs="Arial"/>
          <w:b/>
          <w:bCs/>
        </w:rPr>
        <w:t>Arvind</w:t>
      </w:r>
      <w:proofErr w:type="spellEnd"/>
      <w:r>
        <w:rPr>
          <w:rFonts w:ascii="Arial" w:hAnsi="Arial" w:cs="Arial"/>
          <w:b/>
          <w:bCs/>
        </w:rPr>
        <w:t xml:space="preserve"> </w:t>
      </w:r>
      <w:proofErr w:type="spellStart"/>
      <w:r>
        <w:rPr>
          <w:rFonts w:ascii="Arial" w:hAnsi="Arial" w:cs="Arial"/>
          <w:b/>
          <w:bCs/>
        </w:rPr>
        <w:t>Kapadia</w:t>
      </w:r>
      <w:proofErr w:type="spellEnd"/>
    </w:p>
    <w:p w:rsidR="0077156F" w:rsidRPr="00646406" w:rsidRDefault="0077156F" w:rsidP="0077156F">
      <w:pPr>
        <w:jc w:val="center"/>
        <w:rPr>
          <w:rFonts w:ascii="Arial" w:hAnsi="Arial" w:cs="Arial"/>
          <w:b/>
          <w:bCs/>
        </w:rPr>
      </w:pPr>
    </w:p>
    <w:p w:rsidR="0077156F" w:rsidRPr="00646406" w:rsidRDefault="0077156F" w:rsidP="0077156F">
      <w:pPr>
        <w:jc w:val="center"/>
        <w:rPr>
          <w:rFonts w:ascii="Arial" w:hAnsi="Arial" w:cs="Arial"/>
          <w:b/>
          <w:bCs/>
        </w:rPr>
      </w:pPr>
      <w:r>
        <w:rPr>
          <w:rFonts w:ascii="Arial" w:hAnsi="Arial" w:cs="Arial"/>
          <w:b/>
          <w:bCs/>
        </w:rPr>
        <w:t>Student ID</w:t>
      </w:r>
      <w:proofErr w:type="gramStart"/>
      <w:r w:rsidRPr="00646406">
        <w:rPr>
          <w:rFonts w:ascii="Arial" w:hAnsi="Arial" w:cs="Arial"/>
          <w:b/>
          <w:bCs/>
        </w:rPr>
        <w:t>:</w:t>
      </w:r>
      <w:r>
        <w:rPr>
          <w:rFonts w:ascii="Arial" w:hAnsi="Arial" w:cs="Arial"/>
          <w:b/>
          <w:bCs/>
        </w:rPr>
        <w:t>2521160</w:t>
      </w:r>
      <w:proofErr w:type="gramEnd"/>
    </w:p>
    <w:p w:rsidR="0077156F" w:rsidRPr="00646406" w:rsidRDefault="0077156F" w:rsidP="0077156F">
      <w:pPr>
        <w:jc w:val="center"/>
        <w:rPr>
          <w:rFonts w:ascii="Arial" w:hAnsi="Arial" w:cs="Arial"/>
        </w:rPr>
      </w:pPr>
    </w:p>
    <w:p w:rsidR="0077156F" w:rsidRPr="00646406" w:rsidRDefault="0077156F" w:rsidP="0077156F">
      <w:pPr>
        <w:jc w:val="center"/>
        <w:rPr>
          <w:rFonts w:ascii="Arial" w:hAnsi="Arial" w:cs="Arial"/>
        </w:rPr>
      </w:pPr>
    </w:p>
    <w:p w:rsidR="0077156F" w:rsidRPr="001B51F8" w:rsidRDefault="0077156F" w:rsidP="0077156F">
      <w:pPr>
        <w:jc w:val="center"/>
        <w:rPr>
          <w:rFonts w:ascii="Arial" w:hAnsi="Arial" w:cs="Arial"/>
          <w:bCs/>
        </w:rPr>
      </w:pPr>
      <w:r>
        <w:rPr>
          <w:rFonts w:ascii="Arial" w:hAnsi="Arial" w:cs="Arial"/>
          <w:b/>
          <w:bCs/>
        </w:rPr>
        <w:t xml:space="preserve">Module Name: </w:t>
      </w:r>
      <w:r w:rsidR="00277B7E">
        <w:rPr>
          <w:b/>
          <w:sz w:val="28"/>
          <w:szCs w:val="28"/>
        </w:rPr>
        <w:t>International Marketing</w:t>
      </w:r>
    </w:p>
    <w:p w:rsidR="0077156F" w:rsidRPr="00646406" w:rsidRDefault="0077156F" w:rsidP="0077156F">
      <w:pPr>
        <w:jc w:val="center"/>
        <w:rPr>
          <w:rFonts w:ascii="Arial" w:hAnsi="Arial" w:cs="Arial"/>
          <w:b/>
          <w:bCs/>
        </w:rPr>
      </w:pPr>
    </w:p>
    <w:p w:rsidR="0077156F" w:rsidRPr="00646406" w:rsidRDefault="0077156F" w:rsidP="0077156F">
      <w:pPr>
        <w:jc w:val="center"/>
        <w:rPr>
          <w:rFonts w:ascii="Arial" w:hAnsi="Arial" w:cs="Arial"/>
          <w:b/>
          <w:bCs/>
        </w:rPr>
      </w:pPr>
      <w:r>
        <w:rPr>
          <w:rFonts w:ascii="Arial" w:hAnsi="Arial" w:cs="Arial"/>
          <w:b/>
          <w:bCs/>
        </w:rPr>
        <w:t>Module Code</w:t>
      </w:r>
      <w:r w:rsidRPr="00646406">
        <w:rPr>
          <w:rFonts w:ascii="Arial" w:hAnsi="Arial" w:cs="Arial"/>
          <w:b/>
          <w:bCs/>
        </w:rPr>
        <w:t xml:space="preserve">: </w:t>
      </w:r>
      <w:r w:rsidR="00277B7E">
        <w:rPr>
          <w:b/>
          <w:sz w:val="28"/>
          <w:szCs w:val="28"/>
        </w:rPr>
        <w:t>LCMB7026</w:t>
      </w:r>
    </w:p>
    <w:p w:rsidR="0077156F" w:rsidRPr="00646406" w:rsidRDefault="0077156F" w:rsidP="0077156F">
      <w:pPr>
        <w:jc w:val="center"/>
        <w:rPr>
          <w:rFonts w:ascii="Arial" w:hAnsi="Arial" w:cs="Arial"/>
          <w:b/>
          <w:bCs/>
        </w:rPr>
      </w:pPr>
    </w:p>
    <w:p w:rsidR="0077156F" w:rsidRPr="00646406" w:rsidRDefault="0077156F" w:rsidP="0077156F">
      <w:pPr>
        <w:jc w:val="center"/>
        <w:rPr>
          <w:rFonts w:ascii="Arial" w:hAnsi="Arial" w:cs="Arial"/>
          <w:b/>
          <w:bCs/>
        </w:rPr>
      </w:pPr>
    </w:p>
    <w:p w:rsidR="0077156F" w:rsidRPr="00646406" w:rsidRDefault="0077156F" w:rsidP="0077156F">
      <w:pPr>
        <w:jc w:val="center"/>
        <w:rPr>
          <w:rFonts w:ascii="Arial" w:hAnsi="Arial" w:cs="Arial"/>
          <w:b/>
          <w:bCs/>
        </w:rPr>
      </w:pPr>
    </w:p>
    <w:p w:rsidR="0077156F" w:rsidRPr="00646406" w:rsidRDefault="0077156F" w:rsidP="0077156F">
      <w:pPr>
        <w:jc w:val="center"/>
        <w:rPr>
          <w:rFonts w:ascii="Arial" w:hAnsi="Arial" w:cs="Arial"/>
          <w:b/>
          <w:bCs/>
        </w:rPr>
      </w:pPr>
    </w:p>
    <w:p w:rsidR="0077156F" w:rsidRPr="00646406" w:rsidRDefault="0077156F" w:rsidP="0077156F">
      <w:pPr>
        <w:jc w:val="center"/>
        <w:rPr>
          <w:rFonts w:ascii="Arial" w:hAnsi="Arial" w:cs="Arial"/>
          <w:b/>
          <w:bCs/>
        </w:rPr>
      </w:pPr>
      <w:r>
        <w:rPr>
          <w:rFonts w:ascii="Arial" w:hAnsi="Arial" w:cs="Arial"/>
          <w:b/>
          <w:bCs/>
        </w:rPr>
        <w:t>Lecturer’s Name</w:t>
      </w:r>
      <w:r w:rsidRPr="00646406">
        <w:rPr>
          <w:rFonts w:ascii="Arial" w:hAnsi="Arial" w:cs="Arial"/>
          <w:b/>
          <w:bCs/>
        </w:rPr>
        <w:t>:</w:t>
      </w:r>
      <w:r w:rsidRPr="009A17C3">
        <w:t xml:space="preserve"> </w:t>
      </w:r>
      <w:proofErr w:type="spellStart"/>
      <w:r w:rsidR="00277B7E">
        <w:rPr>
          <w:b/>
          <w:sz w:val="28"/>
          <w:szCs w:val="28"/>
        </w:rPr>
        <w:t>Tushara</w:t>
      </w:r>
      <w:proofErr w:type="spellEnd"/>
      <w:r w:rsidR="00277B7E">
        <w:rPr>
          <w:b/>
          <w:sz w:val="28"/>
          <w:szCs w:val="28"/>
        </w:rPr>
        <w:t xml:space="preserve"> </w:t>
      </w:r>
      <w:proofErr w:type="spellStart"/>
      <w:r w:rsidR="00277B7E">
        <w:rPr>
          <w:b/>
          <w:sz w:val="28"/>
          <w:szCs w:val="28"/>
        </w:rPr>
        <w:t>Balendran</w:t>
      </w:r>
      <w:proofErr w:type="spellEnd"/>
    </w:p>
    <w:p w:rsidR="0077156F" w:rsidRPr="00646406" w:rsidRDefault="0077156F" w:rsidP="0077156F">
      <w:pPr>
        <w:jc w:val="center"/>
        <w:rPr>
          <w:rFonts w:ascii="Arial" w:hAnsi="Arial" w:cs="Arial"/>
          <w:b/>
          <w:bCs/>
        </w:rPr>
      </w:pPr>
    </w:p>
    <w:p w:rsidR="0077156F" w:rsidRPr="00646406" w:rsidRDefault="0077156F" w:rsidP="0077156F">
      <w:pPr>
        <w:jc w:val="center"/>
        <w:rPr>
          <w:rFonts w:ascii="Arial" w:hAnsi="Arial" w:cs="Arial"/>
          <w:b/>
          <w:bCs/>
        </w:rPr>
      </w:pPr>
    </w:p>
    <w:p w:rsidR="0077156F" w:rsidRPr="00646406" w:rsidRDefault="0077156F" w:rsidP="0077156F">
      <w:pPr>
        <w:jc w:val="center"/>
        <w:rPr>
          <w:rFonts w:ascii="Arial" w:hAnsi="Arial" w:cs="Arial"/>
          <w:b/>
          <w:bCs/>
        </w:rPr>
      </w:pPr>
    </w:p>
    <w:p w:rsidR="0077156F" w:rsidRDefault="0077156F" w:rsidP="0077156F">
      <w:pPr>
        <w:jc w:val="center"/>
        <w:rPr>
          <w:rFonts w:ascii="Arial" w:hAnsi="Arial" w:cs="Arial"/>
          <w:b/>
          <w:bCs/>
        </w:rPr>
      </w:pPr>
    </w:p>
    <w:p w:rsidR="0077156F" w:rsidRDefault="0077156F" w:rsidP="0077156F">
      <w:pPr>
        <w:jc w:val="center"/>
        <w:rPr>
          <w:rFonts w:ascii="Arial" w:hAnsi="Arial" w:cs="Arial"/>
          <w:b/>
          <w:bCs/>
        </w:rPr>
      </w:pPr>
    </w:p>
    <w:p w:rsidR="0077156F" w:rsidRDefault="0077156F" w:rsidP="0077156F">
      <w:pPr>
        <w:jc w:val="center"/>
        <w:rPr>
          <w:rFonts w:ascii="Arial" w:hAnsi="Arial" w:cs="Arial"/>
          <w:b/>
          <w:bCs/>
        </w:rPr>
      </w:pPr>
    </w:p>
    <w:p w:rsidR="0077156F" w:rsidRPr="00646406" w:rsidRDefault="0077156F" w:rsidP="0077156F">
      <w:pPr>
        <w:jc w:val="center"/>
        <w:rPr>
          <w:rFonts w:ascii="Arial" w:hAnsi="Arial" w:cs="Arial"/>
          <w:b/>
          <w:bCs/>
        </w:rPr>
      </w:pPr>
      <w:r>
        <w:rPr>
          <w:rFonts w:ascii="Arial" w:hAnsi="Arial" w:cs="Arial"/>
          <w:b/>
          <w:bCs/>
        </w:rPr>
        <w:t>Term 2</w:t>
      </w:r>
    </w:p>
    <w:p w:rsidR="0077156F" w:rsidRDefault="0077156F">
      <w:pPr>
        <w:spacing w:before="1800"/>
        <w:jc w:val="center"/>
        <w:rPr>
          <w:b/>
          <w:bCs/>
          <w:color w:val="1F3864"/>
          <w:sz w:val="32"/>
          <w:szCs w:val="32"/>
        </w:rPr>
      </w:pPr>
    </w:p>
    <w:p w:rsidR="0077156F" w:rsidRDefault="0077156F">
      <w:pPr>
        <w:spacing w:before="1800"/>
        <w:jc w:val="center"/>
        <w:rPr>
          <w:b/>
          <w:bCs/>
          <w:color w:val="1F3864"/>
          <w:sz w:val="32"/>
          <w:szCs w:val="32"/>
        </w:rPr>
      </w:pPr>
    </w:p>
    <w:p w:rsidR="00C17171" w:rsidRDefault="00B53870">
      <w:pPr>
        <w:spacing w:before="1800"/>
        <w:jc w:val="center"/>
      </w:pPr>
      <w:r>
        <w:rPr>
          <w:b/>
          <w:bCs/>
          <w:color w:val="1F3864"/>
          <w:sz w:val="32"/>
          <w:szCs w:val="32"/>
        </w:rPr>
        <w:lastRenderedPageBreak/>
        <w:t>International Market Entry Strategy and Marketing Mix:</w:t>
      </w:r>
    </w:p>
    <w:p w:rsidR="00C17171" w:rsidRDefault="00B53870">
      <w:pPr>
        <w:spacing w:after="400"/>
        <w:jc w:val="center"/>
      </w:pPr>
      <w:r>
        <w:rPr>
          <w:b/>
          <w:bCs/>
          <w:color w:val="1F3864"/>
          <w:sz w:val="32"/>
          <w:szCs w:val="32"/>
        </w:rPr>
        <w:t>A Comparative Study of Toyota Motor Corporation in Japan and the United Kingdom</w:t>
      </w:r>
    </w:p>
    <w:p w:rsidR="00C17171" w:rsidRDefault="00B53870">
      <w:pPr>
        <w:spacing w:before="600" w:after="200"/>
        <w:jc w:val="center"/>
      </w:pPr>
      <w:r>
        <w:rPr>
          <w:sz w:val="24"/>
          <w:szCs w:val="24"/>
        </w:rPr>
        <w:t>Module: International Marketing</w:t>
      </w:r>
    </w:p>
    <w:p w:rsidR="00C17171" w:rsidRDefault="00B53870">
      <w:pPr>
        <w:jc w:val="center"/>
      </w:pPr>
      <w:r>
        <w:rPr>
          <w:sz w:val="24"/>
          <w:szCs w:val="24"/>
        </w:rPr>
        <w:t>Brand Selected: Toyota Motor Corporation</w:t>
      </w:r>
    </w:p>
    <w:p w:rsidR="00C17171" w:rsidRDefault="00B53870">
      <w:pPr>
        <w:jc w:val="center"/>
      </w:pPr>
      <w:r>
        <w:rPr>
          <w:sz w:val="24"/>
          <w:szCs w:val="24"/>
        </w:rPr>
        <w:t>Countries Compared: Japan (Home Market) and the United Kingdom (Host Market)</w:t>
      </w:r>
    </w:p>
    <w:p w:rsidR="00C17171" w:rsidRDefault="00B53870">
      <w:bookmarkStart w:id="0" w:name="_GoBack"/>
      <w:bookmarkEnd w:id="0"/>
      <w:r>
        <w:br w:type="page"/>
      </w:r>
    </w:p>
    <w:p w:rsidR="00C17171" w:rsidRDefault="00C17171">
      <w:pPr>
        <w:sectPr w:rsidR="00C17171">
          <w:pgSz w:w="11906" w:h="16838"/>
          <w:pgMar w:top="1134" w:right="1134" w:bottom="1134" w:left="1134" w:header="708" w:footer="708" w:gutter="0"/>
          <w:cols w:space="720"/>
          <w:docGrid w:linePitch="360"/>
        </w:sectPr>
      </w:pPr>
    </w:p>
    <w:p w:rsidR="00C17171" w:rsidRDefault="00B53870">
      <w:pPr>
        <w:pStyle w:val="Heading1"/>
      </w:pPr>
      <w:r>
        <w:lastRenderedPageBreak/>
        <w:t>Contents</w:t>
      </w:r>
    </w:p>
    <w:p w:rsidR="00C17171" w:rsidRDefault="00C83F08">
      <w:pPr>
        <w:tabs>
          <w:tab w:val="right" w:leader="dot" w:pos="9026"/>
        </w:tabs>
        <w:spacing w:after="120"/>
      </w:pPr>
      <w:r>
        <w:t>1. Introduction</w:t>
      </w:r>
    </w:p>
    <w:p w:rsidR="00C17171" w:rsidRDefault="00B53870">
      <w:pPr>
        <w:tabs>
          <w:tab w:val="right" w:leader="dot" w:pos="9026"/>
        </w:tabs>
        <w:spacing w:after="120"/>
      </w:pPr>
      <w:r>
        <w:t>2. Comparative Macro-Environmental Analys</w:t>
      </w:r>
      <w:r w:rsidR="00C83F08">
        <w:t>is (PESTEL)</w:t>
      </w:r>
    </w:p>
    <w:p w:rsidR="00C17171" w:rsidRDefault="00B53870">
      <w:pPr>
        <w:tabs>
          <w:tab w:val="right" w:leader="dot" w:pos="9026"/>
        </w:tabs>
        <w:spacing w:after="120"/>
      </w:pPr>
      <w:r>
        <w:t>3. Comparative Cultural A</w:t>
      </w:r>
      <w:r w:rsidR="00C83F08">
        <w:t>nalysis (</w:t>
      </w:r>
      <w:proofErr w:type="spellStart"/>
      <w:r w:rsidR="00C83F08">
        <w:t>Hofstede's</w:t>
      </w:r>
      <w:proofErr w:type="spellEnd"/>
      <w:r w:rsidR="00C83F08">
        <w:t xml:space="preserve"> Framework)</w:t>
      </w:r>
    </w:p>
    <w:p w:rsidR="00C17171" w:rsidRDefault="00C83F08">
      <w:pPr>
        <w:tabs>
          <w:tab w:val="right" w:leader="dot" w:pos="9026"/>
        </w:tabs>
        <w:spacing w:after="120"/>
      </w:pPr>
      <w:r>
        <w:t>4. Comparative STP Analysis</w:t>
      </w:r>
    </w:p>
    <w:p w:rsidR="00C17171" w:rsidRDefault="00B53870">
      <w:pPr>
        <w:tabs>
          <w:tab w:val="right" w:leader="dot" w:pos="9026"/>
        </w:tabs>
        <w:spacing w:after="120"/>
      </w:pPr>
      <w:r>
        <w:t>5. Comparative Int</w:t>
      </w:r>
      <w:r w:rsidR="00C83F08">
        <w:t>ernational Marketing Mix (7Ps)</w:t>
      </w:r>
    </w:p>
    <w:p w:rsidR="00C17171" w:rsidRDefault="00B53870">
      <w:pPr>
        <w:tabs>
          <w:tab w:val="right" w:leader="dot" w:pos="9026"/>
        </w:tabs>
        <w:spacing w:after="120"/>
      </w:pPr>
      <w:r>
        <w:t>6. Market Entry Stra</w:t>
      </w:r>
      <w:r w:rsidR="00C83F08">
        <w:t>tegy Analysis: United Kingdom</w:t>
      </w:r>
    </w:p>
    <w:p w:rsidR="00C17171" w:rsidRDefault="00B53870">
      <w:pPr>
        <w:tabs>
          <w:tab w:val="right" w:leader="dot" w:pos="9026"/>
        </w:tabs>
        <w:spacing w:after="120"/>
      </w:pPr>
      <w:r>
        <w:t>7. Ethical Ev</w:t>
      </w:r>
      <w:r w:rsidR="00C83F08">
        <w:t>aluation of the Marketing Mix</w:t>
      </w:r>
    </w:p>
    <w:p w:rsidR="00C17171" w:rsidRDefault="00B53870">
      <w:pPr>
        <w:tabs>
          <w:tab w:val="right" w:leader="dot" w:pos="9026"/>
        </w:tabs>
        <w:spacing w:after="120"/>
      </w:pPr>
      <w:r>
        <w:t>8. R</w:t>
      </w:r>
      <w:r w:rsidR="00C83F08">
        <w:t>ecommendations</w:t>
      </w:r>
    </w:p>
    <w:p w:rsidR="00C17171" w:rsidRDefault="00C83F08">
      <w:pPr>
        <w:tabs>
          <w:tab w:val="right" w:leader="dot" w:pos="9026"/>
        </w:tabs>
        <w:spacing w:after="120"/>
      </w:pPr>
      <w:r>
        <w:t xml:space="preserve">9. </w:t>
      </w:r>
      <w:r>
        <w:t>Section 2: Reflective Account</w:t>
      </w:r>
    </w:p>
    <w:p w:rsidR="00C17171" w:rsidRDefault="00C83F08">
      <w:pPr>
        <w:tabs>
          <w:tab w:val="right" w:leader="dot" w:pos="9026"/>
        </w:tabs>
        <w:spacing w:after="120"/>
      </w:pPr>
      <w:r>
        <w:t xml:space="preserve">10. </w:t>
      </w:r>
      <w:r>
        <w:t>Reference List</w:t>
      </w:r>
    </w:p>
    <w:p w:rsidR="00C17171" w:rsidRDefault="00B53870">
      <w:r>
        <w:br w:type="page"/>
      </w:r>
    </w:p>
    <w:p w:rsidR="00C17171" w:rsidRDefault="00B53870">
      <w:pPr>
        <w:pStyle w:val="Heading1"/>
      </w:pPr>
      <w:r>
        <w:lastRenderedPageBreak/>
        <w:t>1. Introduction</w:t>
      </w:r>
    </w:p>
    <w:p w:rsidR="00C17171" w:rsidRDefault="00B53870">
      <w:pPr>
        <w:spacing w:after="200" w:line="300" w:lineRule="auto"/>
        <w:jc w:val="both"/>
      </w:pPr>
      <w:r>
        <w:t xml:space="preserve">Toyota Motor Corporation is one of the world's largest automotive manufacturers, headquartered in Toyota City, Aichi Prefecture, Japan. Since </w:t>
      </w:r>
      <w:proofErr w:type="gramStart"/>
      <w:r>
        <w:t>its</w:t>
      </w:r>
      <w:proofErr w:type="gramEnd"/>
      <w:r>
        <w:t xml:space="preserve"> founding in 1937</w:t>
      </w:r>
      <w:r>
        <w:t>, the company has expanded from a domestic manufacturer into a genuinely global enterprise, producing and selling vehicles across more than 170 countries through a network of wholly owned subsidiaries, joint ventures and franchised dealerships (Toyota Moto</w:t>
      </w:r>
      <w:r>
        <w:t>r Corporation, 2025). This report undertakes a comparative analysis of Toyota's international marketing strategy in two contrasting markets: Japan, the company's home market and the origin of its production philosophy, and the United Kingdom, a mature host</w:t>
      </w:r>
      <w:r>
        <w:t xml:space="preserve"> market in which Toyota has operated for more than six decades and has manufactured vehicles since 1992.</w:t>
      </w:r>
    </w:p>
    <w:p w:rsidR="00C17171" w:rsidRDefault="00B53870">
      <w:pPr>
        <w:spacing w:after="200" w:line="300" w:lineRule="auto"/>
        <w:jc w:val="both"/>
      </w:pPr>
      <w:r>
        <w:t>The report is structured around five requirements. First, the macro-environments of Japan and the United Kingdom are compared using the PESTEL framewor</w:t>
      </w:r>
      <w:r>
        <w:t xml:space="preserve">k, followed by a comparison of the two nations' cultural profiles using </w:t>
      </w:r>
      <w:proofErr w:type="spellStart"/>
      <w:r>
        <w:t>Hofstede's</w:t>
      </w:r>
      <w:proofErr w:type="spellEnd"/>
      <w:r>
        <w:t xml:space="preserve"> model of national culture. Second, Toyota's segmentation, targeting and positioning (STP) strategy and its international marketing mix (the 7Ps) are compared across both mar</w:t>
      </w:r>
      <w:r>
        <w:t>kets, with attention to how cultural and economic conditions shape each element. Third, the report analyses the mode of entry Toyota used to establish itself in the United Kingdom. Fourth, it evaluates a significant ethical controversy connected to Toyota'</w:t>
      </w:r>
      <w:r>
        <w:t>s marketing and quality-assurance practices. The report closes with strategic recommendations for Toyota's continued international development.</w:t>
      </w:r>
    </w:p>
    <w:p w:rsidR="00C17171" w:rsidRDefault="00B53870">
      <w:pPr>
        <w:pStyle w:val="Heading1"/>
      </w:pPr>
      <w:r>
        <w:t>2. Comparative Macro-Environmental Analysis (PESTEL)</w:t>
      </w:r>
    </w:p>
    <w:p w:rsidR="00C17171" w:rsidRDefault="00B53870">
      <w:pPr>
        <w:spacing w:after="200" w:line="300" w:lineRule="auto"/>
        <w:jc w:val="both"/>
      </w:pPr>
      <w:r>
        <w:t>A PESTEL analysis allows the political, economic, social, technological, environmental and legal conditions that shape Toyota's operating environment in Japan and the United Kingdom to be systematically compared. The two markets differ substantially in mat</w:t>
      </w:r>
      <w:r>
        <w:t>urity, demographic structure and regulatory direction, all of which have direct implications for Toyota's marketing mix.</w:t>
      </w:r>
    </w:p>
    <w:tbl>
      <w:tblPr>
        <w:tblW w:w="9000" w:type="dxa"/>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63"/>
        <w:gridCol w:w="3769"/>
        <w:gridCol w:w="3768"/>
      </w:tblGrid>
      <w:tr w:rsidR="00C17171">
        <w:tblPrEx>
          <w:tblCellMar>
            <w:top w:w="0" w:type="dxa"/>
            <w:bottom w:w="0" w:type="dxa"/>
          </w:tblCellMar>
        </w:tblPrEx>
        <w:trPr>
          <w:tblHeader/>
        </w:trPr>
        <w:tc>
          <w:tcPr>
            <w:tcW w:w="14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Factor</w:t>
            </w:r>
          </w:p>
        </w:tc>
        <w:tc>
          <w:tcPr>
            <w:tcW w:w="38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Japan (Home Market)</w:t>
            </w:r>
          </w:p>
        </w:tc>
        <w:tc>
          <w:tcPr>
            <w:tcW w:w="38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United Kingdom (Host Market)</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Political</w:t>
            </w:r>
          </w:p>
        </w:tc>
        <w:tc>
          <w:tcPr>
            <w:tcW w:w="3800" w:type="dxa"/>
            <w:tcMar>
              <w:top w:w="100" w:type="dxa"/>
              <w:left w:w="120" w:type="dxa"/>
              <w:bottom w:w="100" w:type="dxa"/>
              <w:right w:w="120" w:type="dxa"/>
            </w:tcMar>
            <w:vAlign w:val="center"/>
          </w:tcPr>
          <w:p w:rsidR="00C17171" w:rsidRDefault="00B53870">
            <w:r>
              <w:rPr>
                <w:color w:val="000000"/>
                <w:sz w:val="20"/>
                <w:szCs w:val="20"/>
              </w:rPr>
              <w:t>Stable one-party-dominant parliamentary democracy (LDP-led coalition</w:t>
            </w:r>
            <w:r>
              <w:rPr>
                <w:color w:val="000000"/>
                <w:sz w:val="20"/>
                <w:szCs w:val="20"/>
              </w:rPr>
              <w:t>s); close government-industry ties (keiretsu legacy); strong export-promotion policy; growing government pressure on automakers following the 2024 certification scandal.</w:t>
            </w:r>
          </w:p>
        </w:tc>
        <w:tc>
          <w:tcPr>
            <w:tcW w:w="3800" w:type="dxa"/>
            <w:tcMar>
              <w:top w:w="100" w:type="dxa"/>
              <w:left w:w="120" w:type="dxa"/>
              <w:bottom w:w="100" w:type="dxa"/>
              <w:right w:w="120" w:type="dxa"/>
            </w:tcMar>
            <w:vAlign w:val="center"/>
          </w:tcPr>
          <w:p w:rsidR="00C17171" w:rsidRDefault="00B53870">
            <w:r>
              <w:rPr>
                <w:color w:val="000000"/>
                <w:sz w:val="20"/>
                <w:szCs w:val="20"/>
              </w:rPr>
              <w:t>Stable parliamentary democracy but post-</w:t>
            </w:r>
            <w:proofErr w:type="spellStart"/>
            <w:r>
              <w:rPr>
                <w:color w:val="000000"/>
                <w:sz w:val="20"/>
                <w:szCs w:val="20"/>
              </w:rPr>
              <w:t>Brexit</w:t>
            </w:r>
            <w:proofErr w:type="spellEnd"/>
            <w:r>
              <w:rPr>
                <w:color w:val="000000"/>
                <w:sz w:val="20"/>
                <w:szCs w:val="20"/>
              </w:rPr>
              <w:t xml:space="preserve"> trade relationship with the EU is still</w:t>
            </w:r>
            <w:r>
              <w:rPr>
                <w:color w:val="000000"/>
                <w:sz w:val="20"/>
                <w:szCs w:val="20"/>
              </w:rPr>
              <w:t xml:space="preserve"> being renegotiated; new emissions and Zero Emission Vehicle (ZEV) mandates set binding annual EV-sales targets for manufacturers.</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Economic</w:t>
            </w:r>
          </w:p>
        </w:tc>
        <w:tc>
          <w:tcPr>
            <w:tcW w:w="3800" w:type="dxa"/>
            <w:tcMar>
              <w:top w:w="100" w:type="dxa"/>
              <w:left w:w="120" w:type="dxa"/>
              <w:bottom w:w="100" w:type="dxa"/>
              <w:right w:w="120" w:type="dxa"/>
            </w:tcMar>
            <w:vAlign w:val="center"/>
          </w:tcPr>
          <w:p w:rsidR="00C17171" w:rsidRDefault="00B53870">
            <w:r>
              <w:rPr>
                <w:color w:val="000000"/>
                <w:sz w:val="20"/>
                <w:szCs w:val="20"/>
              </w:rPr>
              <w:t>Mature, low-growth economy; historically low interest rates and periods of yen depreciation, which help export competitiveness; ageing population supressing domestic new-car demand; strong keiretsu supplier finance networks.</w:t>
            </w:r>
          </w:p>
        </w:tc>
        <w:tc>
          <w:tcPr>
            <w:tcW w:w="3800" w:type="dxa"/>
            <w:tcMar>
              <w:top w:w="100" w:type="dxa"/>
              <w:left w:w="120" w:type="dxa"/>
              <w:bottom w:w="100" w:type="dxa"/>
              <w:right w:w="120" w:type="dxa"/>
            </w:tcMar>
            <w:vAlign w:val="center"/>
          </w:tcPr>
          <w:p w:rsidR="00C17171" w:rsidRDefault="00B53870">
            <w:r>
              <w:rPr>
                <w:color w:val="000000"/>
                <w:sz w:val="20"/>
                <w:szCs w:val="20"/>
              </w:rPr>
              <w:t>Post-pandemic recovery with cos</w:t>
            </w:r>
            <w:r>
              <w:rPr>
                <w:color w:val="000000"/>
                <w:sz w:val="20"/>
                <w:szCs w:val="20"/>
              </w:rPr>
              <w:t>t-of-living pressure and higher interest rates than the previous decade; new car market passed 2.02 million registrations in 2025, the first time above 2 million since before the pandemic (</w:t>
            </w:r>
            <w:proofErr w:type="spellStart"/>
            <w:r>
              <w:rPr>
                <w:color w:val="000000"/>
                <w:sz w:val="20"/>
                <w:szCs w:val="20"/>
              </w:rPr>
              <w:t>heycar</w:t>
            </w:r>
            <w:proofErr w:type="spellEnd"/>
            <w:r>
              <w:rPr>
                <w:color w:val="000000"/>
                <w:sz w:val="20"/>
                <w:szCs w:val="20"/>
              </w:rPr>
              <w:t xml:space="preserve"> UK, 2026); consumers increasingly price-sensitive on financi</w:t>
            </w:r>
            <w:r>
              <w:rPr>
                <w:color w:val="000000"/>
                <w:sz w:val="20"/>
                <w:szCs w:val="20"/>
              </w:rPr>
              <w:t>ng (PCP/leasing).</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Social</w:t>
            </w:r>
          </w:p>
        </w:tc>
        <w:tc>
          <w:tcPr>
            <w:tcW w:w="3800" w:type="dxa"/>
            <w:tcMar>
              <w:top w:w="100" w:type="dxa"/>
              <w:left w:w="120" w:type="dxa"/>
              <w:bottom w:w="100" w:type="dxa"/>
              <w:right w:w="120" w:type="dxa"/>
            </w:tcMar>
            <w:vAlign w:val="center"/>
          </w:tcPr>
          <w:p w:rsidR="00C17171" w:rsidRDefault="00B53870">
            <w:r>
              <w:rPr>
                <w:color w:val="000000"/>
                <w:sz w:val="20"/>
                <w:szCs w:val="20"/>
              </w:rPr>
              <w:t>Rapidly ageing and shrinking population; strong preference for compact '</w:t>
            </w:r>
            <w:proofErr w:type="spellStart"/>
            <w:r>
              <w:rPr>
                <w:color w:val="000000"/>
                <w:sz w:val="20"/>
                <w:szCs w:val="20"/>
              </w:rPr>
              <w:t>kei</w:t>
            </w:r>
            <w:proofErr w:type="spellEnd"/>
            <w:r>
              <w:rPr>
                <w:color w:val="000000"/>
                <w:sz w:val="20"/>
                <w:szCs w:val="20"/>
              </w:rPr>
              <w:t xml:space="preserve">' cars in cities; high brand loyalty and trust in domestic manufacturers; growing acceptance of hybrid technology as the </w:t>
            </w:r>
            <w:r>
              <w:rPr>
                <w:color w:val="000000"/>
                <w:sz w:val="20"/>
                <w:szCs w:val="20"/>
              </w:rPr>
              <w:lastRenderedPageBreak/>
              <w:t>practical 'green' choice.</w:t>
            </w:r>
          </w:p>
        </w:tc>
        <w:tc>
          <w:tcPr>
            <w:tcW w:w="3800" w:type="dxa"/>
            <w:tcMar>
              <w:top w:w="100" w:type="dxa"/>
              <w:left w:w="120" w:type="dxa"/>
              <w:bottom w:w="100" w:type="dxa"/>
              <w:right w:w="120" w:type="dxa"/>
            </w:tcMar>
            <w:vAlign w:val="center"/>
          </w:tcPr>
          <w:p w:rsidR="00C17171" w:rsidRDefault="00B53870">
            <w:r>
              <w:rPr>
                <w:color w:val="000000"/>
                <w:sz w:val="20"/>
                <w:szCs w:val="20"/>
              </w:rPr>
              <w:lastRenderedPageBreak/>
              <w:t xml:space="preserve">Larger, </w:t>
            </w:r>
            <w:r>
              <w:rPr>
                <w:color w:val="000000"/>
                <w:sz w:val="20"/>
                <w:szCs w:val="20"/>
              </w:rPr>
              <w:t xml:space="preserve">younger, more diverse population than Japan; growing environmental consciousness among consumers; strong second-hand and fleet/company-car culture; increasing preference for SUV </w:t>
            </w:r>
            <w:r>
              <w:rPr>
                <w:color w:val="000000"/>
                <w:sz w:val="20"/>
                <w:szCs w:val="20"/>
              </w:rPr>
              <w:lastRenderedPageBreak/>
              <w:t>body styles.</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lastRenderedPageBreak/>
              <w:t>Technological</w:t>
            </w:r>
          </w:p>
        </w:tc>
        <w:tc>
          <w:tcPr>
            <w:tcW w:w="3800" w:type="dxa"/>
            <w:tcMar>
              <w:top w:w="100" w:type="dxa"/>
              <w:left w:w="120" w:type="dxa"/>
              <w:bottom w:w="100" w:type="dxa"/>
              <w:right w:w="120" w:type="dxa"/>
            </w:tcMar>
            <w:vAlign w:val="center"/>
          </w:tcPr>
          <w:p w:rsidR="00C17171" w:rsidRDefault="00B53870">
            <w:r>
              <w:rPr>
                <w:color w:val="000000"/>
                <w:sz w:val="20"/>
                <w:szCs w:val="20"/>
              </w:rPr>
              <w:t>World-leading R&amp;</w:t>
            </w:r>
            <w:r>
              <w:rPr>
                <w:color w:val="000000"/>
                <w:sz w:val="20"/>
                <w:szCs w:val="20"/>
              </w:rPr>
              <w:t>D base; birthplace of the Toyota Production System (TPS) and Kaizen; leadership in hybrid-electric technology (the Prius) and early investment in hydrogen fuel-cell technology (</w:t>
            </w:r>
            <w:proofErr w:type="spellStart"/>
            <w:r>
              <w:rPr>
                <w:color w:val="000000"/>
                <w:sz w:val="20"/>
                <w:szCs w:val="20"/>
              </w:rPr>
              <w:t>Mirai</w:t>
            </w:r>
            <w:proofErr w:type="spellEnd"/>
            <w:r>
              <w:rPr>
                <w:color w:val="000000"/>
                <w:sz w:val="20"/>
                <w:szCs w:val="20"/>
              </w:rPr>
              <w:t>).</w:t>
            </w:r>
          </w:p>
        </w:tc>
        <w:tc>
          <w:tcPr>
            <w:tcW w:w="3800" w:type="dxa"/>
            <w:tcMar>
              <w:top w:w="100" w:type="dxa"/>
              <w:left w:w="120" w:type="dxa"/>
              <w:bottom w:w="100" w:type="dxa"/>
              <w:right w:w="120" w:type="dxa"/>
            </w:tcMar>
            <w:vAlign w:val="center"/>
          </w:tcPr>
          <w:p w:rsidR="00C17171" w:rsidRDefault="00B53870">
            <w:r>
              <w:rPr>
                <w:color w:val="000000"/>
                <w:sz w:val="20"/>
                <w:szCs w:val="20"/>
              </w:rPr>
              <w:t xml:space="preserve">Advanced manufacturing base at </w:t>
            </w:r>
            <w:proofErr w:type="spellStart"/>
            <w:r>
              <w:rPr>
                <w:color w:val="000000"/>
                <w:sz w:val="20"/>
                <w:szCs w:val="20"/>
              </w:rPr>
              <w:t>Burnaston</w:t>
            </w:r>
            <w:proofErr w:type="spellEnd"/>
            <w:r>
              <w:rPr>
                <w:color w:val="000000"/>
                <w:sz w:val="20"/>
                <w:szCs w:val="20"/>
              </w:rPr>
              <w:t xml:space="preserve"> (Derbyshire) and the Deeside e</w:t>
            </w:r>
            <w:r>
              <w:rPr>
                <w:color w:val="000000"/>
                <w:sz w:val="20"/>
                <w:szCs w:val="20"/>
              </w:rPr>
              <w:t>ngine plant, used to build full-hybrid Corolla models for the whole European market; increasing UK/EU demand for battery-electric and plug-in hybrid vehicles.</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Environmental</w:t>
            </w:r>
          </w:p>
        </w:tc>
        <w:tc>
          <w:tcPr>
            <w:tcW w:w="3800" w:type="dxa"/>
            <w:tcMar>
              <w:top w:w="100" w:type="dxa"/>
              <w:left w:w="120" w:type="dxa"/>
              <w:bottom w:w="100" w:type="dxa"/>
              <w:right w:w="120" w:type="dxa"/>
            </w:tcMar>
            <w:vAlign w:val="center"/>
          </w:tcPr>
          <w:p w:rsidR="00C17171" w:rsidRDefault="00B53870">
            <w:r>
              <w:rPr>
                <w:color w:val="000000"/>
                <w:sz w:val="20"/>
                <w:szCs w:val="20"/>
              </w:rPr>
              <w:t>Government's Green Growth Strategy targets carbon neutrality by 2050; society broa</w:t>
            </w:r>
            <w:r>
              <w:rPr>
                <w:color w:val="000000"/>
                <w:sz w:val="20"/>
                <w:szCs w:val="20"/>
              </w:rPr>
              <w:t>dly supportive of hybrid technology as a transitional solution rather than requiring immediate full electrification.</w:t>
            </w:r>
          </w:p>
        </w:tc>
        <w:tc>
          <w:tcPr>
            <w:tcW w:w="3800" w:type="dxa"/>
            <w:tcMar>
              <w:top w:w="100" w:type="dxa"/>
              <w:left w:w="120" w:type="dxa"/>
              <w:bottom w:w="100" w:type="dxa"/>
              <w:right w:w="120" w:type="dxa"/>
            </w:tcMar>
            <w:vAlign w:val="center"/>
          </w:tcPr>
          <w:p w:rsidR="00C17171" w:rsidRDefault="00B53870">
            <w:r>
              <w:rPr>
                <w:color w:val="000000"/>
                <w:sz w:val="20"/>
                <w:szCs w:val="20"/>
              </w:rPr>
              <w:t>UK legislated for net-zero by 2050 and operates a Zero Emission Vehicle mandate requiring a rising proportion of manufacturers' sales to be</w:t>
            </w:r>
            <w:r>
              <w:rPr>
                <w:color w:val="000000"/>
                <w:sz w:val="20"/>
                <w:szCs w:val="20"/>
              </w:rPr>
              <w:t xml:space="preserve"> zero-emission; battery-electric share of new registrations reached roughly 23-24% in 2025 (</w:t>
            </w:r>
            <w:proofErr w:type="spellStart"/>
            <w:r>
              <w:rPr>
                <w:color w:val="000000"/>
                <w:sz w:val="20"/>
                <w:szCs w:val="20"/>
              </w:rPr>
              <w:t>heycar</w:t>
            </w:r>
            <w:proofErr w:type="spellEnd"/>
            <w:r>
              <w:rPr>
                <w:color w:val="000000"/>
                <w:sz w:val="20"/>
                <w:szCs w:val="20"/>
              </w:rPr>
              <w:t xml:space="preserve"> UK, 2026).</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Legal</w:t>
            </w:r>
          </w:p>
        </w:tc>
        <w:tc>
          <w:tcPr>
            <w:tcW w:w="3800" w:type="dxa"/>
            <w:tcMar>
              <w:top w:w="100" w:type="dxa"/>
              <w:left w:w="120" w:type="dxa"/>
              <w:bottom w:w="100" w:type="dxa"/>
              <w:right w:w="120" w:type="dxa"/>
            </w:tcMar>
            <w:vAlign w:val="center"/>
          </w:tcPr>
          <w:p w:rsidR="00C17171" w:rsidRDefault="00B53870">
            <w:r>
              <w:rPr>
                <w:color w:val="000000"/>
                <w:sz w:val="20"/>
                <w:szCs w:val="20"/>
              </w:rPr>
              <w:t>Vehicle type-approval and certification is administered by the Ministry of Land, Infrastructure, Transport and Tourism (MLIT); the 2024 industry-wide certification scandal triggered tighter regulatory audits of manufacturers, including Toyota.</w:t>
            </w:r>
          </w:p>
        </w:tc>
        <w:tc>
          <w:tcPr>
            <w:tcW w:w="3800" w:type="dxa"/>
            <w:tcMar>
              <w:top w:w="100" w:type="dxa"/>
              <w:left w:w="120" w:type="dxa"/>
              <w:bottom w:w="100" w:type="dxa"/>
              <w:right w:w="120" w:type="dxa"/>
            </w:tcMar>
            <w:vAlign w:val="center"/>
          </w:tcPr>
          <w:p w:rsidR="00C17171" w:rsidRDefault="00B53870">
            <w:r>
              <w:rPr>
                <w:color w:val="000000"/>
                <w:sz w:val="20"/>
                <w:szCs w:val="20"/>
              </w:rPr>
              <w:t>Vehicle type</w:t>
            </w:r>
            <w:r>
              <w:rPr>
                <w:color w:val="000000"/>
                <w:sz w:val="20"/>
                <w:szCs w:val="20"/>
              </w:rPr>
              <w:t>-approval follows UK/EU standards; product liability, consumer protection and advertising standards (ASA-regulated) apply; right-hand-drive and safety-testing requirements distinct from the domestic Japanese market.</w:t>
            </w:r>
          </w:p>
        </w:tc>
      </w:tr>
    </w:tbl>
    <w:p w:rsidR="00776255" w:rsidRDefault="00776255">
      <w:pPr>
        <w:spacing w:after="200" w:line="300" w:lineRule="auto"/>
        <w:jc w:val="both"/>
        <w:rPr>
          <w:i/>
          <w:iCs/>
          <w:color w:val="595959"/>
          <w:sz w:val="20"/>
          <w:szCs w:val="20"/>
        </w:rPr>
      </w:pPr>
    </w:p>
    <w:p w:rsidR="00C17171" w:rsidRDefault="00B53870">
      <w:pPr>
        <w:spacing w:after="200" w:line="300" w:lineRule="auto"/>
        <w:jc w:val="both"/>
      </w:pPr>
      <w:r>
        <w:t>The most striking difference between the two markets is demographic and regulatory. Japan's shrinking, ageing population is gradual</w:t>
      </w:r>
      <w:r>
        <w:t>ly reducing the size of the domestic new-car market and has encouraged demand for compact, fuel-efficient '</w:t>
      </w:r>
      <w:proofErr w:type="spellStart"/>
      <w:r>
        <w:t>kei</w:t>
      </w:r>
      <w:proofErr w:type="spellEnd"/>
      <w:r>
        <w:t>' cars and hybrids that suit urban, older drivers, whereas the United Kingdom's larger and younger population, together with a binding Zero Emissi</w:t>
      </w:r>
      <w:r>
        <w:t>on Vehicle mandate, is pushing demand more assertively toward battery-electric vehicles (</w:t>
      </w:r>
      <w:proofErr w:type="spellStart"/>
      <w:r>
        <w:t>heycar</w:t>
      </w:r>
      <w:proofErr w:type="spellEnd"/>
      <w:r>
        <w:t xml:space="preserve"> UK, 2026). Economically, the yen's periodic weakness against sterling and the dollar has historically supported Toyota's export competitiveness from Japan, whil</w:t>
      </w:r>
      <w:r>
        <w:t xml:space="preserve">e UK consumers have become more sensitive to financing costs amid higher interest rates. Legally, both markets are currently more demanding of Toyota than in the recent past: Japan's transport ministry ordered 'drastic reforms' after uncovering widespread </w:t>
      </w:r>
      <w:r>
        <w:t xml:space="preserve">certification irregularities in 2024 (CNBC, 2024), while the UK's ZEV mandate imposes direct compliance costs and potential fines if electrified sales targets are missed. These pressures mean Toyota must simultaneously defend its reputation for quality in </w:t>
      </w:r>
      <w:r>
        <w:t>its home market and accelerate its electrification roadmap in the United Kingdom.</w:t>
      </w:r>
    </w:p>
    <w:p w:rsidR="00C17171" w:rsidRDefault="00B53870">
      <w:pPr>
        <w:pStyle w:val="Heading1"/>
      </w:pPr>
      <w:r>
        <w:t>3. Comparative Cultural Analysis (</w:t>
      </w:r>
      <w:proofErr w:type="spellStart"/>
      <w:r>
        <w:t>Hofstede's</w:t>
      </w:r>
      <w:proofErr w:type="spellEnd"/>
      <w:r>
        <w:t xml:space="preserve"> Framework)</w:t>
      </w:r>
    </w:p>
    <w:p w:rsidR="00C17171" w:rsidRDefault="00B53870">
      <w:pPr>
        <w:spacing w:after="200" w:line="300" w:lineRule="auto"/>
        <w:jc w:val="both"/>
      </w:pPr>
      <w:proofErr w:type="spellStart"/>
      <w:r>
        <w:t>Hofstede's</w:t>
      </w:r>
      <w:proofErr w:type="spellEnd"/>
      <w:r>
        <w:t xml:space="preserve"> six-dimension model of national culture provides a structured way of understanding why marketing approaches</w:t>
      </w:r>
      <w:r>
        <w:t xml:space="preserve"> that succeed in Japan cannot simply be transplanted into the United Kingdom, and vice versa. The scores below are drawn from the widely cited </w:t>
      </w:r>
      <w:proofErr w:type="spellStart"/>
      <w:r>
        <w:t>Hofstede</w:t>
      </w:r>
      <w:proofErr w:type="spellEnd"/>
      <w:r>
        <w:t xml:space="preserve"> Insights country-comparison data (</w:t>
      </w:r>
      <w:proofErr w:type="spellStart"/>
      <w:r>
        <w:t>Hofstede</w:t>
      </w:r>
      <w:proofErr w:type="spellEnd"/>
      <w:r>
        <w:t xml:space="preserve"> Insights, cited in </w:t>
      </w:r>
      <w:proofErr w:type="spellStart"/>
      <w:r>
        <w:t>OpenLearn</w:t>
      </w:r>
      <w:proofErr w:type="spellEnd"/>
      <w:r>
        <w:t>, 2023; Simply Psychology, 2025).</w:t>
      </w:r>
    </w:p>
    <w:p w:rsidR="00C17171" w:rsidRDefault="00B53870">
      <w:pPr>
        <w:jc w:val="center"/>
      </w:pPr>
      <w:r>
        <w:rPr>
          <w:noProof/>
        </w:rPr>
        <w:lastRenderedPageBreak/>
        <w:drawing>
          <wp:inline distT="0" distB="0" distL="0" distR="0">
            <wp:extent cx="5334000" cy="3086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9"/>
                    <a:srcRect/>
                    <a:stretch>
                      <a:fillRect/>
                    </a:stretch>
                  </pic:blipFill>
                  <pic:spPr bwMode="auto">
                    <a:xfrm>
                      <a:off x="0" y="0"/>
                      <a:ext cx="5334000" cy="3086100"/>
                    </a:xfrm>
                    <a:prstGeom prst="rect">
                      <a:avLst/>
                    </a:prstGeom>
                  </pic:spPr>
                </pic:pic>
              </a:graphicData>
            </a:graphic>
          </wp:inline>
        </w:drawing>
      </w:r>
    </w:p>
    <w:p w:rsidR="00C17171" w:rsidRDefault="00C17171">
      <w:pPr>
        <w:spacing w:before="100" w:after="300"/>
        <w:jc w:val="center"/>
      </w:pPr>
    </w:p>
    <w:tbl>
      <w:tblPr>
        <w:tblW w:w="9000" w:type="dxa"/>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1500"/>
        <w:gridCol w:w="1500"/>
        <w:gridCol w:w="3400"/>
      </w:tblGrid>
      <w:tr w:rsidR="00C17171">
        <w:tblPrEx>
          <w:tblCellMar>
            <w:top w:w="0" w:type="dxa"/>
            <w:bottom w:w="0" w:type="dxa"/>
          </w:tblCellMar>
        </w:tblPrEx>
        <w:trPr>
          <w:tblHeader/>
        </w:trPr>
        <w:tc>
          <w:tcPr>
            <w:tcW w:w="26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Dimension</w:t>
            </w:r>
          </w:p>
        </w:tc>
        <w:tc>
          <w:tcPr>
            <w:tcW w:w="15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Japan</w:t>
            </w:r>
          </w:p>
        </w:tc>
        <w:tc>
          <w:tcPr>
            <w:tcW w:w="15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United Kingdom</w:t>
            </w:r>
          </w:p>
        </w:tc>
        <w:tc>
          <w:tcPr>
            <w:tcW w:w="34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Marketing Implication</w:t>
            </w:r>
          </w:p>
        </w:tc>
      </w:tr>
      <w:tr w:rsidR="00C17171">
        <w:tblPrEx>
          <w:tblCellMar>
            <w:top w:w="0" w:type="dxa"/>
            <w:bottom w:w="0" w:type="dxa"/>
          </w:tblCellMar>
        </w:tblPrEx>
        <w:tc>
          <w:tcPr>
            <w:tcW w:w="26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Power Distance</w:t>
            </w:r>
          </w:p>
        </w:tc>
        <w:tc>
          <w:tcPr>
            <w:tcW w:w="1500" w:type="dxa"/>
            <w:tcMar>
              <w:top w:w="100" w:type="dxa"/>
              <w:left w:w="120" w:type="dxa"/>
              <w:bottom w:w="100" w:type="dxa"/>
              <w:right w:w="120" w:type="dxa"/>
            </w:tcMar>
            <w:vAlign w:val="center"/>
          </w:tcPr>
          <w:p w:rsidR="00C17171" w:rsidRDefault="00B53870">
            <w:r>
              <w:rPr>
                <w:color w:val="000000"/>
                <w:sz w:val="20"/>
                <w:szCs w:val="20"/>
              </w:rPr>
              <w:t>54</w:t>
            </w:r>
          </w:p>
        </w:tc>
        <w:tc>
          <w:tcPr>
            <w:tcW w:w="1500" w:type="dxa"/>
            <w:tcMar>
              <w:top w:w="100" w:type="dxa"/>
              <w:left w:w="120" w:type="dxa"/>
              <w:bottom w:w="100" w:type="dxa"/>
              <w:right w:w="120" w:type="dxa"/>
            </w:tcMar>
            <w:vAlign w:val="center"/>
          </w:tcPr>
          <w:p w:rsidR="00C17171" w:rsidRDefault="00B53870">
            <w:r>
              <w:rPr>
                <w:color w:val="000000"/>
                <w:sz w:val="20"/>
                <w:szCs w:val="20"/>
              </w:rPr>
              <w:t>35</w:t>
            </w:r>
          </w:p>
        </w:tc>
        <w:tc>
          <w:tcPr>
            <w:tcW w:w="3400" w:type="dxa"/>
            <w:tcMar>
              <w:top w:w="100" w:type="dxa"/>
              <w:left w:w="120" w:type="dxa"/>
              <w:bottom w:w="100" w:type="dxa"/>
              <w:right w:w="120" w:type="dxa"/>
            </w:tcMar>
            <w:vAlign w:val="center"/>
          </w:tcPr>
          <w:p w:rsidR="00C17171" w:rsidRDefault="00B53870">
            <w:r>
              <w:rPr>
                <w:color w:val="000000"/>
                <w:sz w:val="20"/>
                <w:szCs w:val="20"/>
              </w:rPr>
              <w:t>Japanese communication and dealership hierarchy is comparatively more formal and status-conscious than the flatter, more consultative UK sales relationship.</w:t>
            </w:r>
          </w:p>
        </w:tc>
      </w:tr>
      <w:tr w:rsidR="00C17171">
        <w:tblPrEx>
          <w:tblCellMar>
            <w:top w:w="0" w:type="dxa"/>
            <w:bottom w:w="0" w:type="dxa"/>
          </w:tblCellMar>
        </w:tblPrEx>
        <w:tc>
          <w:tcPr>
            <w:tcW w:w="26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Individualism</w:t>
            </w:r>
          </w:p>
        </w:tc>
        <w:tc>
          <w:tcPr>
            <w:tcW w:w="1500" w:type="dxa"/>
            <w:tcMar>
              <w:top w:w="100" w:type="dxa"/>
              <w:left w:w="120" w:type="dxa"/>
              <w:bottom w:w="100" w:type="dxa"/>
              <w:right w:w="120" w:type="dxa"/>
            </w:tcMar>
            <w:vAlign w:val="center"/>
          </w:tcPr>
          <w:p w:rsidR="00C17171" w:rsidRDefault="00B53870">
            <w:r>
              <w:rPr>
                <w:color w:val="000000"/>
                <w:sz w:val="20"/>
                <w:szCs w:val="20"/>
              </w:rPr>
              <w:t>46</w:t>
            </w:r>
          </w:p>
        </w:tc>
        <w:tc>
          <w:tcPr>
            <w:tcW w:w="1500" w:type="dxa"/>
            <w:tcMar>
              <w:top w:w="100" w:type="dxa"/>
              <w:left w:w="120" w:type="dxa"/>
              <w:bottom w:w="100" w:type="dxa"/>
              <w:right w:w="120" w:type="dxa"/>
            </w:tcMar>
            <w:vAlign w:val="center"/>
          </w:tcPr>
          <w:p w:rsidR="00C17171" w:rsidRDefault="00B53870">
            <w:r>
              <w:rPr>
                <w:color w:val="000000"/>
                <w:sz w:val="20"/>
                <w:szCs w:val="20"/>
              </w:rPr>
              <w:t>89</w:t>
            </w:r>
          </w:p>
        </w:tc>
        <w:tc>
          <w:tcPr>
            <w:tcW w:w="3400" w:type="dxa"/>
            <w:tcMar>
              <w:top w:w="100" w:type="dxa"/>
              <w:left w:w="120" w:type="dxa"/>
              <w:bottom w:w="100" w:type="dxa"/>
              <w:right w:w="120" w:type="dxa"/>
            </w:tcMar>
            <w:vAlign w:val="center"/>
          </w:tcPr>
          <w:p w:rsidR="00C17171" w:rsidRDefault="00B53870">
            <w:r>
              <w:rPr>
                <w:color w:val="000000"/>
                <w:sz w:val="20"/>
                <w:szCs w:val="20"/>
              </w:rPr>
              <w:t>UK advertising can emphasise personal achievement and individual lifestyle choice; Japanese campaigns lean more on family, community and social harmony.</w:t>
            </w:r>
          </w:p>
        </w:tc>
      </w:tr>
      <w:tr w:rsidR="00C17171">
        <w:tblPrEx>
          <w:tblCellMar>
            <w:top w:w="0" w:type="dxa"/>
            <w:bottom w:w="0" w:type="dxa"/>
          </w:tblCellMar>
        </w:tblPrEx>
        <w:tc>
          <w:tcPr>
            <w:tcW w:w="26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Masculinity</w:t>
            </w:r>
          </w:p>
        </w:tc>
        <w:tc>
          <w:tcPr>
            <w:tcW w:w="1500" w:type="dxa"/>
            <w:tcMar>
              <w:top w:w="100" w:type="dxa"/>
              <w:left w:w="120" w:type="dxa"/>
              <w:bottom w:w="100" w:type="dxa"/>
              <w:right w:w="120" w:type="dxa"/>
            </w:tcMar>
            <w:vAlign w:val="center"/>
          </w:tcPr>
          <w:p w:rsidR="00C17171" w:rsidRDefault="00B53870">
            <w:r>
              <w:rPr>
                <w:color w:val="000000"/>
                <w:sz w:val="20"/>
                <w:szCs w:val="20"/>
              </w:rPr>
              <w:t>95</w:t>
            </w:r>
          </w:p>
        </w:tc>
        <w:tc>
          <w:tcPr>
            <w:tcW w:w="1500" w:type="dxa"/>
            <w:tcMar>
              <w:top w:w="100" w:type="dxa"/>
              <w:left w:w="120" w:type="dxa"/>
              <w:bottom w:w="100" w:type="dxa"/>
              <w:right w:w="120" w:type="dxa"/>
            </w:tcMar>
            <w:vAlign w:val="center"/>
          </w:tcPr>
          <w:p w:rsidR="00C17171" w:rsidRDefault="00B53870">
            <w:r>
              <w:rPr>
                <w:color w:val="000000"/>
                <w:sz w:val="20"/>
                <w:szCs w:val="20"/>
              </w:rPr>
              <w:t>66</w:t>
            </w:r>
          </w:p>
        </w:tc>
        <w:tc>
          <w:tcPr>
            <w:tcW w:w="3400" w:type="dxa"/>
            <w:tcMar>
              <w:top w:w="100" w:type="dxa"/>
              <w:left w:w="120" w:type="dxa"/>
              <w:bottom w:w="100" w:type="dxa"/>
              <w:right w:w="120" w:type="dxa"/>
            </w:tcMar>
            <w:vAlign w:val="center"/>
          </w:tcPr>
          <w:p w:rsidR="00C17171" w:rsidRDefault="00B53870">
            <w:r>
              <w:rPr>
                <w:color w:val="000000"/>
                <w:sz w:val="20"/>
                <w:szCs w:val="20"/>
              </w:rPr>
              <w:t>Japan's high 'masculinity' score rewards messaging around performance, precision eng</w:t>
            </w:r>
            <w:r>
              <w:rPr>
                <w:color w:val="000000"/>
                <w:sz w:val="20"/>
                <w:szCs w:val="20"/>
              </w:rPr>
              <w:t>ineering and achievement; UK messaging can blend this with lifestyle and quality-of-life themes.</w:t>
            </w:r>
          </w:p>
        </w:tc>
      </w:tr>
      <w:tr w:rsidR="00C17171">
        <w:tblPrEx>
          <w:tblCellMar>
            <w:top w:w="0" w:type="dxa"/>
            <w:bottom w:w="0" w:type="dxa"/>
          </w:tblCellMar>
        </w:tblPrEx>
        <w:tc>
          <w:tcPr>
            <w:tcW w:w="26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Uncertainty Avoidance</w:t>
            </w:r>
          </w:p>
        </w:tc>
        <w:tc>
          <w:tcPr>
            <w:tcW w:w="1500" w:type="dxa"/>
            <w:tcMar>
              <w:top w:w="100" w:type="dxa"/>
              <w:left w:w="120" w:type="dxa"/>
              <w:bottom w:w="100" w:type="dxa"/>
              <w:right w:w="120" w:type="dxa"/>
            </w:tcMar>
            <w:vAlign w:val="center"/>
          </w:tcPr>
          <w:p w:rsidR="00C17171" w:rsidRDefault="00B53870">
            <w:r>
              <w:rPr>
                <w:color w:val="000000"/>
                <w:sz w:val="20"/>
                <w:szCs w:val="20"/>
              </w:rPr>
              <w:t>92</w:t>
            </w:r>
          </w:p>
        </w:tc>
        <w:tc>
          <w:tcPr>
            <w:tcW w:w="1500" w:type="dxa"/>
            <w:tcMar>
              <w:top w:w="100" w:type="dxa"/>
              <w:left w:w="120" w:type="dxa"/>
              <w:bottom w:w="100" w:type="dxa"/>
              <w:right w:w="120" w:type="dxa"/>
            </w:tcMar>
            <w:vAlign w:val="center"/>
          </w:tcPr>
          <w:p w:rsidR="00C17171" w:rsidRDefault="00B53870">
            <w:r>
              <w:rPr>
                <w:color w:val="000000"/>
                <w:sz w:val="20"/>
                <w:szCs w:val="20"/>
              </w:rPr>
              <w:t>35</w:t>
            </w:r>
          </w:p>
        </w:tc>
        <w:tc>
          <w:tcPr>
            <w:tcW w:w="3400" w:type="dxa"/>
            <w:tcMar>
              <w:top w:w="100" w:type="dxa"/>
              <w:left w:w="120" w:type="dxa"/>
              <w:bottom w:w="100" w:type="dxa"/>
              <w:right w:w="120" w:type="dxa"/>
            </w:tcMar>
            <w:vAlign w:val="center"/>
          </w:tcPr>
          <w:p w:rsidR="00C17171" w:rsidRDefault="00B53870">
            <w:r>
              <w:rPr>
                <w:color w:val="000000"/>
                <w:sz w:val="20"/>
                <w:szCs w:val="20"/>
              </w:rPr>
              <w:t>Japanese consumers place very high value on reliability, detailed specification and proven technology, reinforcing Toyota's qualit</w:t>
            </w:r>
            <w:r>
              <w:rPr>
                <w:color w:val="000000"/>
                <w:sz w:val="20"/>
                <w:szCs w:val="20"/>
              </w:rPr>
              <w:t>y reputation; UK buyers are comparatively more open to newer, less-proven propositions such as full battery-electric models.</w:t>
            </w:r>
          </w:p>
        </w:tc>
      </w:tr>
      <w:tr w:rsidR="00C17171">
        <w:tblPrEx>
          <w:tblCellMar>
            <w:top w:w="0" w:type="dxa"/>
            <w:bottom w:w="0" w:type="dxa"/>
          </w:tblCellMar>
        </w:tblPrEx>
        <w:tc>
          <w:tcPr>
            <w:tcW w:w="26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Long-Term Orientation</w:t>
            </w:r>
          </w:p>
        </w:tc>
        <w:tc>
          <w:tcPr>
            <w:tcW w:w="1500" w:type="dxa"/>
            <w:tcMar>
              <w:top w:w="100" w:type="dxa"/>
              <w:left w:w="120" w:type="dxa"/>
              <w:bottom w:w="100" w:type="dxa"/>
              <w:right w:w="120" w:type="dxa"/>
            </w:tcMar>
            <w:vAlign w:val="center"/>
          </w:tcPr>
          <w:p w:rsidR="00C17171" w:rsidRDefault="00B53870">
            <w:r>
              <w:rPr>
                <w:color w:val="000000"/>
                <w:sz w:val="20"/>
                <w:szCs w:val="20"/>
              </w:rPr>
              <w:t>88</w:t>
            </w:r>
          </w:p>
        </w:tc>
        <w:tc>
          <w:tcPr>
            <w:tcW w:w="1500" w:type="dxa"/>
            <w:tcMar>
              <w:top w:w="100" w:type="dxa"/>
              <w:left w:w="120" w:type="dxa"/>
              <w:bottom w:w="100" w:type="dxa"/>
              <w:right w:w="120" w:type="dxa"/>
            </w:tcMar>
            <w:vAlign w:val="center"/>
          </w:tcPr>
          <w:p w:rsidR="00C17171" w:rsidRDefault="00B53870">
            <w:r>
              <w:rPr>
                <w:color w:val="000000"/>
                <w:sz w:val="20"/>
                <w:szCs w:val="20"/>
              </w:rPr>
              <w:t>51</w:t>
            </w:r>
          </w:p>
        </w:tc>
        <w:tc>
          <w:tcPr>
            <w:tcW w:w="3400" w:type="dxa"/>
            <w:tcMar>
              <w:top w:w="100" w:type="dxa"/>
              <w:left w:w="120" w:type="dxa"/>
              <w:bottom w:w="100" w:type="dxa"/>
              <w:right w:w="120" w:type="dxa"/>
            </w:tcMar>
            <w:vAlign w:val="center"/>
          </w:tcPr>
          <w:p w:rsidR="00C17171" w:rsidRDefault="00B53870">
            <w:r>
              <w:rPr>
                <w:color w:val="000000"/>
                <w:sz w:val="20"/>
                <w:szCs w:val="20"/>
              </w:rPr>
              <w:t xml:space="preserve">Japanese consumers respond well to messages about durability, resale value and long-term thrift; UK buyers weigh long-term value but are more receptive to short-term promotions </w:t>
            </w:r>
            <w:r>
              <w:rPr>
                <w:color w:val="000000"/>
                <w:sz w:val="20"/>
                <w:szCs w:val="20"/>
              </w:rPr>
              <w:lastRenderedPageBreak/>
              <w:t>and finance deals.</w:t>
            </w:r>
          </w:p>
        </w:tc>
      </w:tr>
      <w:tr w:rsidR="00C17171">
        <w:tblPrEx>
          <w:tblCellMar>
            <w:top w:w="0" w:type="dxa"/>
            <w:bottom w:w="0" w:type="dxa"/>
          </w:tblCellMar>
        </w:tblPrEx>
        <w:tc>
          <w:tcPr>
            <w:tcW w:w="2600" w:type="dxa"/>
            <w:shd w:val="clear" w:color="auto" w:fill="F2F2F2"/>
            <w:tcMar>
              <w:top w:w="100" w:type="dxa"/>
              <w:left w:w="120" w:type="dxa"/>
              <w:bottom w:w="100" w:type="dxa"/>
              <w:right w:w="120" w:type="dxa"/>
            </w:tcMar>
            <w:vAlign w:val="center"/>
          </w:tcPr>
          <w:p w:rsidR="00C17171" w:rsidRDefault="00B53870">
            <w:r>
              <w:rPr>
                <w:b/>
                <w:bCs/>
                <w:color w:val="000000"/>
                <w:sz w:val="20"/>
                <w:szCs w:val="20"/>
              </w:rPr>
              <w:lastRenderedPageBreak/>
              <w:t>Indulgence</w:t>
            </w:r>
          </w:p>
        </w:tc>
        <w:tc>
          <w:tcPr>
            <w:tcW w:w="1500" w:type="dxa"/>
            <w:tcMar>
              <w:top w:w="100" w:type="dxa"/>
              <w:left w:w="120" w:type="dxa"/>
              <w:bottom w:w="100" w:type="dxa"/>
              <w:right w:w="120" w:type="dxa"/>
            </w:tcMar>
            <w:vAlign w:val="center"/>
          </w:tcPr>
          <w:p w:rsidR="00C17171" w:rsidRDefault="00B53870">
            <w:r>
              <w:rPr>
                <w:color w:val="000000"/>
                <w:sz w:val="20"/>
                <w:szCs w:val="20"/>
              </w:rPr>
              <w:t>42</w:t>
            </w:r>
          </w:p>
        </w:tc>
        <w:tc>
          <w:tcPr>
            <w:tcW w:w="1500" w:type="dxa"/>
            <w:tcMar>
              <w:top w:w="100" w:type="dxa"/>
              <w:left w:w="120" w:type="dxa"/>
              <w:bottom w:w="100" w:type="dxa"/>
              <w:right w:w="120" w:type="dxa"/>
            </w:tcMar>
            <w:vAlign w:val="center"/>
          </w:tcPr>
          <w:p w:rsidR="00C17171" w:rsidRDefault="00B53870">
            <w:r>
              <w:rPr>
                <w:color w:val="000000"/>
                <w:sz w:val="20"/>
                <w:szCs w:val="20"/>
              </w:rPr>
              <w:t>69</w:t>
            </w:r>
          </w:p>
        </w:tc>
        <w:tc>
          <w:tcPr>
            <w:tcW w:w="3400" w:type="dxa"/>
            <w:tcMar>
              <w:top w:w="100" w:type="dxa"/>
              <w:left w:w="120" w:type="dxa"/>
              <w:bottom w:w="100" w:type="dxa"/>
              <w:right w:w="120" w:type="dxa"/>
            </w:tcMar>
            <w:vAlign w:val="center"/>
          </w:tcPr>
          <w:p w:rsidR="00C17171" w:rsidRDefault="00B53870">
            <w:r>
              <w:rPr>
                <w:color w:val="000000"/>
                <w:sz w:val="20"/>
                <w:szCs w:val="20"/>
              </w:rPr>
              <w:t>The UK's more indulgent culture supports e</w:t>
            </w:r>
            <w:r>
              <w:rPr>
                <w:color w:val="000000"/>
                <w:sz w:val="20"/>
                <w:szCs w:val="20"/>
              </w:rPr>
              <w:t>xperiential and emotionally driven advertising; Japan's more restrained culture favours understated, functional and modest brand communication.</w:t>
            </w:r>
          </w:p>
        </w:tc>
      </w:tr>
    </w:tbl>
    <w:p w:rsidR="00C17171" w:rsidRDefault="00C17171">
      <w:pPr>
        <w:spacing w:before="100" w:after="300"/>
        <w:jc w:val="center"/>
      </w:pPr>
    </w:p>
    <w:p w:rsidR="00C17171" w:rsidRDefault="00B53870">
      <w:pPr>
        <w:spacing w:after="200" w:line="300" w:lineRule="auto"/>
        <w:jc w:val="both"/>
      </w:pPr>
      <w:r>
        <w:t>The most consequential contrasts for Toyota are u</w:t>
      </w:r>
      <w:r>
        <w:t>ncertainty avoidance and individualism. Japan's very high uncertainty-avoidance score (92) reflects a market in which risk-averse consumers favour thoroughly tested, incrementally improved products, which aligns naturally with Toyota's own reputation for m</w:t>
      </w:r>
      <w:r>
        <w:t>eticulous quality control and its cautious, hybrid-first electrification strategy. The United Kingdom's much lower score (35) helps explain why UK consumers, and government policy, have been comparatively more willing to embrace unproven battery-electric t</w:t>
      </w:r>
      <w:r>
        <w:t xml:space="preserve">echnology at pace. Meanwhile the UK's high individualism (89) versus Japan's more collectivist orientation (46) means that UK marketing communications can foreground personal freedom, status and individual driving pleasure, whereas Japanese campaigns tend </w:t>
      </w:r>
      <w:r>
        <w:t xml:space="preserve">to stress social responsibility, family suitability and harmony with community norms. Japan's high masculinity score (95) supports achievement- and precision-oriented messaging (for example, motorsport-derived engineering credibility), while the UK's more </w:t>
      </w:r>
      <w:r>
        <w:t>moderate score (66) allows a broader blend of performance and lifestyle appeals. Together, these differences mean Toyota must adapt tone, imagery and product emphasis substantially between the two markets even though the underlying brand values of reliabil</w:t>
      </w:r>
      <w:r>
        <w:t>ity and quality remain constant.</w:t>
      </w:r>
    </w:p>
    <w:p w:rsidR="00C17171" w:rsidRDefault="00B53870">
      <w:pPr>
        <w:pStyle w:val="Heading1"/>
      </w:pPr>
      <w:r>
        <w:t>4. Comparative STP Analysis</w:t>
      </w:r>
    </w:p>
    <w:p w:rsidR="00C17171" w:rsidRDefault="00B53870">
      <w:pPr>
        <w:spacing w:after="200" w:line="300" w:lineRule="auto"/>
        <w:jc w:val="both"/>
      </w:pPr>
      <w:r>
        <w:t>Toyota's segmentation, targeting and positioning strategy reflects the very different roles the Japanese and UK markets play within its global business. Japan is a mature, saturated home market i</w:t>
      </w:r>
      <w:r>
        <w:t>n which Toyota must serve almost every conceivable buyer segment, whereas the United Kingdom is one of several European host markets in which Toyota competes for a narrower set of segments against strong domestic and international rivals.</w:t>
      </w:r>
    </w:p>
    <w:tbl>
      <w:tblPr>
        <w:tblW w:w="9200" w:type="dxa"/>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600"/>
        <w:gridCol w:w="3800"/>
        <w:gridCol w:w="3800"/>
      </w:tblGrid>
      <w:tr w:rsidR="00C17171">
        <w:tblPrEx>
          <w:tblCellMar>
            <w:top w:w="0" w:type="dxa"/>
            <w:bottom w:w="0" w:type="dxa"/>
          </w:tblCellMar>
        </w:tblPrEx>
        <w:trPr>
          <w:tblHeader/>
        </w:trPr>
        <w:tc>
          <w:tcPr>
            <w:tcW w:w="16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Element</w:t>
            </w:r>
          </w:p>
        </w:tc>
        <w:tc>
          <w:tcPr>
            <w:tcW w:w="38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Japan</w:t>
            </w:r>
          </w:p>
        </w:tc>
        <w:tc>
          <w:tcPr>
            <w:tcW w:w="38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United Kingdom</w:t>
            </w:r>
          </w:p>
        </w:tc>
      </w:tr>
      <w:tr w:rsidR="00C17171">
        <w:tblPrEx>
          <w:tblCellMar>
            <w:top w:w="0" w:type="dxa"/>
            <w:bottom w:w="0" w:type="dxa"/>
          </w:tblCellMar>
        </w:tblPrEx>
        <w:tc>
          <w:tcPr>
            <w:tcW w:w="16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Segmentation</w:t>
            </w:r>
          </w:p>
        </w:tc>
        <w:tc>
          <w:tcPr>
            <w:tcW w:w="3800" w:type="dxa"/>
            <w:tcMar>
              <w:top w:w="100" w:type="dxa"/>
              <w:left w:w="120" w:type="dxa"/>
              <w:bottom w:w="100" w:type="dxa"/>
              <w:right w:w="120" w:type="dxa"/>
            </w:tcMar>
            <w:vAlign w:val="center"/>
          </w:tcPr>
          <w:p w:rsidR="00C17171" w:rsidRDefault="00B53870">
            <w:r>
              <w:rPr>
                <w:color w:val="000000"/>
                <w:sz w:val="20"/>
                <w:szCs w:val="20"/>
              </w:rPr>
              <w:t xml:space="preserve">Primarily demographic and geographic: urban commuters and older consumers who favour compact </w:t>
            </w:r>
            <w:proofErr w:type="spellStart"/>
            <w:r>
              <w:rPr>
                <w:color w:val="000000"/>
                <w:sz w:val="20"/>
                <w:szCs w:val="20"/>
              </w:rPr>
              <w:t>kei</w:t>
            </w:r>
            <w:proofErr w:type="spellEnd"/>
            <w:r>
              <w:rPr>
                <w:color w:val="000000"/>
                <w:sz w:val="20"/>
                <w:szCs w:val="20"/>
              </w:rPr>
              <w:t>-class cars; suburban and rural families who favour minivans and SUVs; fleet and taxi operators who favour hybrid saloons such as t</w:t>
            </w:r>
            <w:r>
              <w:rPr>
                <w:color w:val="000000"/>
                <w:sz w:val="20"/>
                <w:szCs w:val="20"/>
              </w:rPr>
              <w:t>he Crown.</w:t>
            </w:r>
          </w:p>
        </w:tc>
        <w:tc>
          <w:tcPr>
            <w:tcW w:w="3800" w:type="dxa"/>
            <w:tcMar>
              <w:top w:w="100" w:type="dxa"/>
              <w:left w:w="120" w:type="dxa"/>
              <w:bottom w:w="100" w:type="dxa"/>
              <w:right w:w="120" w:type="dxa"/>
            </w:tcMar>
            <w:vAlign w:val="center"/>
          </w:tcPr>
          <w:p w:rsidR="00C17171" w:rsidRDefault="00B53870">
            <w:r>
              <w:rPr>
                <w:color w:val="000000"/>
                <w:sz w:val="20"/>
                <w:szCs w:val="20"/>
              </w:rPr>
              <w:t>Segmented by lifestyle, usage and finance behaviour: private buyers seeking practical, low-running-cost hybrids; company-car/fleet buyers driven by benefit-in-kind tax incentives for low-emission vehicles; and an increasingly important segment of</w:t>
            </w:r>
            <w:r>
              <w:rPr>
                <w:color w:val="000000"/>
                <w:sz w:val="20"/>
                <w:szCs w:val="20"/>
              </w:rPr>
              <w:t xml:space="preserve"> first-time battery-electric adopters.</w:t>
            </w:r>
          </w:p>
        </w:tc>
      </w:tr>
      <w:tr w:rsidR="00C17171">
        <w:tblPrEx>
          <w:tblCellMar>
            <w:top w:w="0" w:type="dxa"/>
            <w:bottom w:w="0" w:type="dxa"/>
          </w:tblCellMar>
        </w:tblPrEx>
        <w:tc>
          <w:tcPr>
            <w:tcW w:w="16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Targeting</w:t>
            </w:r>
          </w:p>
        </w:tc>
        <w:tc>
          <w:tcPr>
            <w:tcW w:w="3800" w:type="dxa"/>
            <w:tcMar>
              <w:top w:w="100" w:type="dxa"/>
              <w:left w:w="120" w:type="dxa"/>
              <w:bottom w:w="100" w:type="dxa"/>
              <w:right w:w="120" w:type="dxa"/>
            </w:tcMar>
            <w:vAlign w:val="center"/>
          </w:tcPr>
          <w:p w:rsidR="00C17171" w:rsidRDefault="00B53870">
            <w:r>
              <w:rPr>
                <w:color w:val="000000"/>
                <w:sz w:val="20"/>
                <w:szCs w:val="20"/>
              </w:rPr>
              <w:t xml:space="preserve">Differentiated targeting across a very wide model range, from the compact Aqua/Yaris to full-size Century and Crown saloons, </w:t>
            </w:r>
            <w:r>
              <w:rPr>
                <w:color w:val="000000"/>
                <w:sz w:val="20"/>
                <w:szCs w:val="20"/>
              </w:rPr>
              <w:lastRenderedPageBreak/>
              <w:t>reflecting the breadth of the domestic market Toyota was built to serve.</w:t>
            </w:r>
          </w:p>
        </w:tc>
        <w:tc>
          <w:tcPr>
            <w:tcW w:w="3800" w:type="dxa"/>
            <w:tcMar>
              <w:top w:w="100" w:type="dxa"/>
              <w:left w:w="120" w:type="dxa"/>
              <w:bottom w:w="100" w:type="dxa"/>
              <w:right w:w="120" w:type="dxa"/>
            </w:tcMar>
            <w:vAlign w:val="center"/>
          </w:tcPr>
          <w:p w:rsidR="00C17171" w:rsidRDefault="00B53870">
            <w:r>
              <w:rPr>
                <w:color w:val="000000"/>
                <w:sz w:val="20"/>
                <w:szCs w:val="20"/>
              </w:rPr>
              <w:lastRenderedPageBreak/>
              <w:t xml:space="preserve">More concentrated targeting on core European-relevant segments — B/C-segment hatchbacks and crossovers (Yaris, </w:t>
            </w:r>
            <w:r>
              <w:rPr>
                <w:color w:val="000000"/>
                <w:sz w:val="20"/>
                <w:szCs w:val="20"/>
              </w:rPr>
              <w:lastRenderedPageBreak/>
              <w:t xml:space="preserve">Yaris Cross, Corolla, </w:t>
            </w:r>
            <w:proofErr w:type="gramStart"/>
            <w:r>
              <w:rPr>
                <w:color w:val="000000"/>
                <w:sz w:val="20"/>
                <w:szCs w:val="20"/>
              </w:rPr>
              <w:t>C</w:t>
            </w:r>
            <w:proofErr w:type="gramEnd"/>
            <w:r>
              <w:rPr>
                <w:color w:val="000000"/>
                <w:sz w:val="20"/>
                <w:szCs w:val="20"/>
              </w:rPr>
              <w:t>-HR) and mid-size SUVs (RAV4) — the models actually built or most demanded in Europe (Toyota Motor Europe, 2026).</w:t>
            </w:r>
          </w:p>
        </w:tc>
      </w:tr>
      <w:tr w:rsidR="00C17171">
        <w:tblPrEx>
          <w:tblCellMar>
            <w:top w:w="0" w:type="dxa"/>
            <w:bottom w:w="0" w:type="dxa"/>
          </w:tblCellMar>
        </w:tblPrEx>
        <w:tc>
          <w:tcPr>
            <w:tcW w:w="1600" w:type="dxa"/>
            <w:shd w:val="clear" w:color="auto" w:fill="F2F2F2"/>
            <w:tcMar>
              <w:top w:w="100" w:type="dxa"/>
              <w:left w:w="120" w:type="dxa"/>
              <w:bottom w:w="100" w:type="dxa"/>
              <w:right w:w="120" w:type="dxa"/>
            </w:tcMar>
            <w:vAlign w:val="center"/>
          </w:tcPr>
          <w:p w:rsidR="00C17171" w:rsidRDefault="00B53870">
            <w:r>
              <w:rPr>
                <w:b/>
                <w:bCs/>
                <w:color w:val="000000"/>
                <w:sz w:val="20"/>
                <w:szCs w:val="20"/>
              </w:rPr>
              <w:lastRenderedPageBreak/>
              <w:t>Positio</w:t>
            </w:r>
            <w:r>
              <w:rPr>
                <w:b/>
                <w:bCs/>
                <w:color w:val="000000"/>
                <w:sz w:val="20"/>
                <w:szCs w:val="20"/>
              </w:rPr>
              <w:t>ning</w:t>
            </w:r>
          </w:p>
        </w:tc>
        <w:tc>
          <w:tcPr>
            <w:tcW w:w="3800" w:type="dxa"/>
            <w:tcMar>
              <w:top w:w="100" w:type="dxa"/>
              <w:left w:w="120" w:type="dxa"/>
              <w:bottom w:w="100" w:type="dxa"/>
              <w:right w:w="120" w:type="dxa"/>
            </w:tcMar>
            <w:vAlign w:val="center"/>
          </w:tcPr>
          <w:p w:rsidR="00C17171" w:rsidRDefault="00B53870">
            <w:r>
              <w:rPr>
                <w:color w:val="000000"/>
                <w:sz w:val="20"/>
                <w:szCs w:val="20"/>
              </w:rPr>
              <w:t>Positioned as the dependable, high-quality national manufacturer and technology leader (hybrid, hydrogen); positioning reinforced by decades of domestic manufacturing heritage and close association with Japanese engineering identity.</w:t>
            </w:r>
          </w:p>
        </w:tc>
        <w:tc>
          <w:tcPr>
            <w:tcW w:w="3800" w:type="dxa"/>
            <w:tcMar>
              <w:top w:w="100" w:type="dxa"/>
              <w:left w:w="120" w:type="dxa"/>
              <w:bottom w:w="100" w:type="dxa"/>
              <w:right w:w="120" w:type="dxa"/>
            </w:tcMar>
            <w:vAlign w:val="center"/>
          </w:tcPr>
          <w:p w:rsidR="00C17171" w:rsidRDefault="00B53870">
            <w:r>
              <w:rPr>
                <w:color w:val="000000"/>
                <w:sz w:val="20"/>
                <w:szCs w:val="20"/>
              </w:rPr>
              <w:t>Positioned as a p</w:t>
            </w:r>
            <w:r>
              <w:rPr>
                <w:color w:val="000000"/>
                <w:sz w:val="20"/>
                <w:szCs w:val="20"/>
              </w:rPr>
              <w:t>ractical, reliable and increasingly electrified alternative to European and Korean rivals; hybrid technology positioned as the pragmatic 'no-compromise' route to lower emissions without the range anxiety associated with pure battery-electric vehicles.</w:t>
            </w:r>
          </w:p>
        </w:tc>
      </w:tr>
    </w:tbl>
    <w:p w:rsidR="00776255" w:rsidRDefault="00776255">
      <w:pPr>
        <w:spacing w:after="200" w:line="300" w:lineRule="auto"/>
        <w:jc w:val="both"/>
        <w:rPr>
          <w:i/>
          <w:iCs/>
          <w:color w:val="595959"/>
          <w:sz w:val="20"/>
          <w:szCs w:val="20"/>
        </w:rPr>
      </w:pPr>
    </w:p>
    <w:p w:rsidR="00C17171" w:rsidRDefault="00B53870">
      <w:pPr>
        <w:spacing w:after="200" w:line="300" w:lineRule="auto"/>
        <w:jc w:val="both"/>
      </w:pPr>
      <w:r>
        <w:t>In Japan, Toyota's positioning benefits from being the domestic 'national champion', a status that lends the brand an emotional, almost patriotic dimension not available to it abroa</w:t>
      </w:r>
      <w:r>
        <w:t>d. In the United Kingdom, Toyota instead positions itself competitively on rational attributes — reliability, running costs and self-charging hybrid technology — attributes chosen because they align with a UK segment of buyers who want lower emissions with</w:t>
      </w:r>
      <w:r>
        <w:t>out adopting a fully electric vehicle. This is a deliberate, culturally informed positioning choice: Toyota has been comparatively cautious about pure battery-electric vehicles relative to some rivals, a strategy that fits Japan's high uncertainty-avoidanc</w:t>
      </w:r>
      <w:r>
        <w:t>e culture and is now being tested by the United Kingdom's lower uncertainty-avoidance culture and binding ZEV targets.</w:t>
      </w:r>
    </w:p>
    <w:p w:rsidR="00C17171" w:rsidRDefault="00B53870">
      <w:pPr>
        <w:pStyle w:val="Heading1"/>
      </w:pPr>
      <w:r>
        <w:t>5. Comparative International Marketing Mix (7Ps)</w:t>
      </w:r>
    </w:p>
    <w:p w:rsidR="00C17171" w:rsidRDefault="00B53870">
      <w:pPr>
        <w:spacing w:after="200" w:line="300" w:lineRule="auto"/>
        <w:jc w:val="both"/>
      </w:pPr>
      <w:r>
        <w:t xml:space="preserve">The extended services marketing mix — product, price, place, promotion, people, process </w:t>
      </w:r>
      <w:r>
        <w:t>and physical evidence — offers a comprehensive lens through which to compare how Toyota adapts its offer between its home and host markets.</w:t>
      </w:r>
    </w:p>
    <w:tbl>
      <w:tblPr>
        <w:tblW w:w="9200" w:type="dxa"/>
        <w:tblInd w:w="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400"/>
        <w:gridCol w:w="3900"/>
        <w:gridCol w:w="3900"/>
      </w:tblGrid>
      <w:tr w:rsidR="00C17171">
        <w:tblPrEx>
          <w:tblCellMar>
            <w:top w:w="0" w:type="dxa"/>
            <w:bottom w:w="0" w:type="dxa"/>
          </w:tblCellMar>
        </w:tblPrEx>
        <w:trPr>
          <w:tblHeader/>
        </w:trPr>
        <w:tc>
          <w:tcPr>
            <w:tcW w:w="14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Element</w:t>
            </w:r>
          </w:p>
        </w:tc>
        <w:tc>
          <w:tcPr>
            <w:tcW w:w="39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Japan</w:t>
            </w:r>
          </w:p>
        </w:tc>
        <w:tc>
          <w:tcPr>
            <w:tcW w:w="3900" w:type="dxa"/>
            <w:shd w:val="clear" w:color="auto" w:fill="1F3864"/>
            <w:tcMar>
              <w:top w:w="100" w:type="dxa"/>
              <w:left w:w="120" w:type="dxa"/>
              <w:bottom w:w="100" w:type="dxa"/>
              <w:right w:w="120" w:type="dxa"/>
            </w:tcMar>
            <w:vAlign w:val="center"/>
          </w:tcPr>
          <w:p w:rsidR="00C17171" w:rsidRDefault="00B53870">
            <w:r>
              <w:rPr>
                <w:b/>
                <w:bCs/>
                <w:color w:val="FFFFFF"/>
                <w:sz w:val="20"/>
                <w:szCs w:val="20"/>
              </w:rPr>
              <w:t>United Kingdom</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Product</w:t>
            </w:r>
          </w:p>
        </w:tc>
        <w:tc>
          <w:tcPr>
            <w:tcW w:w="3900" w:type="dxa"/>
            <w:tcMar>
              <w:top w:w="100" w:type="dxa"/>
              <w:left w:w="120" w:type="dxa"/>
              <w:bottom w:w="100" w:type="dxa"/>
              <w:right w:w="120" w:type="dxa"/>
            </w:tcMar>
            <w:vAlign w:val="center"/>
          </w:tcPr>
          <w:p w:rsidR="00C17171" w:rsidRDefault="00B53870">
            <w:r>
              <w:rPr>
                <w:color w:val="000000"/>
                <w:sz w:val="20"/>
                <w:szCs w:val="20"/>
              </w:rPr>
              <w:t xml:space="preserve">Very broad line-up including </w:t>
            </w:r>
            <w:proofErr w:type="spellStart"/>
            <w:r>
              <w:rPr>
                <w:color w:val="000000"/>
                <w:sz w:val="20"/>
                <w:szCs w:val="20"/>
              </w:rPr>
              <w:t>kei</w:t>
            </w:r>
            <w:proofErr w:type="spellEnd"/>
            <w:r>
              <w:rPr>
                <w:color w:val="000000"/>
                <w:sz w:val="20"/>
                <w:szCs w:val="20"/>
              </w:rPr>
              <w:t xml:space="preserve"> cars, taxis, minivans and the flagship Century limousine; strong emphasis on hybrid variants across almost every model; right-hand-drive as standard, matching domestic road layout.</w:t>
            </w:r>
          </w:p>
        </w:tc>
        <w:tc>
          <w:tcPr>
            <w:tcW w:w="3900" w:type="dxa"/>
            <w:tcMar>
              <w:top w:w="100" w:type="dxa"/>
              <w:left w:w="120" w:type="dxa"/>
              <w:bottom w:w="100" w:type="dxa"/>
              <w:right w:w="120" w:type="dxa"/>
            </w:tcMar>
            <w:vAlign w:val="center"/>
          </w:tcPr>
          <w:p w:rsidR="00C17171" w:rsidRDefault="00B53870">
            <w:r>
              <w:rPr>
                <w:color w:val="000000"/>
                <w:sz w:val="20"/>
                <w:szCs w:val="20"/>
              </w:rPr>
              <w:t>Narrower, Europe-relevant range built or i</w:t>
            </w:r>
            <w:r>
              <w:rPr>
                <w:color w:val="000000"/>
                <w:sz w:val="20"/>
                <w:szCs w:val="20"/>
              </w:rPr>
              <w:t xml:space="preserve">mported specifically for this market (Yaris, Corolla, C-HR, RAV4, </w:t>
            </w:r>
            <w:proofErr w:type="spellStart"/>
            <w:proofErr w:type="gramStart"/>
            <w:r>
              <w:rPr>
                <w:color w:val="000000"/>
                <w:sz w:val="20"/>
                <w:szCs w:val="20"/>
              </w:rPr>
              <w:t>Aygo</w:t>
            </w:r>
            <w:proofErr w:type="spellEnd"/>
            <w:proofErr w:type="gramEnd"/>
            <w:r>
              <w:rPr>
                <w:color w:val="000000"/>
                <w:sz w:val="20"/>
                <w:szCs w:val="20"/>
              </w:rPr>
              <w:t xml:space="preserve"> X); full-hybrid technology fitted as standard or lead variant across most models; growing plug-in hybrid and battery-electric additions to meet ZEV requirements.</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Price</w:t>
            </w:r>
          </w:p>
        </w:tc>
        <w:tc>
          <w:tcPr>
            <w:tcW w:w="3900" w:type="dxa"/>
            <w:tcMar>
              <w:top w:w="100" w:type="dxa"/>
              <w:left w:w="120" w:type="dxa"/>
              <w:bottom w:w="100" w:type="dxa"/>
              <w:right w:w="120" w:type="dxa"/>
            </w:tcMar>
            <w:vAlign w:val="center"/>
          </w:tcPr>
          <w:p w:rsidR="00C17171" w:rsidRDefault="00B53870">
            <w:r>
              <w:rPr>
                <w:color w:val="000000"/>
                <w:sz w:val="20"/>
                <w:szCs w:val="20"/>
              </w:rPr>
              <w:t>Competitive, value-oriented pricing supported by domestic manufacturing scale and a large supplier keiretsu; government subsidies support hybrid and next-generation vehicle purchases.</w:t>
            </w:r>
          </w:p>
        </w:tc>
        <w:tc>
          <w:tcPr>
            <w:tcW w:w="3900" w:type="dxa"/>
            <w:tcMar>
              <w:top w:w="100" w:type="dxa"/>
              <w:left w:w="120" w:type="dxa"/>
              <w:bottom w:w="100" w:type="dxa"/>
              <w:right w:w="120" w:type="dxa"/>
            </w:tcMar>
            <w:vAlign w:val="center"/>
          </w:tcPr>
          <w:p w:rsidR="00C17171" w:rsidRDefault="00B53870">
            <w:r>
              <w:rPr>
                <w:color w:val="000000"/>
                <w:sz w:val="20"/>
                <w:szCs w:val="20"/>
              </w:rPr>
              <w:t>Prices reflect import/production costs, UK VAT, and competition from Kor</w:t>
            </w:r>
            <w:r>
              <w:rPr>
                <w:color w:val="000000"/>
                <w:sz w:val="20"/>
                <w:szCs w:val="20"/>
              </w:rPr>
              <w:t>ean and Chinese entrants; benefit-in-kind tax rules make low-emission Toyota hybrids financially attractive to company-car drivers, an important UK-specific pricing lever.</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Place</w:t>
            </w:r>
          </w:p>
        </w:tc>
        <w:tc>
          <w:tcPr>
            <w:tcW w:w="3900" w:type="dxa"/>
            <w:tcMar>
              <w:top w:w="100" w:type="dxa"/>
              <w:left w:w="120" w:type="dxa"/>
              <w:bottom w:w="100" w:type="dxa"/>
              <w:right w:w="120" w:type="dxa"/>
            </w:tcMar>
            <w:vAlign w:val="center"/>
          </w:tcPr>
          <w:p w:rsidR="00C17171" w:rsidRDefault="00B53870">
            <w:r>
              <w:rPr>
                <w:color w:val="000000"/>
                <w:sz w:val="20"/>
                <w:szCs w:val="20"/>
              </w:rPr>
              <w:t>Extensive dealer network across Japan, including dedicated sales channels his</w:t>
            </w:r>
            <w:r>
              <w:rPr>
                <w:color w:val="000000"/>
                <w:sz w:val="20"/>
                <w:szCs w:val="20"/>
              </w:rPr>
              <w:t xml:space="preserve">torically split by model group (e.g., Toyota, </w:t>
            </w:r>
            <w:proofErr w:type="spellStart"/>
            <w:r>
              <w:rPr>
                <w:color w:val="000000"/>
                <w:sz w:val="20"/>
                <w:szCs w:val="20"/>
              </w:rPr>
              <w:t>Toyopet</w:t>
            </w:r>
            <w:proofErr w:type="spellEnd"/>
            <w:r>
              <w:rPr>
                <w:color w:val="000000"/>
                <w:sz w:val="20"/>
                <w:szCs w:val="20"/>
              </w:rPr>
              <w:t xml:space="preserve">, Corolla store networks); strong presence in city showrooms and rural </w:t>
            </w:r>
            <w:r>
              <w:rPr>
                <w:color w:val="000000"/>
                <w:sz w:val="20"/>
                <w:szCs w:val="20"/>
              </w:rPr>
              <w:lastRenderedPageBreak/>
              <w:t>dealerships alike.</w:t>
            </w:r>
          </w:p>
        </w:tc>
        <w:tc>
          <w:tcPr>
            <w:tcW w:w="3900" w:type="dxa"/>
            <w:tcMar>
              <w:top w:w="100" w:type="dxa"/>
              <w:left w:w="120" w:type="dxa"/>
              <w:bottom w:w="100" w:type="dxa"/>
              <w:right w:w="120" w:type="dxa"/>
            </w:tcMar>
            <w:vAlign w:val="center"/>
          </w:tcPr>
          <w:p w:rsidR="00C17171" w:rsidRDefault="00B53870">
            <w:r>
              <w:rPr>
                <w:color w:val="000000"/>
                <w:sz w:val="20"/>
                <w:szCs w:val="20"/>
              </w:rPr>
              <w:lastRenderedPageBreak/>
              <w:t>Distribution through Toyota (GB) PLC and an independent franchised dealer network; UK-built Corolla models are sh</w:t>
            </w:r>
            <w:r>
              <w:rPr>
                <w:color w:val="000000"/>
                <w:sz w:val="20"/>
                <w:szCs w:val="20"/>
              </w:rPr>
              <w:t xml:space="preserve">ipped both domestically and, notably, exported back to continental Europe and Japan from </w:t>
            </w:r>
            <w:proofErr w:type="spellStart"/>
            <w:r>
              <w:rPr>
                <w:color w:val="000000"/>
                <w:sz w:val="20"/>
                <w:szCs w:val="20"/>
              </w:rPr>
              <w:lastRenderedPageBreak/>
              <w:t>Burnaston</w:t>
            </w:r>
            <w:proofErr w:type="spellEnd"/>
            <w:r>
              <w:rPr>
                <w:color w:val="000000"/>
                <w:sz w:val="20"/>
                <w:szCs w:val="20"/>
              </w:rPr>
              <w:t>, reflecting the plant's role as a European hub.</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lastRenderedPageBreak/>
              <w:t>Promotion</w:t>
            </w:r>
          </w:p>
        </w:tc>
        <w:tc>
          <w:tcPr>
            <w:tcW w:w="3900" w:type="dxa"/>
            <w:tcMar>
              <w:top w:w="100" w:type="dxa"/>
              <w:left w:w="120" w:type="dxa"/>
              <w:bottom w:w="100" w:type="dxa"/>
              <w:right w:w="120" w:type="dxa"/>
            </w:tcMar>
            <w:vAlign w:val="center"/>
          </w:tcPr>
          <w:p w:rsidR="00C17171" w:rsidRDefault="00B53870">
            <w:r>
              <w:rPr>
                <w:color w:val="000000"/>
                <w:sz w:val="20"/>
                <w:szCs w:val="20"/>
              </w:rPr>
              <w:t>Advertising emphasises trust, family values, social responsibility and technological leadership; motorsport (e.g., WRC, Le Mans) heritage used to reinforce engineering credibility.</w:t>
            </w:r>
          </w:p>
        </w:tc>
        <w:tc>
          <w:tcPr>
            <w:tcW w:w="3900" w:type="dxa"/>
            <w:tcMar>
              <w:top w:w="100" w:type="dxa"/>
              <w:left w:w="120" w:type="dxa"/>
              <w:bottom w:w="100" w:type="dxa"/>
              <w:right w:w="120" w:type="dxa"/>
            </w:tcMar>
            <w:vAlign w:val="center"/>
          </w:tcPr>
          <w:p w:rsidR="00C17171" w:rsidRDefault="00B53870">
            <w:r>
              <w:rPr>
                <w:color w:val="000000"/>
                <w:sz w:val="20"/>
                <w:szCs w:val="20"/>
              </w:rPr>
              <w:t>Promotion focuses on running costs, reliability rankings, hybrid efficiency</w:t>
            </w:r>
            <w:r>
              <w:rPr>
                <w:color w:val="000000"/>
                <w:sz w:val="20"/>
                <w:szCs w:val="20"/>
              </w:rPr>
              <w:t xml:space="preserve"> and environmental credentials; UK campaigns often use comparative and value-for-money messaging aimed at cost-conscious private and fleet buyers.</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People</w:t>
            </w:r>
          </w:p>
        </w:tc>
        <w:tc>
          <w:tcPr>
            <w:tcW w:w="3900" w:type="dxa"/>
            <w:tcMar>
              <w:top w:w="100" w:type="dxa"/>
              <w:left w:w="120" w:type="dxa"/>
              <w:bottom w:w="100" w:type="dxa"/>
              <w:right w:w="120" w:type="dxa"/>
            </w:tcMar>
            <w:vAlign w:val="center"/>
          </w:tcPr>
          <w:p w:rsidR="00C17171" w:rsidRDefault="00B53870">
            <w:r>
              <w:rPr>
                <w:color w:val="000000"/>
                <w:sz w:val="20"/>
                <w:szCs w:val="20"/>
              </w:rPr>
              <w:t>Highly trained sales and service staff operating within a hierarchical, highly ritualised customer-se</w:t>
            </w:r>
            <w:r>
              <w:rPr>
                <w:color w:val="000000"/>
                <w:sz w:val="20"/>
                <w:szCs w:val="20"/>
              </w:rPr>
              <w:t>rvice culture (</w:t>
            </w:r>
            <w:proofErr w:type="spellStart"/>
            <w:r>
              <w:rPr>
                <w:color w:val="000000"/>
                <w:sz w:val="20"/>
                <w:szCs w:val="20"/>
              </w:rPr>
              <w:t>omotenashi</w:t>
            </w:r>
            <w:proofErr w:type="spellEnd"/>
            <w:r>
              <w:rPr>
                <w:color w:val="000000"/>
                <w:sz w:val="20"/>
                <w:szCs w:val="20"/>
              </w:rPr>
              <w:t>); strong emphasis on long-term customer relationships and after-sales loyalty.</w:t>
            </w:r>
          </w:p>
        </w:tc>
        <w:tc>
          <w:tcPr>
            <w:tcW w:w="3900" w:type="dxa"/>
            <w:tcMar>
              <w:top w:w="100" w:type="dxa"/>
              <w:left w:w="120" w:type="dxa"/>
              <w:bottom w:w="100" w:type="dxa"/>
              <w:right w:w="120" w:type="dxa"/>
            </w:tcMar>
            <w:vAlign w:val="center"/>
          </w:tcPr>
          <w:p w:rsidR="00C17171" w:rsidRDefault="00B53870">
            <w:r>
              <w:rPr>
                <w:color w:val="000000"/>
                <w:sz w:val="20"/>
                <w:szCs w:val="20"/>
              </w:rPr>
              <w:t>UK dealership staff trained to a more consultative, less formal sales style; strong emphasis on transparent pricing and customer reviews, reflecting th</w:t>
            </w:r>
            <w:r>
              <w:rPr>
                <w:color w:val="000000"/>
                <w:sz w:val="20"/>
                <w:szCs w:val="20"/>
              </w:rPr>
              <w:t>e UK's lower power-distance and higher individualism.</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Process</w:t>
            </w:r>
          </w:p>
        </w:tc>
        <w:tc>
          <w:tcPr>
            <w:tcW w:w="3900" w:type="dxa"/>
            <w:tcMar>
              <w:top w:w="100" w:type="dxa"/>
              <w:left w:w="120" w:type="dxa"/>
              <w:bottom w:w="100" w:type="dxa"/>
              <w:right w:w="120" w:type="dxa"/>
            </w:tcMar>
            <w:vAlign w:val="center"/>
          </w:tcPr>
          <w:p w:rsidR="00C17171" w:rsidRDefault="00B53870">
            <w:r>
              <w:rPr>
                <w:color w:val="000000"/>
                <w:sz w:val="20"/>
                <w:szCs w:val="20"/>
              </w:rPr>
              <w:t>Toyota Production System (TPS) and Kaizen continuous-improvement philosophy embedded not only in manufacturing but in service and dealership processes across Japan.</w:t>
            </w:r>
          </w:p>
        </w:tc>
        <w:tc>
          <w:tcPr>
            <w:tcW w:w="3900" w:type="dxa"/>
            <w:tcMar>
              <w:top w:w="100" w:type="dxa"/>
              <w:left w:w="120" w:type="dxa"/>
              <w:bottom w:w="100" w:type="dxa"/>
              <w:right w:w="120" w:type="dxa"/>
            </w:tcMar>
            <w:vAlign w:val="center"/>
          </w:tcPr>
          <w:p w:rsidR="00C17171" w:rsidRDefault="00B53870">
            <w:r>
              <w:rPr>
                <w:color w:val="000000"/>
                <w:sz w:val="20"/>
                <w:szCs w:val="20"/>
              </w:rPr>
              <w:t xml:space="preserve">TPS principles transplanted to </w:t>
            </w:r>
            <w:proofErr w:type="spellStart"/>
            <w:r>
              <w:rPr>
                <w:color w:val="000000"/>
                <w:sz w:val="20"/>
                <w:szCs w:val="20"/>
              </w:rPr>
              <w:t>Burnaston</w:t>
            </w:r>
            <w:proofErr w:type="spellEnd"/>
            <w:r>
              <w:rPr>
                <w:color w:val="000000"/>
                <w:sz w:val="20"/>
                <w:szCs w:val="20"/>
              </w:rPr>
              <w:t xml:space="preserve"> and Deeside, adapted to UK labour practices and supply chains; UK operations also serve as a manufacturing and export process hub for the wider European market, exporting around 85 per cent of </w:t>
            </w:r>
            <w:proofErr w:type="spellStart"/>
            <w:r>
              <w:rPr>
                <w:color w:val="000000"/>
                <w:sz w:val="20"/>
                <w:szCs w:val="20"/>
              </w:rPr>
              <w:t>Burnaston</w:t>
            </w:r>
            <w:proofErr w:type="spellEnd"/>
            <w:r>
              <w:rPr>
                <w:color w:val="000000"/>
                <w:sz w:val="20"/>
                <w:szCs w:val="20"/>
              </w:rPr>
              <w:t xml:space="preserve"> output (Toyo</w:t>
            </w:r>
            <w:r>
              <w:rPr>
                <w:color w:val="000000"/>
                <w:sz w:val="20"/>
                <w:szCs w:val="20"/>
              </w:rPr>
              <w:t>ta Media, 2024).</w:t>
            </w:r>
          </w:p>
        </w:tc>
      </w:tr>
      <w:tr w:rsidR="00C17171">
        <w:tblPrEx>
          <w:tblCellMar>
            <w:top w:w="0" w:type="dxa"/>
            <w:bottom w:w="0" w:type="dxa"/>
          </w:tblCellMar>
        </w:tblPrEx>
        <w:tc>
          <w:tcPr>
            <w:tcW w:w="1400" w:type="dxa"/>
            <w:shd w:val="clear" w:color="auto" w:fill="F2F2F2"/>
            <w:tcMar>
              <w:top w:w="100" w:type="dxa"/>
              <w:left w:w="120" w:type="dxa"/>
              <w:bottom w:w="100" w:type="dxa"/>
              <w:right w:w="120" w:type="dxa"/>
            </w:tcMar>
            <w:vAlign w:val="center"/>
          </w:tcPr>
          <w:p w:rsidR="00C17171" w:rsidRDefault="00B53870">
            <w:r>
              <w:rPr>
                <w:b/>
                <w:bCs/>
                <w:color w:val="000000"/>
                <w:sz w:val="20"/>
                <w:szCs w:val="20"/>
              </w:rPr>
              <w:t>Physical Evidence</w:t>
            </w:r>
          </w:p>
        </w:tc>
        <w:tc>
          <w:tcPr>
            <w:tcW w:w="3900" w:type="dxa"/>
            <w:tcMar>
              <w:top w:w="100" w:type="dxa"/>
              <w:left w:w="120" w:type="dxa"/>
              <w:bottom w:w="100" w:type="dxa"/>
              <w:right w:w="120" w:type="dxa"/>
            </w:tcMar>
            <w:vAlign w:val="center"/>
          </w:tcPr>
          <w:p w:rsidR="00C17171" w:rsidRDefault="00B53870">
            <w:r>
              <w:rPr>
                <w:color w:val="000000"/>
                <w:sz w:val="20"/>
                <w:szCs w:val="20"/>
              </w:rPr>
              <w:t>Showrooms designed to reflect meticulous cleanliness, order and attention to detail consistent with broader Japanese retail norms; strong association with domestic manufacturing plants as symbols of national industrial p</w:t>
            </w:r>
            <w:r>
              <w:rPr>
                <w:color w:val="000000"/>
                <w:sz w:val="20"/>
                <w:szCs w:val="20"/>
              </w:rPr>
              <w:t>ride.</w:t>
            </w:r>
          </w:p>
        </w:tc>
        <w:tc>
          <w:tcPr>
            <w:tcW w:w="3900" w:type="dxa"/>
            <w:tcMar>
              <w:top w:w="100" w:type="dxa"/>
              <w:left w:w="120" w:type="dxa"/>
              <w:bottom w:w="100" w:type="dxa"/>
              <w:right w:w="120" w:type="dxa"/>
            </w:tcMar>
            <w:vAlign w:val="center"/>
          </w:tcPr>
          <w:p w:rsidR="00C17171" w:rsidRDefault="00B53870">
            <w:r>
              <w:rPr>
                <w:color w:val="000000"/>
                <w:sz w:val="20"/>
                <w:szCs w:val="20"/>
              </w:rPr>
              <w:t xml:space="preserve">UK showrooms and the </w:t>
            </w:r>
            <w:proofErr w:type="spellStart"/>
            <w:r>
              <w:rPr>
                <w:color w:val="000000"/>
                <w:sz w:val="20"/>
                <w:szCs w:val="20"/>
              </w:rPr>
              <w:t>Burnaston</w:t>
            </w:r>
            <w:proofErr w:type="spellEnd"/>
            <w:r>
              <w:rPr>
                <w:color w:val="000000"/>
                <w:sz w:val="20"/>
                <w:szCs w:val="20"/>
              </w:rPr>
              <w:t xml:space="preserve"> plant itself serve as tangible evidence of Toyota's local investment and commitment; </w:t>
            </w:r>
            <w:proofErr w:type="spellStart"/>
            <w:r>
              <w:rPr>
                <w:color w:val="000000"/>
                <w:sz w:val="20"/>
                <w:szCs w:val="20"/>
              </w:rPr>
              <w:t>Burnaston's</w:t>
            </w:r>
            <w:proofErr w:type="spellEnd"/>
            <w:r>
              <w:rPr>
                <w:color w:val="000000"/>
                <w:sz w:val="20"/>
                <w:szCs w:val="20"/>
              </w:rPr>
              <w:t xml:space="preserve"> ISO 14001 environmental certification and sustainability credentials are used as physical proof points in UK marketing (To</w:t>
            </w:r>
            <w:r>
              <w:rPr>
                <w:color w:val="000000"/>
                <w:sz w:val="20"/>
                <w:szCs w:val="20"/>
              </w:rPr>
              <w:t>yota Media, 2017).</w:t>
            </w:r>
          </w:p>
        </w:tc>
      </w:tr>
    </w:tbl>
    <w:p w:rsidR="00C17171" w:rsidRDefault="00B53870">
      <w:pPr>
        <w:pStyle w:val="Heading2"/>
      </w:pPr>
      <w:r>
        <w:t>5.1 Product and Positioning Adaptation</w:t>
      </w:r>
    </w:p>
    <w:p w:rsidR="00C17171" w:rsidRDefault="00B53870">
      <w:pPr>
        <w:spacing w:after="200" w:line="300" w:lineRule="auto"/>
        <w:jc w:val="both"/>
      </w:pPr>
      <w:r>
        <w:t xml:space="preserve">The clearest adaptation is in product breadth. Japan's domestic range includes </w:t>
      </w:r>
      <w:proofErr w:type="spellStart"/>
      <w:r>
        <w:t>kei</w:t>
      </w:r>
      <w:proofErr w:type="spellEnd"/>
      <w:r>
        <w:t xml:space="preserve">-class </w:t>
      </w:r>
      <w:proofErr w:type="spellStart"/>
      <w:r>
        <w:t>microcars</w:t>
      </w:r>
      <w:proofErr w:type="spellEnd"/>
      <w:r>
        <w:t xml:space="preserve"> and highly spec</w:t>
      </w:r>
      <w:r>
        <w:t>ific commercial variants that make little sense outside Japan's regulatory and infrastructure context, while the UK range is deliberately narrower and skewed toward the C-segment hatchbacks and crossovers that European buyers demand. Both markets, however,</w:t>
      </w:r>
      <w:r>
        <w:t xml:space="preserve"> share Toyota's global emphasis on full-hybrid technology, which now represents the large majority of Toyota Motor Europe's sales mix — electrified vehicles made up 77 per cent of Toyota Motor Europe's total 2025 sales, with hybrid, plug-in hybrid and batt</w:t>
      </w:r>
      <w:r>
        <w:t>ery-electric vehicles all growing (Toyota Motor Europe, 2026).</w:t>
      </w:r>
    </w:p>
    <w:p w:rsidR="00C17171" w:rsidRDefault="00B53870">
      <w:pPr>
        <w:pStyle w:val="Heading2"/>
      </w:pPr>
      <w:r>
        <w:t>5.2 Price and Promotion</w:t>
      </w:r>
    </w:p>
    <w:p w:rsidR="00C17171" w:rsidRDefault="00B53870">
      <w:pPr>
        <w:spacing w:after="200" w:line="300" w:lineRule="auto"/>
        <w:jc w:val="both"/>
      </w:pPr>
      <w:r>
        <w:t>Pricing strategy in the United Kingdom is shaped heavily by fiscal policy: company-car tax bands reward low CO2 emissions, making Toyota's hybrids financially attractive</w:t>
      </w:r>
      <w:r>
        <w:t xml:space="preserve"> to business users in a way that has no direct equivalent in Japan's tax system. Promotionally, Japanese campaigns can lean on Toyota's status as a national industrial icon, whereas UK campaigns must instead earn credibility through independent reliability</w:t>
      </w:r>
      <w:r>
        <w:t xml:space="preserve"> data, environmental credentials and value-for-money positioning against increasingly competitive Korean, European and Chinese rivals.</w:t>
      </w:r>
    </w:p>
    <w:p w:rsidR="00C17171" w:rsidRDefault="00B53870">
      <w:pPr>
        <w:pStyle w:val="Heading2"/>
      </w:pPr>
      <w:r>
        <w:lastRenderedPageBreak/>
        <w:t>5.3 Place and Process</w:t>
      </w:r>
    </w:p>
    <w:p w:rsidR="00C17171" w:rsidRDefault="00B53870">
      <w:pPr>
        <w:spacing w:after="200" w:line="300" w:lineRule="auto"/>
        <w:jc w:val="both"/>
      </w:pPr>
      <w:r>
        <w:t>Perhaps the most important structural difference is that the United Kingdom is not simply a sales m</w:t>
      </w:r>
      <w:r>
        <w:t xml:space="preserve">arket for Toyota, it is also a production and export hub. Toyota Motor Manufacturing (UK) Ltd was established in 1989 and began vehicle production at </w:t>
      </w:r>
      <w:proofErr w:type="spellStart"/>
      <w:r>
        <w:t>Burnaston</w:t>
      </w:r>
      <w:proofErr w:type="spellEnd"/>
      <w:r>
        <w:t>, Derbyshire, and engine production at Deeside, North Wales, in 1992 (Toyota Manufacturing UK, 20</w:t>
      </w:r>
      <w:r>
        <w:t xml:space="preserve">24). Around 85 per cent of </w:t>
      </w:r>
      <w:proofErr w:type="spellStart"/>
      <w:r>
        <w:t>Burnaston's</w:t>
      </w:r>
      <w:proofErr w:type="spellEnd"/>
      <w:r>
        <w:t xml:space="preserve"> output is exported, principally to the European Union and other European markets (Toyota Media, 2024), meaning the 'place' element of the UK mix is bound up with Toyota's wider European supply chain rather than being </w:t>
      </w:r>
      <w:r>
        <w:t>a purely domestic distribution question.</w:t>
      </w:r>
    </w:p>
    <w:p w:rsidR="00C17171" w:rsidRDefault="00B53870">
      <w:pPr>
        <w:pStyle w:val="Heading2"/>
      </w:pPr>
      <w:r>
        <w:t>5.4 Sales Performance in Context</w:t>
      </w:r>
    </w:p>
    <w:p w:rsidR="00C17171" w:rsidRDefault="00B53870">
      <w:pPr>
        <w:spacing w:after="200" w:line="300" w:lineRule="auto"/>
        <w:jc w:val="both"/>
      </w:pPr>
      <w:r>
        <w:t>The scale of the two markets within Toyota'</w:t>
      </w:r>
      <w:r>
        <w:t>s global business also differs considerably. Toyota Motor Corporation sold a record 10.5 million Toyota and Lexus vehicles worldwide in 2025, remaining the world's best-selling automaker for a sixth consecutive year, with the United States, China and Japan</w:t>
      </w:r>
      <w:r>
        <w:t xml:space="preserve"> as its three largest single-country markets (best-selling-cars.com, 2026). Toyota Motor Europe, of which the United Kingdom is a leading market, sold a record 1,143,963 Toyota-branded vehicles in 2025, retaining its position as the second best-selling pas</w:t>
      </w:r>
      <w:r>
        <w:t>senger car brand in Europe for the fifth consecutive year (Toyota Motor Europe, 2026). The chart below illustrates the approximate scale of Toyota and Lexus sales across its principal markets, underlining why Japan and the wider European region (of which t</w:t>
      </w:r>
      <w:r>
        <w:t>he UK is a significant part) remain strategically important alongside the larger US and Chinese markets.</w:t>
      </w:r>
    </w:p>
    <w:p w:rsidR="00C17171" w:rsidRDefault="00B53870">
      <w:pPr>
        <w:jc w:val="center"/>
      </w:pPr>
      <w:r>
        <w:rPr>
          <w:noProof/>
        </w:rPr>
        <w:drawing>
          <wp:inline distT="0" distB="0" distL="0" distR="0">
            <wp:extent cx="4572000" cy="28575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4572000" cy="2857500"/>
                    </a:xfrm>
                    <a:prstGeom prst="rect">
                      <a:avLst/>
                    </a:prstGeom>
                  </pic:spPr>
                </pic:pic>
              </a:graphicData>
            </a:graphic>
          </wp:inline>
        </w:drawing>
      </w:r>
    </w:p>
    <w:p w:rsidR="00776255" w:rsidRDefault="00776255">
      <w:pPr>
        <w:spacing w:after="200" w:line="300" w:lineRule="auto"/>
        <w:jc w:val="both"/>
        <w:rPr>
          <w:i/>
          <w:iCs/>
          <w:color w:val="595959"/>
          <w:sz w:val="20"/>
          <w:szCs w:val="20"/>
        </w:rPr>
      </w:pPr>
    </w:p>
    <w:p w:rsidR="00C17171" w:rsidRDefault="00B53870">
      <w:pPr>
        <w:spacing w:after="200" w:line="300" w:lineRule="auto"/>
        <w:jc w:val="both"/>
      </w:pPr>
      <w:r>
        <w:t>What this comparison shows is that Japan, while no longer Toyota's single largest market by volume, remains disproportionately important strategically as the c</w:t>
      </w:r>
      <w:r>
        <w:t>ompany's manufacturing, engineering and cultural home base, whereas the United Kingdom's importance lies less in its own sales volume and more in its role as a European manufacturing and export hub that supports sales across the wider European region.</w:t>
      </w:r>
    </w:p>
    <w:p w:rsidR="00776255" w:rsidRDefault="00776255">
      <w:pPr>
        <w:pStyle w:val="Heading1"/>
      </w:pPr>
    </w:p>
    <w:p w:rsidR="00C17171" w:rsidRDefault="00B53870">
      <w:pPr>
        <w:pStyle w:val="Heading1"/>
      </w:pPr>
      <w:r>
        <w:lastRenderedPageBreak/>
        <w:t>6. M</w:t>
      </w:r>
      <w:r>
        <w:t>arket Entry Strategy Analysis: United Kingdom</w:t>
      </w:r>
    </w:p>
    <w:p w:rsidR="00C17171" w:rsidRDefault="00B53870">
      <w:pPr>
        <w:spacing w:after="200" w:line="300" w:lineRule="auto"/>
        <w:jc w:val="both"/>
      </w:pPr>
      <w:r>
        <w:t>Toyota's presence in the United Kingdom began long before local manufacturing, with the Toyota Corona first imported and sold through the family-owned distributor Pride and Clark in the 1960s, an arrangement th</w:t>
      </w:r>
      <w:r>
        <w:t xml:space="preserve">at later evolved into Toyota (GB) Ltd (Toyota Media, </w:t>
      </w:r>
      <w:proofErr w:type="spellStart"/>
      <w:r>
        <w:t>n.d.</w:t>
      </w:r>
      <w:proofErr w:type="spellEnd"/>
      <w:r>
        <w:t>). For several decades, therefore, Toyota's UK entry mode was low-commitment exporting through an independent importer, a sensible first step given the uncertainty of entering a distant, unfamiliar m</w:t>
      </w:r>
      <w:r>
        <w:t>arket.</w:t>
      </w:r>
    </w:p>
    <w:p w:rsidR="00C17171" w:rsidRDefault="00B53870">
      <w:pPr>
        <w:spacing w:after="200" w:line="300" w:lineRule="auto"/>
        <w:jc w:val="both"/>
      </w:pPr>
      <w:r>
        <w:t xml:space="preserve">The strategically significant shift came in 1989, when Toyota announced its first manufacturing investment outside Japan and North America, establishing Toyota Motor Manufacturing (UK) Ltd as a wholly owned subsidiary. Construction began at </w:t>
      </w:r>
      <w:proofErr w:type="spellStart"/>
      <w:r>
        <w:t>Burnasto</w:t>
      </w:r>
      <w:r>
        <w:t>n</w:t>
      </w:r>
      <w:proofErr w:type="spellEnd"/>
      <w:r>
        <w:t>, Derbyshire in 1990, and vehicle production began in December 1992 with the Carina E, the first Toyota car built in Europe; an engine plant was built concurrently at Deeside in North Wales (Toyota Manufacturing UK, 2024; Toyota Media, 2012). This represe</w:t>
      </w:r>
      <w:r>
        <w:t xml:space="preserve">nted a move from exporting to a wholly owned greenfield foreign direct investment (FDI), the highest-commitment entry mode available, and it has since attracted more than £2.75 billion of cumulative investment (Toyota UK, </w:t>
      </w:r>
      <w:proofErr w:type="spellStart"/>
      <w:r>
        <w:t>n.d.</w:t>
      </w:r>
      <w:proofErr w:type="spellEnd"/>
      <w:r>
        <w:t>).</w:t>
      </w:r>
    </w:p>
    <w:p w:rsidR="00C17171" w:rsidRDefault="00B53870">
      <w:pPr>
        <w:spacing w:after="200" w:line="300" w:lineRule="auto"/>
        <w:jc w:val="both"/>
      </w:pPr>
      <w:r>
        <w:t>Several factors explain why</w:t>
      </w:r>
      <w:r>
        <w:t xml:space="preserve"> Toyota chose full ownership over lower-risk alternatives such as licensing, franchising or joint venture. First, the United Kingdom offered a skilled, established automotive labour force and supplier base, a legacy of Britain's long car-manufacturing trad</w:t>
      </w:r>
      <w:r>
        <w:t>ition (Toyota Media, 2012). Second, government and regional development agencies actively encouraged the investment, reducing the political risk associated with a large capital commitment. Third, the UK provided tariff-free access to the wider European sin</w:t>
      </w:r>
      <w:r>
        <w:t xml:space="preserve">gle market at the time of entry, along with strong transport links to continental Europe, making it an efficient export platform rather than simply a sales outlet — a rationale still visible today in the fact that roughly 85 per cent of </w:t>
      </w:r>
      <w:proofErr w:type="spellStart"/>
      <w:r>
        <w:t>Burnaston's</w:t>
      </w:r>
      <w:proofErr w:type="spellEnd"/>
      <w:r>
        <w:t xml:space="preserve"> output </w:t>
      </w:r>
      <w:r>
        <w:t>is exported (Toyota Media, 2024). Fourth, wholly owned manufacturing allowed Toyota to transplant its production philosophy, the Toyota Production System and Kaizen, directly into UK operations without the compromises that a joint-venture partner might hav</w:t>
      </w:r>
      <w:r>
        <w:t>e required, protecting the proprietary processes at the heart of Toyota's competitive advantage.</w:t>
      </w:r>
    </w:p>
    <w:p w:rsidR="00C17171" w:rsidRDefault="00B53870">
      <w:pPr>
        <w:spacing w:after="200" w:line="300" w:lineRule="auto"/>
        <w:jc w:val="both"/>
      </w:pPr>
      <w:r>
        <w:t xml:space="preserve">Ownership of the UK sales operation was also progressively consolidated: Toyota Motor Corporation took a 51 per cent stake in Toyota (GB) Ltd in 1998 when its </w:t>
      </w:r>
      <w:r>
        <w:t xml:space="preserve">distribution agreement with Inchcape ended, and assumed full ownership of Toyota (GB) PLC by 2000 (Toyota Media, </w:t>
      </w:r>
      <w:proofErr w:type="spellStart"/>
      <w:r>
        <w:t>n.d.</w:t>
      </w:r>
      <w:proofErr w:type="spellEnd"/>
      <w:r>
        <w:t xml:space="preserve">). This mirrors a common internationalisation pattern in which a firm begins with an independent local partner and progressively increases </w:t>
      </w:r>
      <w:r>
        <w:t>equity commitment as it gains market knowledge and confidence, consistent with the incremental logic of the Uppsala internationalisation model. Evaluated against alternative entry modes, wholly owned FDI has proved appropriate for the UK given the size and</w:t>
      </w:r>
      <w:r>
        <w:t xml:space="preserve"> strategic importance of the market: it gave Toyota full control over quality, technology transfer and brand standards, which would have been harder to guarantee under a joint venture, while the scale of investment was justified by the UK's role as a Europ</w:t>
      </w:r>
      <w:r>
        <w:t xml:space="preserve">ean export base rather than a purely domestic outlet. The principal risk of this high-commitment mode, exposure to UK-specific political and economic shocks such as </w:t>
      </w:r>
      <w:proofErr w:type="spellStart"/>
      <w:r>
        <w:t>Brexit</w:t>
      </w:r>
      <w:proofErr w:type="spellEnd"/>
      <w:r>
        <w:t>-related trade friction, has been partly mitigated by the depth of Toyota's sunk inve</w:t>
      </w:r>
      <w:r>
        <w:t>stment and its integration into pan-European supply chains.</w:t>
      </w:r>
    </w:p>
    <w:p w:rsidR="00776255" w:rsidRDefault="00776255">
      <w:pPr>
        <w:pStyle w:val="Heading1"/>
      </w:pPr>
    </w:p>
    <w:p w:rsidR="00C17171" w:rsidRDefault="00B53870">
      <w:pPr>
        <w:pStyle w:val="Heading1"/>
      </w:pPr>
      <w:r>
        <w:lastRenderedPageBreak/>
        <w:t>7. Ethical Evaluation of the Marketing Mix</w:t>
      </w:r>
    </w:p>
    <w:p w:rsidR="00C17171" w:rsidRDefault="00B53870">
      <w:pPr>
        <w:spacing w:after="200" w:line="300" w:lineRule="auto"/>
        <w:jc w:val="both"/>
      </w:pPr>
      <w:r>
        <w:t>A significant ethical controversy affecting Toyota's marketing and product claims emerged in its home market, Japan, during 2024. In January 2024, Toyota</w:t>
      </w:r>
      <w:r>
        <w:t xml:space="preserve"> Industries Corporation, an affiliate commissioned to develop diesel engines for Toyota, reported that horsepower-output testing for three diesel engine models had been manipulated: control units with different software to that used in mass production were</w:t>
      </w:r>
      <w:r>
        <w:t xml:space="preserve"> fitted during certification testing so that results appeared smoother and more favourable than genuine production units would achieve (</w:t>
      </w:r>
      <w:proofErr w:type="spellStart"/>
      <w:r>
        <w:t>Nasdaq</w:t>
      </w:r>
      <w:proofErr w:type="spellEnd"/>
      <w:r>
        <w:t xml:space="preserve">/JCN Newswire, 2024). Ten global vehicle models, including the Hilux, Land Cruiser 300, </w:t>
      </w:r>
      <w:proofErr w:type="spellStart"/>
      <w:r>
        <w:t>Fortuner</w:t>
      </w:r>
      <w:proofErr w:type="spellEnd"/>
      <w:r>
        <w:t xml:space="preserve"> and Lexus LX mode</w:t>
      </w:r>
      <w:r>
        <w:t>ls, used the affected engines, and Toyota suspended shipments while it investigated (Gulf News, 2024).</w:t>
      </w:r>
    </w:p>
    <w:p w:rsidR="00C17171" w:rsidRDefault="00B53870">
      <w:pPr>
        <w:spacing w:after="200" w:line="300" w:lineRule="auto"/>
        <w:jc w:val="both"/>
      </w:pPr>
      <w:r>
        <w:t>The scandal widened considerably in June 2024, when Toyota's chairman, Akio Toyoda, publicly apologised for wide-ranging fraudulent certification testing</w:t>
      </w:r>
      <w:r>
        <w:t xml:space="preserve"> across seven vehicle models, including the use of </w:t>
      </w:r>
      <w:proofErr w:type="spellStart"/>
      <w:r>
        <w:t>outdated</w:t>
      </w:r>
      <w:proofErr w:type="spellEnd"/>
      <w:r>
        <w:t xml:space="preserve"> or inadequate crash-test data, incorrect airbag-inflation testing and falsified engine-power results; production of three models, the Corolla Fielder, Corolla </w:t>
      </w:r>
      <w:proofErr w:type="spellStart"/>
      <w:r>
        <w:t>Axio</w:t>
      </w:r>
      <w:proofErr w:type="spellEnd"/>
      <w:r>
        <w:t xml:space="preserve"> and Yaris Cross, was suspended i</w:t>
      </w:r>
      <w:r>
        <w:t>n Japan as a result (Associated Press/</w:t>
      </w:r>
      <w:proofErr w:type="spellStart"/>
      <w:r>
        <w:t>Marketbeat</w:t>
      </w:r>
      <w:proofErr w:type="spellEnd"/>
      <w:r>
        <w:t>, 2024a). A further round of violations was disclosed in July and August 2024, prompting Japan's Ministry of Land, Infrastructure, Transport and Tourism to issue a formal corrective order demanding 'drastic r</w:t>
      </w:r>
      <w:r>
        <w:t>eforms', after on-site inspections found intentional misconduct across seven additional, previously undisclosed models, some of which had also been certified for sale overseas (CNBC, 2024).</w:t>
      </w:r>
    </w:p>
    <w:p w:rsidR="00C17171" w:rsidRDefault="00B53870">
      <w:pPr>
        <w:spacing w:after="200" w:line="300" w:lineRule="auto"/>
        <w:jc w:val="both"/>
      </w:pPr>
      <w:r>
        <w:t>From an ethical-marketing perspective, this episode is significant</w:t>
      </w:r>
      <w:r>
        <w:t xml:space="preserve"> for three reasons. First, certification data forms part of the implicit and explicit safety and performance claims that underpin Toyota's marketing message of dependability; falsified test results therefore risk misrepresenting the very attributes, safety</w:t>
      </w:r>
      <w:r>
        <w:t xml:space="preserve"> and quality, that Toyota's brand promise and positioning are built upon, both in Japan and, given that some affected models were certified overseas, potentially in other markets too. Second, the scandal illustrates a tension between decentralised, high-pr</w:t>
      </w:r>
      <w:r>
        <w:t>essure engineering targets and the honesty expected of a company whose entire competitive identity rests on trust; Toyota's own investigation found that staff and managers did not fully understand certification requirements and were inadequately supervised</w:t>
      </w:r>
      <w:r>
        <w:t>, suggesting a systemic process failure rather than an isolated incident (</w:t>
      </w:r>
      <w:proofErr w:type="spellStart"/>
      <w:r>
        <w:t>Marketbeat</w:t>
      </w:r>
      <w:proofErr w:type="spellEnd"/>
      <w:r>
        <w:t>, 2024b). Third, the reputational and governance consequences were material: two major proxy advisory groups called on shareholders to vote against retaining Akio Toyoda, g</w:t>
      </w:r>
      <w:r>
        <w:t>randson of Toyota's founder, on the board at the 2024 annual meeting, reflecting real investor concern about oversight (</w:t>
      </w:r>
      <w:proofErr w:type="spellStart"/>
      <w:r>
        <w:t>Marketbeat</w:t>
      </w:r>
      <w:proofErr w:type="spellEnd"/>
      <w:r>
        <w:t>, 2024c).</w:t>
      </w:r>
    </w:p>
    <w:p w:rsidR="00C17171" w:rsidRDefault="00B53870">
      <w:pPr>
        <w:spacing w:after="200" w:line="300" w:lineRule="auto"/>
        <w:jc w:val="both"/>
      </w:pPr>
      <w:r>
        <w:t xml:space="preserve">On balance, this was a serious ethical and governance failure rather than a case of deliberately deceptive external </w:t>
      </w:r>
      <w:r>
        <w:t>advertising aimed at consumers; Toyota maintained, and independent re-verification supported, that the safety of vehicles already on the road was not compromised (Gulf News, 2024). Nevertheless, from a marketing-ethics standpoint, certification integrity i</w:t>
      </w:r>
      <w:r>
        <w:t>s inseparable from the credibility of quality-based positioning: a brand that markets itself internationally on the promise of meticulous engineering discipline has a correspondingly higher duty of care to ensure the data underpinning that promise is genui</w:t>
      </w:r>
      <w:r>
        <w:t>ne. The willingness of Toyota's leadership to apologise publicly, halt affected production lines and submit a detailed corrective action plan to the regulator (</w:t>
      </w:r>
      <w:proofErr w:type="spellStart"/>
      <w:r>
        <w:t>Marketbeat</w:t>
      </w:r>
      <w:proofErr w:type="spellEnd"/>
      <w:r>
        <w:t>, 2024d) suggests the company recognised the ethical stakes, but the recurrence of vio</w:t>
      </w:r>
      <w:r>
        <w:t>lations across multiple disclosure rounds in 2024 raises legitimate questions about whether corrective measures were embedded quickly enough across Toyota's sprawling model range.</w:t>
      </w:r>
    </w:p>
    <w:p w:rsidR="00C17171" w:rsidRDefault="00B53870">
      <w:pPr>
        <w:pStyle w:val="Heading1"/>
      </w:pPr>
      <w:r>
        <w:lastRenderedPageBreak/>
        <w:t>8. Recommendations</w:t>
      </w:r>
    </w:p>
    <w:p w:rsidR="00C17171" w:rsidRDefault="00B53870">
      <w:pPr>
        <w:pStyle w:val="ListParagraph"/>
        <w:numPr>
          <w:ilvl w:val="0"/>
          <w:numId w:val="2"/>
        </w:numPr>
        <w:spacing w:after="100" w:line="290" w:lineRule="auto"/>
      </w:pPr>
      <w:r>
        <w:t>Strengthen and independently audit certification and qual</w:t>
      </w:r>
      <w:r>
        <w:t xml:space="preserve">ity-assurance processes across all markets, not only Japan, given that several of the 2024 certification irregularities affected models also sold internationally; publishing independent audit results proactively in both Japan and the UK would help rebuild </w:t>
      </w:r>
      <w:r>
        <w:t>trust in the quality claims central to Toyota's brand positioning.</w:t>
      </w:r>
    </w:p>
    <w:p w:rsidR="00C17171" w:rsidRDefault="00B53870">
      <w:pPr>
        <w:pStyle w:val="ListParagraph"/>
        <w:numPr>
          <w:ilvl w:val="0"/>
          <w:numId w:val="2"/>
        </w:numPr>
        <w:spacing w:after="100" w:line="290" w:lineRule="auto"/>
      </w:pPr>
      <w:r>
        <w:t>Accelerate battery-electric vehicle development and UK/European-specific model launches to keep pace with the UK's Zero Emission Vehicle mandate, while continuing to use full-hybrid technol</w:t>
      </w:r>
      <w:r>
        <w:t>ogy as a bridge for more risk-averse segments in both markets.</w:t>
      </w:r>
    </w:p>
    <w:p w:rsidR="00C17171" w:rsidRDefault="00B53870">
      <w:pPr>
        <w:pStyle w:val="ListParagraph"/>
        <w:numPr>
          <w:ilvl w:val="0"/>
          <w:numId w:val="2"/>
        </w:numPr>
        <w:spacing w:after="100" w:line="290" w:lineRule="auto"/>
      </w:pPr>
      <w:r>
        <w:t>Localise messaging deliberately rather than translating a single global campaign: continue to use trust-, family- and heritage-based appeals in Japan, where collectivism and long-term orientati</w:t>
      </w:r>
      <w:r>
        <w:t>on are high, while using value-for-money, independent-reliability-data and individual-lifestyle appeals in the UK, where individualism and lower uncertainty avoidance dominate.</w:t>
      </w:r>
    </w:p>
    <w:p w:rsidR="00C17171" w:rsidRDefault="00B53870">
      <w:pPr>
        <w:pStyle w:val="ListParagraph"/>
        <w:numPr>
          <w:ilvl w:val="0"/>
          <w:numId w:val="2"/>
        </w:numPr>
        <w:spacing w:after="100" w:line="290" w:lineRule="auto"/>
      </w:pPr>
      <w:r>
        <w:t xml:space="preserve">Leverage </w:t>
      </w:r>
      <w:proofErr w:type="spellStart"/>
      <w:r>
        <w:t>Burnaston's</w:t>
      </w:r>
      <w:proofErr w:type="spellEnd"/>
      <w:r>
        <w:t xml:space="preserve"> role as a pan-European export and sustainability hub in UK</w:t>
      </w:r>
      <w:r>
        <w:t xml:space="preserve"> marketing and public relations, using its ISO 14001 environmental credentials and investment record as tangible 'physical evidence' that reinforces both local economic contribution and environmental positioning.</w:t>
      </w:r>
    </w:p>
    <w:p w:rsidR="00C17171" w:rsidRDefault="00B53870">
      <w:pPr>
        <w:pStyle w:val="ListParagraph"/>
        <w:numPr>
          <w:ilvl w:val="0"/>
          <w:numId w:val="2"/>
        </w:numPr>
        <w:spacing w:after="100" w:line="290" w:lineRule="auto"/>
      </w:pPr>
      <w:r>
        <w:t>Continue the incremental, high-commitment o</w:t>
      </w:r>
      <w:r>
        <w:t>wnership model for markets of strategic manufacturing importance (as in the UK), while retaining lighter-footprint distributor arrangements in smaller or more uncertain emerging markets, consistent with a portfolio approach to international entry-mode risk</w:t>
      </w:r>
      <w:r>
        <w:t>.</w:t>
      </w:r>
    </w:p>
    <w:p w:rsidR="00C17171" w:rsidRDefault="00B53870">
      <w:pPr>
        <w:pStyle w:val="ListParagraph"/>
        <w:numPr>
          <w:ilvl w:val="0"/>
          <w:numId w:val="2"/>
        </w:numPr>
        <w:spacing w:after="100" w:line="290" w:lineRule="auto"/>
      </w:pPr>
      <w:r>
        <w:t>Invest further in company-car and fleet-focused pricing and finance packages in the UK, given the outsized influence of benefit-in-kind taxation on private and business purchase decisions, an incentive structure without a direct equivalent in Japan.</w:t>
      </w:r>
    </w:p>
    <w:p w:rsidR="00C17171" w:rsidRDefault="00B53870">
      <w:pPr>
        <w:pStyle w:val="Heading1"/>
      </w:pPr>
      <w:r>
        <w:t>Section 2: Reflective Account</w:t>
      </w:r>
    </w:p>
    <w:p w:rsidR="00C17171" w:rsidRDefault="00B53870">
      <w:pPr>
        <w:spacing w:after="200" w:line="300" w:lineRule="auto"/>
        <w:jc w:val="both"/>
      </w:pPr>
      <w:r>
        <w:t>T</w:t>
      </w:r>
      <w:r>
        <w:t>his section reflects on the process I followed while researching, analysing and writing the comparative report on Toyota's international marketing strategy in Japan and the United Kingdom. I have used Gibbs' (1988) Reflective Cycle, which structures reflec</w:t>
      </w:r>
      <w:r>
        <w:t xml:space="preserve">tion into six stages: description, feelings, evaluation, analysis, </w:t>
      </w:r>
      <w:proofErr w:type="gramStart"/>
      <w:r>
        <w:t>conclusion</w:t>
      </w:r>
      <w:proofErr w:type="gramEnd"/>
      <w:r>
        <w:t xml:space="preserve"> and action plan. I chose this model over Kolb's cycle because Gibbs' explicit 'feelings' stage felt more useful for capturing the emotional highs and lows of a multi-stage resear</w:t>
      </w:r>
      <w:r>
        <w:t>ch assignment, rather than compressing that into a single abstract-conceptualisation step.</w:t>
      </w:r>
    </w:p>
    <w:p w:rsidR="00C17171" w:rsidRDefault="00B53870">
      <w:pPr>
        <w:pStyle w:val="Heading2"/>
      </w:pPr>
      <w:r>
        <w:t>Description</w:t>
      </w:r>
    </w:p>
    <w:p w:rsidR="00C17171" w:rsidRDefault="00B53870">
      <w:pPr>
        <w:spacing w:after="200" w:line="300" w:lineRule="auto"/>
        <w:jc w:val="both"/>
      </w:pPr>
      <w:r>
        <w:t>The assignment required me to select a global brand and compare its marketing strategy across two countries. I chose Toyota, Japan as the home market and</w:t>
      </w:r>
      <w:r>
        <w:t xml:space="preserve"> the United Kingdom as the host market, partly because Toyota is a brand I am reasonably familiar with as a consumer, and partly because I suspected that the contrast between a mature Asian home market and a mature European host market would generate rich </w:t>
      </w:r>
      <w:r>
        <w:t xml:space="preserve">material for the PESTEL and </w:t>
      </w:r>
      <w:proofErr w:type="spellStart"/>
      <w:r>
        <w:t>Hofstede</w:t>
      </w:r>
      <w:proofErr w:type="spellEnd"/>
      <w:r>
        <w:t xml:space="preserve"> comparisons. I began by mapping out the assignment brief into discrete tasks: macro-environmental comparison, cultural comparison, STP, the 7Ps, market entry mode, an ethical evaluation and recommendations. I then set a</w:t>
      </w:r>
      <w:r>
        <w:t>side blocks of time for research, drafting and review rather than attempting to write the whole report in one sitting.</w:t>
      </w:r>
    </w:p>
    <w:p w:rsidR="00C17171" w:rsidRDefault="00B53870">
      <w:pPr>
        <w:spacing w:after="200" w:line="300" w:lineRule="auto"/>
        <w:jc w:val="both"/>
      </w:pPr>
      <w:r>
        <w:lastRenderedPageBreak/>
        <w:t>My research process started with Toyota's own corporate and media resources to establish the factual backbone of the UK market entry stor</w:t>
      </w:r>
      <w:r>
        <w:t xml:space="preserve">y, before moving to independent news sources for the 2024 certification scandal, and finally to academic and reference sources for the </w:t>
      </w:r>
      <w:proofErr w:type="spellStart"/>
      <w:r>
        <w:t>Hofstede</w:t>
      </w:r>
      <w:proofErr w:type="spellEnd"/>
      <w:r>
        <w:t xml:space="preserve"> cultural scores. I kept a simple running document of sources as I found them, which made compiling the reference</w:t>
      </w:r>
      <w:r>
        <w:t xml:space="preserve"> list at the end considerably less stressful than it could have been.</w:t>
      </w:r>
    </w:p>
    <w:p w:rsidR="00C17171" w:rsidRDefault="00B53870">
      <w:pPr>
        <w:pStyle w:val="Heading2"/>
      </w:pPr>
      <w:r>
        <w:t>Feelings</w:t>
      </w:r>
    </w:p>
    <w:p w:rsidR="00C17171" w:rsidRDefault="00B53870">
      <w:pPr>
        <w:spacing w:after="200" w:line="300" w:lineRule="auto"/>
        <w:jc w:val="both"/>
      </w:pPr>
      <w:r>
        <w:t>At the outset I felt confident, since I already knew the broad outline of Toyota'</w:t>
      </w:r>
      <w:r>
        <w:t xml:space="preserve">s UK manufacturing history from general knowledge of the automotive industry. That confidence dipped slightly once I began the PESTEL and </w:t>
      </w:r>
      <w:proofErr w:type="spellStart"/>
      <w:r>
        <w:t>Hofstede</w:t>
      </w:r>
      <w:proofErr w:type="spellEnd"/>
      <w:r>
        <w:t xml:space="preserve"> sections, where I realised that comparing two countries properly required much more specific, current data th</w:t>
      </w:r>
      <w:r>
        <w:t xml:space="preserve">an I had assumed; a few </w:t>
      </w:r>
      <w:proofErr w:type="spellStart"/>
      <w:r>
        <w:t>outdated</w:t>
      </w:r>
      <w:proofErr w:type="spellEnd"/>
      <w:r>
        <w:t xml:space="preserve"> or vague statements I had initially drafted needed to be replaced once I checked more recent figures. Locating the 2024 Toyota certification scandal for the ethical-issues section was, if I am honest, the part of the proces</w:t>
      </w:r>
      <w:r>
        <w:t>s I found most engaging, because it connected an abstract marketing-ethics concept to a very recent, well-documented real-world event, and writing that section felt more like genuine analysis than description. By contrast, building the comparison tables fo</w:t>
      </w:r>
      <w:r>
        <w:t>r the 7Ps was the most laborious stage: it demanded discipline to keep each cell genuinely comparative rather than simply restating generic marketing-mix theory.</w:t>
      </w:r>
    </w:p>
    <w:p w:rsidR="00C17171" w:rsidRDefault="00B53870">
      <w:pPr>
        <w:pStyle w:val="Heading2"/>
      </w:pPr>
      <w:r>
        <w:t>Evaluation</w:t>
      </w:r>
    </w:p>
    <w:p w:rsidR="00C17171" w:rsidRDefault="00B53870">
      <w:pPr>
        <w:spacing w:after="200" w:line="300" w:lineRule="auto"/>
        <w:jc w:val="both"/>
      </w:pPr>
      <w:r>
        <w:t>What went well was the overall structure: breaking the brief into the seven require</w:t>
      </w:r>
      <w:r>
        <w:t xml:space="preserve">d components before writing gave me a clear checklist and meant I did not lose track of any requirement, including the ones easy to overlook, such as the explicit instruction to analyse the entry strategy in only one of the two countries. Using frameworks </w:t>
      </w:r>
      <w:r>
        <w:t xml:space="preserve">(PESTEL, </w:t>
      </w:r>
      <w:proofErr w:type="spellStart"/>
      <w:r>
        <w:t>Hofstede</w:t>
      </w:r>
      <w:proofErr w:type="spellEnd"/>
      <w:r>
        <w:t xml:space="preserve">, STP, 7Ps) as literal table headings also forced a genuinely comparative structure rather than two separate, parallel descriptions of Japan and the UK side by side. What went less well was time management in the early stages: I initially </w:t>
      </w:r>
      <w:r>
        <w:t>underestimated how long it would take to find sufficiently specific, well-sourced facts (exact investment figures, dates, and sales statistics) and had to revisit my draft PESTEL table twice to replace vaguer claims with properly evidenced ones.</w:t>
      </w:r>
    </w:p>
    <w:p w:rsidR="00C17171" w:rsidRDefault="00B53870">
      <w:pPr>
        <w:pStyle w:val="Heading2"/>
      </w:pPr>
      <w:r>
        <w:t>Analysis</w:t>
      </w:r>
    </w:p>
    <w:p w:rsidR="00C17171" w:rsidRDefault="00B53870">
      <w:pPr>
        <w:spacing w:after="200" w:line="300" w:lineRule="auto"/>
        <w:jc w:val="both"/>
      </w:pPr>
      <w:r>
        <w:t>R</w:t>
      </w:r>
      <w:r>
        <w:t>eflecting on why the process unfolded this way, I think the main driver of both the successes and the difficulties was the same underlying factor: the assignment rewards specificity. Generic marketing-mix knowledge is relatively easy to produce, but a genu</w:t>
      </w:r>
      <w:r>
        <w:t>inely comparative report that treats Japan and the UK as distinct markets, rather than interchangeable examples, only works if each claim is anchored to a real, checkable fact about one country or the other. This explains why the ethical-issues section, wh</w:t>
      </w:r>
      <w:r>
        <w:t>ere I had a concrete, well-documented event to analyse, came together faster and, I think, more convincingly than the earlier drafts of the cultural and PESTEL sections, which initially leaned too heavily on assumption rather than evidence. It also explain</w:t>
      </w:r>
      <w:r>
        <w:t>s the time-management issue: verifying facts is inherently slower than writing from memory, and I had not built enough time into my initial plan for that verification stage. In terms of transferable skills, this mirrors a wider lesson about international b</w:t>
      </w:r>
      <w:r>
        <w:t xml:space="preserve">usiness analysis generally: frameworks such as PESTEL and </w:t>
      </w:r>
      <w:proofErr w:type="spellStart"/>
      <w:r>
        <w:t>Hofstede</w:t>
      </w:r>
      <w:proofErr w:type="spellEnd"/>
      <w:r>
        <w:t xml:space="preserve"> are only as useful as the country-specific evidence used to populate them, and the temptation to fall back on stereotypes (for example, assuming Japan is simply 'traditional' or the UK simp</w:t>
      </w:r>
      <w:r>
        <w:t>ly 'individualistic') has to be actively resisted by grounding every claim in a specific fact or figure.</w:t>
      </w:r>
    </w:p>
    <w:p w:rsidR="00C17171" w:rsidRDefault="00B53870">
      <w:pPr>
        <w:pStyle w:val="Heading2"/>
      </w:pPr>
      <w:r>
        <w:lastRenderedPageBreak/>
        <w:t>Conclusion</w:t>
      </w:r>
    </w:p>
    <w:p w:rsidR="00C17171" w:rsidRDefault="00B53870">
      <w:pPr>
        <w:spacing w:after="200" w:line="300" w:lineRule="auto"/>
        <w:jc w:val="both"/>
      </w:pPr>
      <w:r>
        <w:t>Overall, I conclude that the report achieved what it set out to do: a genuinely comparative, evidence-based analysis of Toyota's internation</w:t>
      </w:r>
      <w:r>
        <w:t xml:space="preserve">al marketing strategy rather than a generic description of marketing theory illustrated with two country names. I could have managed my time better in the early research stages, and in hindsight I would have benefited from settling on my final source list </w:t>
      </w:r>
      <w:r>
        <w:t>before starting to write the PESTEL table, rather than partway through it. I also recognise that relying on a small number of company and news sources for the ethical-issues section, while appropriate given how recent the event was</w:t>
      </w:r>
      <w:proofErr w:type="gramStart"/>
      <w:r>
        <w:t>,</w:t>
      </w:r>
      <w:proofErr w:type="gramEnd"/>
      <w:r>
        <w:t xml:space="preserve"> means the section would</w:t>
      </w:r>
      <w:r>
        <w:t xml:space="preserve"> benefit from additional academic commentary if I were extending this work further.</w:t>
      </w:r>
    </w:p>
    <w:p w:rsidR="00C17171" w:rsidRDefault="00B53870">
      <w:pPr>
        <w:pStyle w:val="Heading2"/>
      </w:pPr>
      <w:r>
        <w:t>Action Plan</w:t>
      </w:r>
    </w:p>
    <w:p w:rsidR="00C17171" w:rsidRDefault="00B53870">
      <w:pPr>
        <w:pStyle w:val="ListParagraph"/>
        <w:numPr>
          <w:ilvl w:val="0"/>
          <w:numId w:val="2"/>
        </w:numPr>
        <w:spacing w:after="100" w:line="290" w:lineRule="auto"/>
      </w:pPr>
      <w:r>
        <w:t>For future assignments of this kind, complete a full source-gathering pass for every section before drafting any single section in detail, to avoid having to ba</w:t>
      </w:r>
      <w:r>
        <w:t>ckfill weaker paragraphs later.</w:t>
      </w:r>
    </w:p>
    <w:p w:rsidR="00C17171" w:rsidRDefault="00B53870">
      <w:pPr>
        <w:pStyle w:val="ListParagraph"/>
        <w:numPr>
          <w:ilvl w:val="0"/>
          <w:numId w:val="2"/>
        </w:numPr>
        <w:spacing w:after="100" w:line="290" w:lineRule="auto"/>
      </w:pPr>
      <w:r>
        <w:t>Build explicit time in the project plan for fact-verification, rather than treating it as an afterthought once a first draft exists.</w:t>
      </w:r>
    </w:p>
    <w:p w:rsidR="00C17171" w:rsidRDefault="00B53870">
      <w:pPr>
        <w:pStyle w:val="ListParagraph"/>
        <w:numPr>
          <w:ilvl w:val="0"/>
          <w:numId w:val="2"/>
        </w:numPr>
        <w:spacing w:after="100" w:line="290" w:lineRule="auto"/>
      </w:pPr>
      <w:r>
        <w:t>Where an assignment allows it, seek out at least one peer-reviewed academic source for each</w:t>
      </w:r>
      <w:r>
        <w:t xml:space="preserve"> major analytical section, in addition to reputable news and company sources, to strengthen the balance between currency and academic rigour.</w:t>
      </w:r>
    </w:p>
    <w:p w:rsidR="0077156F" w:rsidRDefault="00B53870" w:rsidP="0077156F">
      <w:pPr>
        <w:pStyle w:val="ListParagraph"/>
        <w:numPr>
          <w:ilvl w:val="0"/>
          <w:numId w:val="2"/>
        </w:numPr>
        <w:spacing w:after="100" w:line="290" w:lineRule="auto"/>
      </w:pPr>
      <w:r>
        <w:t xml:space="preserve">Continue using a running reference log from the very first research session, since this was the single habit that </w:t>
      </w:r>
      <w:r>
        <w:t>most reduced stress at the end of the writing process.</w:t>
      </w:r>
    </w:p>
    <w:p w:rsidR="0077156F" w:rsidRDefault="0077156F" w:rsidP="0077156F">
      <w:pPr>
        <w:pStyle w:val="Heading1"/>
      </w:pPr>
    </w:p>
    <w:p w:rsidR="0077156F" w:rsidRDefault="0077156F" w:rsidP="0077156F">
      <w:pPr>
        <w:pStyle w:val="Heading1"/>
      </w:pPr>
    </w:p>
    <w:p w:rsidR="0077156F" w:rsidRDefault="0077156F" w:rsidP="0077156F">
      <w:pPr>
        <w:pStyle w:val="Heading1"/>
      </w:pPr>
    </w:p>
    <w:p w:rsidR="0077156F" w:rsidRDefault="0077156F" w:rsidP="0077156F">
      <w:pPr>
        <w:pStyle w:val="Heading1"/>
      </w:pPr>
    </w:p>
    <w:p w:rsidR="0077156F" w:rsidRDefault="0077156F" w:rsidP="0077156F">
      <w:pPr>
        <w:pStyle w:val="Heading1"/>
      </w:pPr>
    </w:p>
    <w:p w:rsidR="0077156F" w:rsidRDefault="0077156F" w:rsidP="0077156F">
      <w:pPr>
        <w:pStyle w:val="Heading1"/>
      </w:pPr>
    </w:p>
    <w:p w:rsidR="0077156F" w:rsidRDefault="0077156F" w:rsidP="0077156F">
      <w:pPr>
        <w:pStyle w:val="Heading1"/>
      </w:pPr>
    </w:p>
    <w:p w:rsidR="0077156F" w:rsidRDefault="0077156F" w:rsidP="0077156F">
      <w:pPr>
        <w:pStyle w:val="Heading1"/>
      </w:pPr>
    </w:p>
    <w:p w:rsidR="0077156F" w:rsidRDefault="0077156F" w:rsidP="0077156F">
      <w:pPr>
        <w:pStyle w:val="Heading1"/>
      </w:pPr>
    </w:p>
    <w:p w:rsidR="0077156F" w:rsidRDefault="0077156F" w:rsidP="0077156F">
      <w:pPr>
        <w:pStyle w:val="Heading1"/>
      </w:pPr>
    </w:p>
    <w:p w:rsidR="0077156F" w:rsidRDefault="0077156F" w:rsidP="0077156F">
      <w:pPr>
        <w:pStyle w:val="Heading1"/>
      </w:pPr>
    </w:p>
    <w:p w:rsidR="0077156F" w:rsidRDefault="0077156F" w:rsidP="0077156F">
      <w:pPr>
        <w:pStyle w:val="Heading1"/>
      </w:pPr>
      <w:r>
        <w:t>9. Reference List</w:t>
      </w:r>
    </w:p>
    <w:p w:rsidR="0077156F" w:rsidRDefault="0077156F" w:rsidP="0077156F">
      <w:pPr>
        <w:spacing w:after="160" w:line="280" w:lineRule="auto"/>
        <w:ind w:left="720" w:hanging="720"/>
      </w:pPr>
      <w:r>
        <w:t xml:space="preserve">Associated Press (2024a) 'Toyota apologizes for cheating on vehicle testing and halts production of three models', </w:t>
      </w:r>
      <w:proofErr w:type="spellStart"/>
      <w:r>
        <w:t>Marketbeat</w:t>
      </w:r>
      <w:proofErr w:type="spellEnd"/>
      <w:r>
        <w:t>, 3 June. Available at: https://www.marketbeat.com/articles/toyota-apologizes-for-cheating-on-vehicle-testing-and-halts-production-of-three-models-2024-06-03/ (Accessed: 26 July 2026).</w:t>
      </w:r>
    </w:p>
    <w:p w:rsidR="0077156F" w:rsidRDefault="0077156F" w:rsidP="0077156F">
      <w:pPr>
        <w:spacing w:after="160" w:line="280" w:lineRule="auto"/>
        <w:ind w:left="720" w:hanging="720"/>
      </w:pPr>
      <w:proofErr w:type="gramStart"/>
      <w:r>
        <w:t xml:space="preserve">Associated Press (2024b) 'Japan's top automaker Toyota acknowledges more certification cheating and apologizes', </w:t>
      </w:r>
      <w:proofErr w:type="spellStart"/>
      <w:r>
        <w:t>Marketbeat</w:t>
      </w:r>
      <w:proofErr w:type="spellEnd"/>
      <w:r>
        <w:t>, 31 July.</w:t>
      </w:r>
      <w:proofErr w:type="gramEnd"/>
      <w:r>
        <w:t xml:space="preserve"> Available at: https://www.marketbeat.com/articles/japans-top-automaker-toyota-acknowledges-more-certification-cheating-and-apologizes-2024-07-31 (Accessed: 26 July 2026).</w:t>
      </w:r>
    </w:p>
    <w:p w:rsidR="0077156F" w:rsidRDefault="0077156F" w:rsidP="0077156F">
      <w:pPr>
        <w:spacing w:after="160" w:line="280" w:lineRule="auto"/>
        <w:ind w:left="720" w:hanging="720"/>
      </w:pPr>
      <w:r>
        <w:t xml:space="preserve">Associated Press (2024c) 'Toyota shareholders demand vote against chairman Toyoda as automaker embroiled in testing scandal', </w:t>
      </w:r>
      <w:proofErr w:type="spellStart"/>
      <w:r>
        <w:t>Marketbeat</w:t>
      </w:r>
      <w:proofErr w:type="spellEnd"/>
      <w:r>
        <w:t>, 15 June. Available at: https://www.marketbeat.com/articles/toyota-shareholders-demand-vote-against-chairman-toyoda-as-automaker-embroiled-in-testing-scandal-2024-06-15 (Accessed: 26 July 2026).</w:t>
      </w:r>
    </w:p>
    <w:p w:rsidR="0077156F" w:rsidRDefault="0077156F" w:rsidP="0077156F">
      <w:pPr>
        <w:spacing w:after="160" w:line="280" w:lineRule="auto"/>
        <w:ind w:left="720" w:hanging="720"/>
      </w:pPr>
      <w:r>
        <w:t xml:space="preserve">Associated Press (2024d) 'Japan's Toyota promises to do better with vehicle testing after major scandal', </w:t>
      </w:r>
      <w:proofErr w:type="spellStart"/>
      <w:r>
        <w:t>Marketbeat</w:t>
      </w:r>
      <w:proofErr w:type="spellEnd"/>
      <w:r>
        <w:t xml:space="preserve">, </w:t>
      </w:r>
      <w:proofErr w:type="gramStart"/>
      <w:r>
        <w:t>9</w:t>
      </w:r>
      <w:proofErr w:type="gramEnd"/>
      <w:r>
        <w:t xml:space="preserve"> August. Available at: https://www.marketbeat.com/articles/japans-toyota-promises-to-do-better-with-vehicle-testing-after-major-scandal-2024-08-09 (Accessed: 26 July 2026).</w:t>
      </w:r>
    </w:p>
    <w:p w:rsidR="0077156F" w:rsidRDefault="0077156F" w:rsidP="0077156F">
      <w:pPr>
        <w:spacing w:after="160" w:line="280" w:lineRule="auto"/>
        <w:ind w:left="720" w:hanging="720"/>
      </w:pPr>
      <w:proofErr w:type="gramStart"/>
      <w:r>
        <w:t>CNBC (2024) 'Japan orders 'drastic reforms' after new Toyota certification violations', CNBC, 1 August.</w:t>
      </w:r>
      <w:proofErr w:type="gramEnd"/>
      <w:r>
        <w:t xml:space="preserve"> Available at: https://www.cnbc.com/2024/08/01/japan-orders-drastic-reforms-after-new-toyota-certification-violations.html (Accessed: 26 July 2026).</w:t>
      </w:r>
    </w:p>
    <w:p w:rsidR="0077156F" w:rsidRDefault="0077156F" w:rsidP="0077156F">
      <w:pPr>
        <w:spacing w:after="160" w:line="280" w:lineRule="auto"/>
        <w:ind w:left="720" w:hanging="720"/>
      </w:pPr>
      <w:r>
        <w:t>CNN Business (2024) 'Japanese officials inspect Toyota headquarters over safety certification scandal', CNN, 4 June. Available at: https://www.cnn.com/2024/06/04/cars/japan-toyota-raid-safety-scandal-hnk-intl/index.html (Accessed: 26 July 2026).</w:t>
      </w:r>
    </w:p>
    <w:p w:rsidR="0077156F" w:rsidRDefault="0077156F" w:rsidP="0077156F">
      <w:pPr>
        <w:spacing w:after="160" w:line="280" w:lineRule="auto"/>
        <w:ind w:left="720" w:hanging="720"/>
      </w:pPr>
      <w:r>
        <w:t>Gulf News (2024) 'Toyota halts shipment of some vehicles over certification issues', Gulf News. Available at: https://gulfnews.com/business/retail/toyota-halts-shipment-of-some-vehicles-over-certification-issues-1.100725037 (Accessed: 26 July 2026).</w:t>
      </w:r>
    </w:p>
    <w:p w:rsidR="0077156F" w:rsidRDefault="0077156F" w:rsidP="0077156F">
      <w:pPr>
        <w:spacing w:after="160" w:line="280" w:lineRule="auto"/>
        <w:ind w:left="720" w:hanging="720"/>
      </w:pPr>
      <w:proofErr w:type="spellStart"/>
      <w:proofErr w:type="gramStart"/>
      <w:r>
        <w:t>heycar</w:t>
      </w:r>
      <w:proofErr w:type="spellEnd"/>
      <w:proofErr w:type="gramEnd"/>
      <w:r>
        <w:t xml:space="preserve"> UK (2026) 'Car Sales Statistics – Updated June 2026', </w:t>
      </w:r>
      <w:proofErr w:type="spellStart"/>
      <w:r>
        <w:t>heycar</w:t>
      </w:r>
      <w:proofErr w:type="spellEnd"/>
      <w:r>
        <w:t>. Available at: https://heycar.com/uk/news/car-sales-statistics (Accessed: 26 July 2026).</w:t>
      </w:r>
    </w:p>
    <w:p w:rsidR="0077156F" w:rsidRDefault="0077156F" w:rsidP="0077156F">
      <w:pPr>
        <w:spacing w:after="160" w:line="280" w:lineRule="auto"/>
        <w:ind w:left="720" w:hanging="720"/>
      </w:pPr>
      <w:proofErr w:type="spellStart"/>
      <w:r>
        <w:t>Hofstede</w:t>
      </w:r>
      <w:proofErr w:type="spellEnd"/>
      <w:r>
        <w:t xml:space="preserve"> </w:t>
      </w:r>
      <w:proofErr w:type="gramStart"/>
      <w:r>
        <w:t>Insights,</w:t>
      </w:r>
      <w:proofErr w:type="gramEnd"/>
      <w:r>
        <w:t xml:space="preserve"> cited in </w:t>
      </w:r>
      <w:proofErr w:type="spellStart"/>
      <w:r>
        <w:t>OpenLearn</w:t>
      </w:r>
      <w:proofErr w:type="spellEnd"/>
      <w:r>
        <w:t xml:space="preserve"> (2023) 'Figure 7 </w:t>
      </w:r>
      <w:proofErr w:type="spellStart"/>
      <w:r>
        <w:t>Hofstede's</w:t>
      </w:r>
      <w:proofErr w:type="spellEnd"/>
      <w:r>
        <w:t xml:space="preserve"> cultural difference scores, UK compared with Japan', The Open University. Available at: https://www.open.edu/openlearn/ (Accessed: 26 July 2026).</w:t>
      </w:r>
    </w:p>
    <w:p w:rsidR="0077156F" w:rsidRDefault="0077156F" w:rsidP="0077156F">
      <w:pPr>
        <w:spacing w:after="160" w:line="280" w:lineRule="auto"/>
        <w:ind w:left="720" w:hanging="720"/>
      </w:pPr>
      <w:proofErr w:type="spellStart"/>
      <w:proofErr w:type="gramStart"/>
      <w:r>
        <w:t>Nasdaq</w:t>
      </w:r>
      <w:proofErr w:type="spellEnd"/>
      <w:proofErr w:type="gramEnd"/>
      <w:r>
        <w:t xml:space="preserve"> / JCN Newswire (2024) 'Certification Irregularities at Toyota Industries', </w:t>
      </w:r>
      <w:proofErr w:type="spellStart"/>
      <w:r>
        <w:t>Nasdaq</w:t>
      </w:r>
      <w:proofErr w:type="spellEnd"/>
      <w:r>
        <w:t>, 29 January. Available at: https://www.nasdaq.com/press-release/certification-irregularities-at-toyota-industries-2024-01-29 (Accessed: 26 July 2026).</w:t>
      </w:r>
    </w:p>
    <w:p w:rsidR="0077156F" w:rsidRDefault="0077156F" w:rsidP="0077156F">
      <w:pPr>
        <w:spacing w:after="160" w:line="280" w:lineRule="auto"/>
        <w:ind w:left="720" w:hanging="720"/>
      </w:pPr>
      <w:proofErr w:type="gramStart"/>
      <w:r>
        <w:t>Simply Psychology (2025) '</w:t>
      </w:r>
      <w:proofErr w:type="spellStart"/>
      <w:r>
        <w:t>Hofstede's</w:t>
      </w:r>
      <w:proofErr w:type="spellEnd"/>
      <w:r>
        <w:t xml:space="preserve"> Cultural Dimensions Theory'.</w:t>
      </w:r>
      <w:proofErr w:type="gramEnd"/>
      <w:r>
        <w:t xml:space="preserve"> Available at: https://www.simplypsychology.org/hofstedes-cultural-dimensions-theory.html (Accessed: 26 July 2026).</w:t>
      </w:r>
    </w:p>
    <w:p w:rsidR="0077156F" w:rsidRDefault="0077156F" w:rsidP="0077156F">
      <w:pPr>
        <w:spacing w:after="160" w:line="280" w:lineRule="auto"/>
        <w:ind w:left="720" w:hanging="720"/>
      </w:pPr>
      <w:proofErr w:type="gramStart"/>
      <w:r>
        <w:lastRenderedPageBreak/>
        <w:t>Toyota Manufacturing UK (2024) 'Toyota Manufacturing UK', Wikipedia.</w:t>
      </w:r>
      <w:proofErr w:type="gramEnd"/>
      <w:r>
        <w:t xml:space="preserve"> Available at: https://en.wikipedia.org/wiki/Toyota_Manufacturing_UK (Accessed: 26 July 2026).</w:t>
      </w:r>
    </w:p>
    <w:p w:rsidR="0077156F" w:rsidRDefault="0077156F" w:rsidP="0077156F">
      <w:pPr>
        <w:spacing w:after="160" w:line="280" w:lineRule="auto"/>
        <w:ind w:left="720" w:hanging="720"/>
      </w:pPr>
      <w:r>
        <w:t xml:space="preserve">Toyota Media (2012) 'Toyota Motor Manufacturing UK: 20 Years </w:t>
      </w:r>
      <w:proofErr w:type="gramStart"/>
      <w:r>
        <w:t>Of</w:t>
      </w:r>
      <w:proofErr w:type="gramEnd"/>
      <w:r>
        <w:t xml:space="preserve"> Quality And Progress', Toyota Media Site, 4 November. Available at: https://media.toyota.co.uk/toyota-motor-manufacturing-uk-20-years-of-quality-and-progress/ (Accessed: 26 July 2026).</w:t>
      </w:r>
    </w:p>
    <w:p w:rsidR="0077156F" w:rsidRDefault="0077156F" w:rsidP="0077156F">
      <w:pPr>
        <w:spacing w:after="160" w:line="280" w:lineRule="auto"/>
        <w:ind w:left="720" w:hanging="720"/>
      </w:pPr>
      <w:r>
        <w:t xml:space="preserve">Toyota Media (2017) 'Toyota Manufacturing UK Celebrates 25 Years of Achievement at </w:t>
      </w:r>
      <w:proofErr w:type="spellStart"/>
      <w:r>
        <w:t>Burnaston</w:t>
      </w:r>
      <w:proofErr w:type="spellEnd"/>
      <w:r>
        <w:t>', Toyota Media Site, 14 December. Available at: https://media.toyota.co.uk/toyota-manufacturing-uk-celebrates-25-years-achievement-burnaston/ (Accessed: 26 July 2026).</w:t>
      </w:r>
    </w:p>
    <w:p w:rsidR="0077156F" w:rsidRDefault="0077156F" w:rsidP="0077156F">
      <w:pPr>
        <w:spacing w:after="160" w:line="280" w:lineRule="auto"/>
        <w:ind w:left="720" w:hanging="720"/>
      </w:pPr>
      <w:r>
        <w:t xml:space="preserve">Toyota Media (2024) 'Corolla makes history as Toyota's five millionth UK-built </w:t>
      </w:r>
      <w:proofErr w:type="gramStart"/>
      <w:r>
        <w:t>car</w:t>
      </w:r>
      <w:proofErr w:type="gramEnd"/>
      <w:r>
        <w:t>', Toyota Media Site, 24 October. Available at: https://media.toyota.co.uk/corolla-makes-history-as-toyotas-five-millionth-uk-built-car/ (Accessed: 26 July 2026).</w:t>
      </w:r>
    </w:p>
    <w:p w:rsidR="0077156F" w:rsidRDefault="0077156F" w:rsidP="0077156F">
      <w:pPr>
        <w:spacing w:after="160" w:line="280" w:lineRule="auto"/>
        <w:ind w:left="720" w:hanging="720"/>
      </w:pPr>
      <w:r>
        <w:t>Toyota Media (</w:t>
      </w:r>
      <w:proofErr w:type="spellStart"/>
      <w:r>
        <w:t>n.d.</w:t>
      </w:r>
      <w:proofErr w:type="spellEnd"/>
      <w:r>
        <w:t>) 'Company Background', Toyota Media Site. Available at: https://media.toyota.co.uk/wp-content/uploads/sites/5/pdf/210720M-Toyota-Company-Background.pdf (Accessed: 26 July 2026).</w:t>
      </w:r>
    </w:p>
    <w:p w:rsidR="0077156F" w:rsidRDefault="0077156F" w:rsidP="0077156F">
      <w:pPr>
        <w:spacing w:after="160" w:line="280" w:lineRule="auto"/>
        <w:ind w:left="720" w:hanging="720"/>
      </w:pPr>
      <w:proofErr w:type="gramStart"/>
      <w:r>
        <w:t>Toyota Motor Corporation (2025) Toyota Global Corporate Information.</w:t>
      </w:r>
      <w:proofErr w:type="gramEnd"/>
      <w:r>
        <w:t xml:space="preserve"> Available at: https://global.toyota/en/company/ (Accessed: 26 July 2026).</w:t>
      </w:r>
    </w:p>
    <w:p w:rsidR="0077156F" w:rsidRDefault="0077156F" w:rsidP="0077156F">
      <w:pPr>
        <w:spacing w:after="160" w:line="280" w:lineRule="auto"/>
        <w:ind w:left="720" w:hanging="720"/>
      </w:pPr>
      <w:r>
        <w:t>Toyota Motor Europe (2026) 'Toyota Motor Europe posts record 1.299 million vehicle sales in 2025', Toyota Media Site, 14 January. Available at: https://media.toyota.co.uk/toyota-motor-europe-posts-record-1-299-million-vehicle-sales-in-2025/ (Accessed: 26 July 2026).</w:t>
      </w:r>
    </w:p>
    <w:p w:rsidR="0077156F" w:rsidRDefault="0077156F" w:rsidP="0077156F">
      <w:pPr>
        <w:spacing w:after="160" w:line="280" w:lineRule="auto"/>
        <w:ind w:left="720" w:hanging="720"/>
      </w:pPr>
      <w:proofErr w:type="gramStart"/>
      <w:r>
        <w:t>Toyota UK (</w:t>
      </w:r>
      <w:proofErr w:type="spellStart"/>
      <w:r>
        <w:t>n.d.</w:t>
      </w:r>
      <w:proofErr w:type="spellEnd"/>
      <w:r>
        <w:t>) 'Toyota Motor Manufacturing UK', toyotauk.com.</w:t>
      </w:r>
      <w:proofErr w:type="gramEnd"/>
      <w:r>
        <w:t xml:space="preserve"> Available at: https://www.toyotauk.com/ (Accessed: 26 July 2026).</w:t>
      </w:r>
    </w:p>
    <w:p w:rsidR="0077156F" w:rsidRDefault="0077156F" w:rsidP="0077156F">
      <w:r>
        <w:br w:type="page"/>
      </w:r>
    </w:p>
    <w:p w:rsidR="0077156F" w:rsidRDefault="0077156F" w:rsidP="0077156F">
      <w:pPr>
        <w:spacing w:after="100" w:line="290" w:lineRule="auto"/>
        <w:ind w:left="216"/>
      </w:pPr>
    </w:p>
    <w:sectPr w:rsidR="0077156F">
      <w:headerReference w:type="default" r:id="rId11"/>
      <w:footerReference w:type="default" r:id="rId12"/>
      <w:pgSz w:w="11906" w:h="16838"/>
      <w:pgMar w:top="1134" w:right="1134" w:bottom="1134" w:left="1134" w:header="708" w:footer="708"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53870" w:rsidRDefault="00B53870">
      <w:r>
        <w:separator/>
      </w:r>
    </w:p>
  </w:endnote>
  <w:endnote w:type="continuationSeparator" w:id="0">
    <w:p w:rsidR="00B53870" w:rsidRDefault="00B538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17171" w:rsidRDefault="00B53870">
    <w:pPr>
      <w:jc w:val="center"/>
    </w:pPr>
    <w:r>
      <w:rPr>
        <w:color w:val="808080"/>
        <w:sz w:val="18"/>
        <w:szCs w:val="18"/>
      </w:rPr>
      <w:fldChar w:fldCharType="begin"/>
    </w:r>
    <w:r>
      <w:rPr>
        <w:color w:val="808080"/>
        <w:sz w:val="18"/>
        <w:szCs w:val="18"/>
      </w:rPr>
      <w:instrText>PAGE</w:instrText>
    </w:r>
    <w:r w:rsidR="0077156F">
      <w:rPr>
        <w:color w:val="808080"/>
        <w:sz w:val="18"/>
        <w:szCs w:val="18"/>
      </w:rPr>
      <w:fldChar w:fldCharType="separate"/>
    </w:r>
    <w:r w:rsidR="0058602D">
      <w:rPr>
        <w:noProof/>
        <w:color w:val="808080"/>
        <w:sz w:val="18"/>
        <w:szCs w:val="18"/>
      </w:rPr>
      <w:t>3</w:t>
    </w:r>
    <w:r>
      <w:rPr>
        <w:color w:val="808080"/>
        <w:sz w:val="18"/>
        <w:szCs w:val="18"/>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53870" w:rsidRDefault="00B53870">
      <w:r>
        <w:separator/>
      </w:r>
    </w:p>
  </w:footnote>
  <w:footnote w:type="continuationSeparator" w:id="0">
    <w:p w:rsidR="00B53870" w:rsidRDefault="00B53870">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C17171" w:rsidRPr="00776255" w:rsidRDefault="00C17171" w:rsidP="00776255">
    <w:pPr>
      <w:rPr>
        <w:lang w:val="en-GB"/>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0776B51"/>
    <w:multiLevelType w:val="hybridMultilevel"/>
    <w:tmpl w:val="C322AC64"/>
    <w:lvl w:ilvl="0" w:tplc="F1D2BE3E">
      <w:start w:val="1"/>
      <w:numFmt w:val="bullet"/>
      <w:lvlText w:val="•"/>
      <w:lvlJc w:val="left"/>
      <w:pPr>
        <w:ind w:left="504" w:hanging="288"/>
      </w:pPr>
    </w:lvl>
    <w:lvl w:ilvl="1" w:tplc="C87E1AD8">
      <w:numFmt w:val="decimal"/>
      <w:lvlText w:val=""/>
      <w:lvlJc w:val="left"/>
    </w:lvl>
    <w:lvl w:ilvl="2" w:tplc="4F721A0E">
      <w:numFmt w:val="decimal"/>
      <w:lvlText w:val=""/>
      <w:lvlJc w:val="left"/>
    </w:lvl>
    <w:lvl w:ilvl="3" w:tplc="06ECEAEC">
      <w:numFmt w:val="decimal"/>
      <w:lvlText w:val=""/>
      <w:lvlJc w:val="left"/>
    </w:lvl>
    <w:lvl w:ilvl="4" w:tplc="F2381638">
      <w:numFmt w:val="decimal"/>
      <w:lvlText w:val=""/>
      <w:lvlJc w:val="left"/>
    </w:lvl>
    <w:lvl w:ilvl="5" w:tplc="E07EF620">
      <w:numFmt w:val="decimal"/>
      <w:lvlText w:val=""/>
      <w:lvlJc w:val="left"/>
    </w:lvl>
    <w:lvl w:ilvl="6" w:tplc="B77A7A4E">
      <w:numFmt w:val="decimal"/>
      <w:lvlText w:val=""/>
      <w:lvlJc w:val="left"/>
    </w:lvl>
    <w:lvl w:ilvl="7" w:tplc="9ECECCA8">
      <w:numFmt w:val="decimal"/>
      <w:lvlText w:val=""/>
      <w:lvlJc w:val="left"/>
    </w:lvl>
    <w:lvl w:ilvl="8" w:tplc="D9E0E252">
      <w:numFmt w:val="decimal"/>
      <w:lvlText w:val=""/>
      <w:lvlJc w:val="left"/>
    </w:lvl>
  </w:abstractNum>
  <w:abstractNum w:abstractNumId="1">
    <w:nsid w:val="260B25E8"/>
    <w:multiLevelType w:val="hybridMultilevel"/>
    <w:tmpl w:val="BAA018DA"/>
    <w:lvl w:ilvl="0" w:tplc="E0C46BC0">
      <w:start w:val="1"/>
      <w:numFmt w:val="bullet"/>
      <w:lvlText w:val="●"/>
      <w:lvlJc w:val="left"/>
      <w:pPr>
        <w:ind w:left="720" w:hanging="360"/>
      </w:pPr>
    </w:lvl>
    <w:lvl w:ilvl="1" w:tplc="2AE05FA4">
      <w:start w:val="1"/>
      <w:numFmt w:val="bullet"/>
      <w:lvlText w:val="○"/>
      <w:lvlJc w:val="left"/>
      <w:pPr>
        <w:ind w:left="1440" w:hanging="360"/>
      </w:pPr>
    </w:lvl>
    <w:lvl w:ilvl="2" w:tplc="B0C0375E">
      <w:start w:val="1"/>
      <w:numFmt w:val="bullet"/>
      <w:lvlText w:val="■"/>
      <w:lvlJc w:val="left"/>
      <w:pPr>
        <w:ind w:left="2160" w:hanging="360"/>
      </w:pPr>
    </w:lvl>
    <w:lvl w:ilvl="3" w:tplc="652CBFD4">
      <w:start w:val="1"/>
      <w:numFmt w:val="bullet"/>
      <w:lvlText w:val="●"/>
      <w:lvlJc w:val="left"/>
      <w:pPr>
        <w:ind w:left="2880" w:hanging="360"/>
      </w:pPr>
    </w:lvl>
    <w:lvl w:ilvl="4" w:tplc="B210BAFE">
      <w:start w:val="1"/>
      <w:numFmt w:val="bullet"/>
      <w:lvlText w:val="○"/>
      <w:lvlJc w:val="left"/>
      <w:pPr>
        <w:ind w:left="3600" w:hanging="360"/>
      </w:pPr>
    </w:lvl>
    <w:lvl w:ilvl="5" w:tplc="44802ED4">
      <w:start w:val="1"/>
      <w:numFmt w:val="bullet"/>
      <w:lvlText w:val="■"/>
      <w:lvlJc w:val="left"/>
      <w:pPr>
        <w:ind w:left="4320" w:hanging="360"/>
      </w:pPr>
    </w:lvl>
    <w:lvl w:ilvl="6" w:tplc="CB04EA7E">
      <w:start w:val="1"/>
      <w:numFmt w:val="bullet"/>
      <w:lvlText w:val="●"/>
      <w:lvlJc w:val="left"/>
      <w:pPr>
        <w:ind w:left="5040" w:hanging="360"/>
      </w:pPr>
    </w:lvl>
    <w:lvl w:ilvl="7" w:tplc="962A3372">
      <w:start w:val="1"/>
      <w:numFmt w:val="bullet"/>
      <w:lvlText w:val="●"/>
      <w:lvlJc w:val="left"/>
      <w:pPr>
        <w:ind w:left="5760" w:hanging="360"/>
      </w:pPr>
    </w:lvl>
    <w:lvl w:ilvl="8" w:tplc="25849816">
      <w:start w:val="1"/>
      <w:numFmt w:val="bullet"/>
      <w:lvlText w:val="●"/>
      <w:lvlJc w:val="left"/>
      <w:pPr>
        <w:ind w:left="6480" w:hanging="360"/>
      </w:pPr>
    </w:lvl>
  </w:abstractNum>
  <w:num w:numId="1">
    <w:abstractNumId w:val="1"/>
    <w:lvlOverride w:ilvl="0">
      <w:startOverride w:val="1"/>
    </w:lvlOverride>
  </w:num>
  <w:num w:numId="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C17171"/>
    <w:rsid w:val="00277B7E"/>
    <w:rsid w:val="0058602D"/>
    <w:rsid w:val="0077156F"/>
    <w:rsid w:val="00776255"/>
    <w:rsid w:val="00B53870"/>
    <w:rsid w:val="00C17171"/>
    <w:rsid w:val="00C83F0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libri" w:eastAsia="Calibri" w:hAnsi="Calibri" w:cs="Calibri"/>
        <w:sz w:val="22"/>
        <w:szCs w:val="22"/>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spacing w:before="360" w:after="200"/>
      <w:outlineLvl w:val="0"/>
    </w:pPr>
    <w:rPr>
      <w:b/>
      <w:bCs/>
      <w:color w:val="1F3864"/>
      <w:sz w:val="30"/>
      <w:szCs w:val="30"/>
    </w:rPr>
  </w:style>
  <w:style w:type="paragraph" w:styleId="Heading2">
    <w:name w:val="heading 2"/>
    <w:qFormat/>
    <w:pPr>
      <w:spacing w:before="280" w:after="160"/>
      <w:outlineLvl w:val="1"/>
    </w:pPr>
    <w:rPr>
      <w:b/>
      <w:bCs/>
      <w:color w:val="2E5395"/>
      <w:sz w:val="26"/>
      <w:szCs w:val="26"/>
    </w:rPr>
  </w:style>
  <w:style w:type="paragraph" w:styleId="Heading3">
    <w:name w:val="heading 3"/>
    <w:qFormat/>
    <w:pPr>
      <w:spacing w:before="200" w:after="120"/>
      <w:outlineLvl w:val="2"/>
    </w:pPr>
    <w:rPr>
      <w:b/>
      <w:bCs/>
      <w:i/>
      <w:iCs/>
      <w:color w:val="404040"/>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BalloonText">
    <w:name w:val="Balloon Text"/>
    <w:basedOn w:val="Normal"/>
    <w:link w:val="BalloonTextChar"/>
    <w:uiPriority w:val="99"/>
    <w:semiHidden/>
    <w:unhideWhenUsed/>
    <w:rsid w:val="0077156F"/>
    <w:rPr>
      <w:rFonts w:ascii="Tahoma" w:hAnsi="Tahoma" w:cs="Tahoma"/>
      <w:sz w:val="16"/>
      <w:szCs w:val="16"/>
    </w:rPr>
  </w:style>
  <w:style w:type="character" w:customStyle="1" w:styleId="BalloonTextChar">
    <w:name w:val="Balloon Text Char"/>
    <w:basedOn w:val="DefaultParagraphFont"/>
    <w:link w:val="BalloonText"/>
    <w:uiPriority w:val="99"/>
    <w:semiHidden/>
    <w:rsid w:val="0077156F"/>
    <w:rPr>
      <w:rFonts w:ascii="Tahoma" w:hAnsi="Tahoma" w:cs="Tahoma"/>
      <w:sz w:val="16"/>
      <w:szCs w:val="16"/>
    </w:rPr>
  </w:style>
  <w:style w:type="paragraph" w:styleId="Header">
    <w:name w:val="header"/>
    <w:basedOn w:val="Normal"/>
    <w:link w:val="HeaderChar"/>
    <w:uiPriority w:val="99"/>
    <w:unhideWhenUsed/>
    <w:rsid w:val="00776255"/>
    <w:pPr>
      <w:tabs>
        <w:tab w:val="center" w:pos="4513"/>
        <w:tab w:val="right" w:pos="9026"/>
      </w:tabs>
    </w:pPr>
  </w:style>
  <w:style w:type="character" w:customStyle="1" w:styleId="HeaderChar">
    <w:name w:val="Header Char"/>
    <w:basedOn w:val="DefaultParagraphFont"/>
    <w:link w:val="Header"/>
    <w:uiPriority w:val="99"/>
    <w:rsid w:val="00776255"/>
  </w:style>
  <w:style w:type="paragraph" w:styleId="Footer">
    <w:name w:val="footer"/>
    <w:basedOn w:val="Normal"/>
    <w:link w:val="FooterChar"/>
    <w:uiPriority w:val="99"/>
    <w:unhideWhenUsed/>
    <w:rsid w:val="00776255"/>
    <w:pPr>
      <w:tabs>
        <w:tab w:val="center" w:pos="4513"/>
        <w:tab w:val="right" w:pos="9026"/>
      </w:tabs>
    </w:pPr>
  </w:style>
  <w:style w:type="character" w:customStyle="1" w:styleId="FooterChar">
    <w:name w:val="Footer Char"/>
    <w:basedOn w:val="DefaultParagraphFont"/>
    <w:link w:val="Footer"/>
    <w:uiPriority w:val="99"/>
    <w:rsid w:val="00776255"/>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libri" w:eastAsia="Calibri" w:hAnsi="Calibri" w:cs="Calibri"/>
        <w:sz w:val="22"/>
        <w:szCs w:val="22"/>
        <w:lang w:val="en-IN" w:eastAsia="en-I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qFormat/>
    <w:pPr>
      <w:spacing w:before="360" w:after="200"/>
      <w:outlineLvl w:val="0"/>
    </w:pPr>
    <w:rPr>
      <w:b/>
      <w:bCs/>
      <w:color w:val="1F3864"/>
      <w:sz w:val="30"/>
      <w:szCs w:val="30"/>
    </w:rPr>
  </w:style>
  <w:style w:type="paragraph" w:styleId="Heading2">
    <w:name w:val="heading 2"/>
    <w:qFormat/>
    <w:pPr>
      <w:spacing w:before="280" w:after="160"/>
      <w:outlineLvl w:val="1"/>
    </w:pPr>
    <w:rPr>
      <w:b/>
      <w:bCs/>
      <w:color w:val="2E5395"/>
      <w:sz w:val="26"/>
      <w:szCs w:val="26"/>
    </w:rPr>
  </w:style>
  <w:style w:type="paragraph" w:styleId="Heading3">
    <w:name w:val="heading 3"/>
    <w:qFormat/>
    <w:pPr>
      <w:spacing w:before="200" w:after="120"/>
      <w:outlineLvl w:val="2"/>
    </w:pPr>
    <w:rPr>
      <w:b/>
      <w:bCs/>
      <w:i/>
      <w:iCs/>
      <w:color w:val="404040"/>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BalloonText">
    <w:name w:val="Balloon Text"/>
    <w:basedOn w:val="Normal"/>
    <w:link w:val="BalloonTextChar"/>
    <w:uiPriority w:val="99"/>
    <w:semiHidden/>
    <w:unhideWhenUsed/>
    <w:rsid w:val="0077156F"/>
    <w:rPr>
      <w:rFonts w:ascii="Tahoma" w:hAnsi="Tahoma" w:cs="Tahoma"/>
      <w:sz w:val="16"/>
      <w:szCs w:val="16"/>
    </w:rPr>
  </w:style>
  <w:style w:type="character" w:customStyle="1" w:styleId="BalloonTextChar">
    <w:name w:val="Balloon Text Char"/>
    <w:basedOn w:val="DefaultParagraphFont"/>
    <w:link w:val="BalloonText"/>
    <w:uiPriority w:val="99"/>
    <w:semiHidden/>
    <w:rsid w:val="0077156F"/>
    <w:rPr>
      <w:rFonts w:ascii="Tahoma" w:hAnsi="Tahoma" w:cs="Tahoma"/>
      <w:sz w:val="16"/>
      <w:szCs w:val="16"/>
    </w:rPr>
  </w:style>
  <w:style w:type="paragraph" w:styleId="Header">
    <w:name w:val="header"/>
    <w:basedOn w:val="Normal"/>
    <w:link w:val="HeaderChar"/>
    <w:uiPriority w:val="99"/>
    <w:unhideWhenUsed/>
    <w:rsid w:val="00776255"/>
    <w:pPr>
      <w:tabs>
        <w:tab w:val="center" w:pos="4513"/>
        <w:tab w:val="right" w:pos="9026"/>
      </w:tabs>
    </w:pPr>
  </w:style>
  <w:style w:type="character" w:customStyle="1" w:styleId="HeaderChar">
    <w:name w:val="Header Char"/>
    <w:basedOn w:val="DefaultParagraphFont"/>
    <w:link w:val="Header"/>
    <w:uiPriority w:val="99"/>
    <w:rsid w:val="00776255"/>
  </w:style>
  <w:style w:type="paragraph" w:styleId="Footer">
    <w:name w:val="footer"/>
    <w:basedOn w:val="Normal"/>
    <w:link w:val="FooterChar"/>
    <w:uiPriority w:val="99"/>
    <w:unhideWhenUsed/>
    <w:rsid w:val="00776255"/>
    <w:pPr>
      <w:tabs>
        <w:tab w:val="center" w:pos="4513"/>
        <w:tab w:val="right" w:pos="9026"/>
      </w:tabs>
    </w:pPr>
  </w:style>
  <w:style w:type="character" w:customStyle="1" w:styleId="FooterChar">
    <w:name w:val="Footer Char"/>
    <w:basedOn w:val="DefaultParagraphFont"/>
    <w:link w:val="Footer"/>
    <w:uiPriority w:val="99"/>
    <w:rsid w:val="007762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18</Pages>
  <Words>6053</Words>
  <Characters>34505</Characters>
  <Application>Microsoft Office Word</Application>
  <DocSecurity>0</DocSecurity>
  <Lines>287</Lines>
  <Paragraphs>80</Paragraphs>
  <ScaleCrop>false</ScaleCrop>
  <Company/>
  <LinksUpToDate>false</LinksUpToDate>
  <CharactersWithSpaces>40478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rahul parmar</cp:lastModifiedBy>
  <cp:revision>12</cp:revision>
  <dcterms:created xsi:type="dcterms:W3CDTF">2026-07-26T19:21:00Z</dcterms:created>
  <dcterms:modified xsi:type="dcterms:W3CDTF">2026-08-13T15:03:00Z</dcterms:modified>
</cp:coreProperties>
</file>