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42F5" w14:textId="6AC77EE4" w:rsidR="009961D0" w:rsidRPr="00D21D45" w:rsidRDefault="00B70750">
      <w:pPr>
        <w:rPr>
          <w:b/>
          <w:bCs/>
        </w:rPr>
      </w:pPr>
      <w:r w:rsidRPr="00D21D45">
        <w:rPr>
          <w:b/>
          <w:bCs/>
        </w:rPr>
        <w:t>Q1. Explain what evidence-based practice is and provide two examples of how Company X could apply it. (AC 1.1)</w:t>
      </w:r>
    </w:p>
    <w:p w14:paraId="5530E093" w14:textId="0F844C18" w:rsidR="00930241" w:rsidRDefault="00930241">
      <w:r>
        <w:t>E</w:t>
      </w:r>
      <w:r w:rsidR="005B5EFD">
        <w:t xml:space="preserve">vidence </w:t>
      </w:r>
      <w:r>
        <w:t>B</w:t>
      </w:r>
      <w:r w:rsidR="005B5EFD">
        <w:t xml:space="preserve">ased </w:t>
      </w:r>
      <w:r>
        <w:t>P</w:t>
      </w:r>
      <w:r w:rsidR="005B5EFD">
        <w:t>ractice</w:t>
      </w:r>
      <w:r>
        <w:t xml:space="preserve"> is the ability to understand and interpret data using their own knowledge and expertise, this allows people professionals to make decisions and guide policies and procedures based on the data gained from reliable sources</w:t>
      </w:r>
      <w:r w:rsidR="002465DB">
        <w:t xml:space="preserve"> </w:t>
      </w:r>
      <w:r w:rsidR="005B5EFD">
        <w:t>(</w:t>
      </w:r>
      <w:r>
        <w:t xml:space="preserve">Waite </w:t>
      </w:r>
      <w:r>
        <w:rPr>
          <w:i/>
          <w:iCs/>
        </w:rPr>
        <w:t xml:space="preserve">et al, </w:t>
      </w:r>
      <w:r w:rsidRPr="002465DB">
        <w:t>2021</w:t>
      </w:r>
      <w:r w:rsidR="002465DB">
        <w:t>,</w:t>
      </w:r>
      <w:r w:rsidR="002465DB" w:rsidRPr="002465DB">
        <w:t xml:space="preserve"> p47</w:t>
      </w:r>
      <w:r w:rsidRPr="002465DB">
        <w:t>)</w:t>
      </w:r>
      <w:r w:rsidR="0015277B">
        <w:t xml:space="preserve">. </w:t>
      </w:r>
    </w:p>
    <w:p w14:paraId="31F8FAA9" w14:textId="246D108E" w:rsidR="00724B48" w:rsidRDefault="00724B48" w:rsidP="002F1EDC">
      <w:pPr>
        <w:jc w:val="center"/>
      </w:pPr>
      <w:r>
        <w:rPr>
          <w:noProof/>
        </w:rPr>
        <w:drawing>
          <wp:inline distT="0" distB="0" distL="0" distR="0" wp14:anchorId="2FFBA863" wp14:editId="37708D2E">
            <wp:extent cx="3473450" cy="3473450"/>
            <wp:effectExtent l="0" t="0" r="0" b="0"/>
            <wp:docPr id="1442725572" name="Picture 1" descr="A colorful rectangular sig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725572" name="Picture 1" descr="A colorful rectangular sign with text&#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73450" cy="3473450"/>
                    </a:xfrm>
                    <a:prstGeom prst="rect">
                      <a:avLst/>
                    </a:prstGeom>
                    <a:noFill/>
                    <a:ln>
                      <a:noFill/>
                    </a:ln>
                  </pic:spPr>
                </pic:pic>
              </a:graphicData>
            </a:graphic>
          </wp:inline>
        </w:drawing>
      </w:r>
      <w:r w:rsidR="007A543E">
        <w:t>(CIPD</w:t>
      </w:r>
      <w:r w:rsidR="005B5EFD">
        <w:t>,</w:t>
      </w:r>
      <w:r w:rsidR="007A543E">
        <w:t xml:space="preserve"> 2025</w:t>
      </w:r>
      <w:r w:rsidR="00E37601">
        <w:t>a</w:t>
      </w:r>
      <w:r w:rsidR="007A543E">
        <w:t>)</w:t>
      </w:r>
    </w:p>
    <w:p w14:paraId="6CFC1507" w14:textId="416CC914" w:rsidR="0017348A" w:rsidRDefault="00324A38" w:rsidP="002F1EDC">
      <w:r>
        <w:t>T</w:t>
      </w:r>
      <w:r w:rsidR="002F1EDC">
        <w:t xml:space="preserve">he 6A’s Model ensures that people professionals </w:t>
      </w:r>
      <w:r w:rsidR="00254CE8">
        <w:t>can</w:t>
      </w:r>
      <w:r w:rsidR="002F1EDC">
        <w:t xml:space="preserve"> </w:t>
      </w:r>
      <w:r>
        <w:t>provide</w:t>
      </w:r>
      <w:r w:rsidR="002F1EDC">
        <w:t xml:space="preserve"> accuracy and reliability in their research</w:t>
      </w:r>
      <w:r w:rsidR="007A543E">
        <w:t>. I</w:t>
      </w:r>
      <w:r w:rsidR="005B5EFD">
        <w:t>f you found in Company X</w:t>
      </w:r>
      <w:r>
        <w:t>,</w:t>
      </w:r>
      <w:r w:rsidR="007A543E">
        <w:t xml:space="preserve"> staff retention was an issue</w:t>
      </w:r>
      <w:r w:rsidR="00AE52DC">
        <w:t xml:space="preserve">, by using the above model </w:t>
      </w:r>
      <w:r w:rsidR="005B5EFD">
        <w:t>you</w:t>
      </w:r>
      <w:r w:rsidR="00AE52DC">
        <w:t xml:space="preserve"> </w:t>
      </w:r>
      <w:r w:rsidR="005B5EFD">
        <w:t xml:space="preserve">would </w:t>
      </w:r>
      <w:r w:rsidR="00AE52DC">
        <w:t xml:space="preserve">ask </w:t>
      </w:r>
      <w:r w:rsidR="005B5EFD">
        <w:t>y</w:t>
      </w:r>
      <w:r w:rsidR="00AE52DC">
        <w:t xml:space="preserve">ourselves </w:t>
      </w:r>
      <w:r>
        <w:t>a</w:t>
      </w:r>
      <w:r w:rsidR="00AE52DC">
        <w:t xml:space="preserve"> question</w:t>
      </w:r>
      <w:r w:rsidR="006F17DE">
        <w:t>,</w:t>
      </w:r>
      <w:r w:rsidR="00AE52DC">
        <w:t xml:space="preserve"> </w:t>
      </w:r>
      <w:r>
        <w:t>making the issue easier to address.</w:t>
      </w:r>
      <w:r w:rsidR="00AE52DC">
        <w:t xml:space="preserve"> </w:t>
      </w:r>
      <w:r w:rsidR="006F17DE">
        <w:t>L</w:t>
      </w:r>
      <w:r w:rsidR="00AE52DC">
        <w:t>ook</w:t>
      </w:r>
      <w:r w:rsidR="005B5EFD">
        <w:t>ing</w:t>
      </w:r>
      <w:r w:rsidR="00AE52DC">
        <w:t xml:space="preserve"> through exit interview data </w:t>
      </w:r>
      <w:r w:rsidR="006F17DE">
        <w:t>there would be</w:t>
      </w:r>
      <w:r w:rsidR="005B5EFD">
        <w:t xml:space="preserve"> insight into why instead of the numbers of leavers</w:t>
      </w:r>
      <w:r w:rsidR="006F17DE">
        <w:t xml:space="preserve"> thus</w:t>
      </w:r>
      <w:r w:rsidR="005B5EFD">
        <w:t xml:space="preserve"> </w:t>
      </w:r>
      <w:r w:rsidR="006F17DE">
        <w:t>e</w:t>
      </w:r>
      <w:r w:rsidR="005B5EFD">
        <w:t>xplain</w:t>
      </w:r>
      <w:r w:rsidR="006F17DE">
        <w:t>ing</w:t>
      </w:r>
      <w:r w:rsidR="005B5EFD">
        <w:t xml:space="preserve"> patterns that </w:t>
      </w:r>
      <w:r>
        <w:t>might not have been noticed</w:t>
      </w:r>
      <w:r w:rsidR="008A7128">
        <w:t xml:space="preserve">. </w:t>
      </w:r>
      <w:r>
        <w:t>C</w:t>
      </w:r>
      <w:r w:rsidR="00AE52DC">
        <w:t>ompar</w:t>
      </w:r>
      <w:r>
        <w:t>ing</w:t>
      </w:r>
      <w:r w:rsidR="00AE52DC">
        <w:t xml:space="preserve"> </w:t>
      </w:r>
      <w:r>
        <w:t xml:space="preserve">this knowledge </w:t>
      </w:r>
      <w:r w:rsidR="00AE52DC">
        <w:t xml:space="preserve">with </w:t>
      </w:r>
      <w:r w:rsidR="008A7128">
        <w:t>a</w:t>
      </w:r>
      <w:r w:rsidR="00AE52DC">
        <w:t xml:space="preserve"> staff survey </w:t>
      </w:r>
      <w:r w:rsidR="0017348A">
        <w:t>that s</w:t>
      </w:r>
      <w:r w:rsidR="006F17DE">
        <w:t>tated</w:t>
      </w:r>
      <w:r w:rsidR="00AE52DC">
        <w:t xml:space="preserve"> </w:t>
      </w:r>
      <w:r w:rsidR="006F17DE">
        <w:t>positive notions that encourage staff</w:t>
      </w:r>
      <w:r w:rsidR="00AE52DC">
        <w:t xml:space="preserve"> to stay</w:t>
      </w:r>
      <w:r>
        <w:t xml:space="preserve"> and reasons for them to find alternative employment</w:t>
      </w:r>
      <w:r w:rsidR="0017348A">
        <w:t xml:space="preserve">. </w:t>
      </w:r>
      <w:r w:rsidR="005B5EFD">
        <w:t>A</w:t>
      </w:r>
      <w:r w:rsidR="008A7128">
        <w:t>ggregating</w:t>
      </w:r>
      <w:r w:rsidR="00254CE8">
        <w:t xml:space="preserve"> the data w</w:t>
      </w:r>
      <w:r w:rsidR="005B5EFD">
        <w:t xml:space="preserve">ould </w:t>
      </w:r>
      <w:r>
        <w:t>compare</w:t>
      </w:r>
      <w:r w:rsidR="005B5EFD">
        <w:t xml:space="preserve"> </w:t>
      </w:r>
      <w:r>
        <w:t>the results for inconsistency or common trends between the two.</w:t>
      </w:r>
      <w:r w:rsidR="00254CE8">
        <w:t xml:space="preserve"> From conducting the survey as an additional style of evidence </w:t>
      </w:r>
      <w:r w:rsidR="005B5EFD">
        <w:t>you</w:t>
      </w:r>
      <w:r w:rsidR="00254CE8">
        <w:t xml:space="preserve"> w</w:t>
      </w:r>
      <w:r w:rsidR="005B5EFD">
        <w:t>ould be</w:t>
      </w:r>
      <w:r w:rsidR="00254CE8">
        <w:t xml:space="preserve"> able to determine </w:t>
      </w:r>
      <w:r w:rsidR="005B5EFD">
        <w:t>what matches from the survey and the exit interviews to narrow your focus on policy changes</w:t>
      </w:r>
      <w:r w:rsidR="00254CE8">
        <w:t xml:space="preserve">. There </w:t>
      </w:r>
      <w:r w:rsidR="005B5EFD">
        <w:t>can be</w:t>
      </w:r>
      <w:r w:rsidR="00254CE8">
        <w:t xml:space="preserve"> </w:t>
      </w:r>
      <w:r w:rsidR="008A7128">
        <w:t>a real</w:t>
      </w:r>
      <w:r w:rsidR="00254CE8">
        <w:t xml:space="preserve"> risk of focusing on the wrong element from </w:t>
      </w:r>
      <w:r w:rsidR="00CF4A04">
        <w:t>one evidence</w:t>
      </w:r>
      <w:r>
        <w:t xml:space="preserve"> type</w:t>
      </w:r>
      <w:r w:rsidR="00CF4A04">
        <w:t xml:space="preserve">, </w:t>
      </w:r>
      <w:r w:rsidR="008A7128">
        <w:t xml:space="preserve">this </w:t>
      </w:r>
      <w:r>
        <w:t>can be</w:t>
      </w:r>
      <w:r w:rsidR="008A7128">
        <w:t xml:space="preserve"> a costly and timely mistake to </w:t>
      </w:r>
      <w:r w:rsidR="00CF4A04">
        <w:t>your</w:t>
      </w:r>
      <w:r w:rsidR="008A7128">
        <w:t xml:space="preserve"> company. To apply this </w:t>
      </w:r>
      <w:r w:rsidR="003B0550">
        <w:t>insight,</w:t>
      </w:r>
      <w:r w:rsidR="008A7128">
        <w:t xml:space="preserve"> </w:t>
      </w:r>
      <w:r w:rsidR="0017348A">
        <w:t>I</w:t>
      </w:r>
      <w:r w:rsidR="008A7128">
        <w:t xml:space="preserve"> </w:t>
      </w:r>
      <w:r w:rsidR="00CF4A04">
        <w:t xml:space="preserve">would </w:t>
      </w:r>
      <w:r w:rsidR="008A7128">
        <w:t xml:space="preserve">look at </w:t>
      </w:r>
      <w:r w:rsidR="00CF4A04">
        <w:t>what can be improved on, that aligns with the evidence findings and bring the changes in as soon as possible.</w:t>
      </w:r>
    </w:p>
    <w:p w14:paraId="76528FBF" w14:textId="3B102469" w:rsidR="002F1EDC" w:rsidRPr="00930241" w:rsidRDefault="00324A38" w:rsidP="002F1EDC">
      <w:r>
        <w:t>I</w:t>
      </w:r>
      <w:r w:rsidR="00200C7E">
        <w:t xml:space="preserve"> have also used this method to review absences, looked for patterns in the data as individual employees and within each department for trends</w:t>
      </w:r>
      <w:r>
        <w:t xml:space="preserve"> I</w:t>
      </w:r>
      <w:r w:rsidR="00200C7E">
        <w:t xml:space="preserve"> </w:t>
      </w:r>
      <w:r>
        <w:t xml:space="preserve">asked a question about </w:t>
      </w:r>
      <w:r>
        <w:lastRenderedPageBreak/>
        <w:t>absence levels</w:t>
      </w:r>
      <w:r w:rsidR="005B183E">
        <w:t>.</w:t>
      </w:r>
      <w:r w:rsidR="00200C7E">
        <w:t xml:space="preserve"> </w:t>
      </w:r>
      <w:r>
        <w:t>Comparing absence trends in different ways can find a link not previously noticed</w:t>
      </w:r>
      <w:r w:rsidR="00200C7E">
        <w:t xml:space="preserve">. </w:t>
      </w:r>
      <w:r>
        <w:t>Analysed</w:t>
      </w:r>
      <w:r w:rsidR="00200C7E">
        <w:t xml:space="preserve"> absences in </w:t>
      </w:r>
      <w:r>
        <w:t>y</w:t>
      </w:r>
      <w:r w:rsidR="006F17DE">
        <w:t>our Company</w:t>
      </w:r>
      <w:r w:rsidR="00200C7E">
        <w:t xml:space="preserve"> </w:t>
      </w:r>
      <w:r w:rsidR="006F17DE">
        <w:t>gives</w:t>
      </w:r>
      <w:r w:rsidR="00200C7E">
        <w:t xml:space="preserve"> </w:t>
      </w:r>
      <w:r>
        <w:t>more</w:t>
      </w:r>
      <w:r w:rsidR="00200C7E">
        <w:t xml:space="preserve"> </w:t>
      </w:r>
      <w:r>
        <w:t>knowledge</w:t>
      </w:r>
      <w:r w:rsidR="00200C7E">
        <w:t xml:space="preserve"> and can give further insight as to why. This would eliminate any bias about individual employees by looking at data in this way. This </w:t>
      </w:r>
      <w:r w:rsidR="009F1DD8">
        <w:t>can give</w:t>
      </w:r>
      <w:r w:rsidR="006F17DE">
        <w:t xml:space="preserve"> cause for a</w:t>
      </w:r>
      <w:r w:rsidR="00200C7E">
        <w:t xml:space="preserve"> review </w:t>
      </w:r>
      <w:r w:rsidR="006F17DE">
        <w:t xml:space="preserve">to </w:t>
      </w:r>
      <w:r w:rsidR="00200C7E">
        <w:t>the absence policy and well-being policies with this data set</w:t>
      </w:r>
      <w:r w:rsidR="006F17DE">
        <w:t>.</w:t>
      </w:r>
      <w:r w:rsidR="00200C7E">
        <w:t xml:space="preserve"> </w:t>
      </w:r>
      <w:r w:rsidR="006F17DE">
        <w:t>M</w:t>
      </w:r>
      <w:r w:rsidR="00200C7E">
        <w:t>ak</w:t>
      </w:r>
      <w:r w:rsidR="006F17DE">
        <w:t>ing</w:t>
      </w:r>
      <w:r w:rsidR="00200C7E">
        <w:t xml:space="preserve"> decisions and changes based on the data found that occurs within </w:t>
      </w:r>
      <w:r w:rsidR="006F17DE">
        <w:t>y</w:t>
      </w:r>
      <w:r w:rsidR="00200C7E">
        <w:t xml:space="preserve">our organisation. With ongoing reviews of the data to ensure policies support employees before absence becomes </w:t>
      </w:r>
      <w:r w:rsidR="0017348A">
        <w:t>too</w:t>
      </w:r>
      <w:r w:rsidR="00200C7E">
        <w:t xml:space="preserve"> large of a cost for the organisation to maintain. </w:t>
      </w:r>
    </w:p>
    <w:p w14:paraId="1AF00074" w14:textId="7AE766E3" w:rsidR="00B70750" w:rsidRPr="00D21D45" w:rsidRDefault="00B70750">
      <w:pPr>
        <w:rPr>
          <w:b/>
          <w:bCs/>
        </w:rPr>
      </w:pPr>
      <w:r w:rsidRPr="00D21D45">
        <w:rPr>
          <w:b/>
          <w:bCs/>
        </w:rPr>
        <w:t>Q2. Explain the importance of using data at Company X to accurately determine problems and issues. (AC 1.2)</w:t>
      </w:r>
    </w:p>
    <w:p w14:paraId="359A9823" w14:textId="6290ED01" w:rsidR="009D2FBC" w:rsidRPr="005874FE" w:rsidRDefault="00637B47">
      <w:r>
        <w:t>In</w:t>
      </w:r>
      <w:r w:rsidR="00E04DD4">
        <w:t xml:space="preserve"> Company X I</w:t>
      </w:r>
      <w:r w:rsidR="00293B08">
        <w:t>t is likely</w:t>
      </w:r>
      <w:r w:rsidR="00E04DD4">
        <w:t xml:space="preserve"> decisions are based on a mix of personal experience and judgement as stated by </w:t>
      </w:r>
      <w:r w:rsidR="00293B08">
        <w:t>(</w:t>
      </w:r>
      <w:r w:rsidR="00E04DD4">
        <w:t>Barends</w:t>
      </w:r>
      <w:r w:rsidR="00602BDF">
        <w:t>, Rousseau and Briner</w:t>
      </w:r>
      <w:r w:rsidR="00293B08">
        <w:t>,</w:t>
      </w:r>
      <w:r w:rsidR="00E04DD4">
        <w:t xml:space="preserve"> 2014)</w:t>
      </w:r>
      <w:r w:rsidR="008401AB">
        <w:t xml:space="preserve"> it is not the most reliable way to made decisions and can be prone to errors being made. Despite how hard people may try</w:t>
      </w:r>
      <w:r w:rsidR="000C2CEB">
        <w:t>,</w:t>
      </w:r>
      <w:r w:rsidR="008401AB">
        <w:t xml:space="preserve"> bias can </w:t>
      </w:r>
      <w:r w:rsidR="000C2CEB">
        <w:t>interfere</w:t>
      </w:r>
      <w:r w:rsidR="008401AB">
        <w:t xml:space="preserve"> when making decisions in this way, using reliable sources of data to base decisions can reduce the chance of this being the case </w:t>
      </w:r>
      <w:r w:rsidR="00293B08">
        <w:t>(</w:t>
      </w:r>
      <w:r w:rsidR="008401AB">
        <w:t>CIPD</w:t>
      </w:r>
      <w:r w:rsidR="00293B08">
        <w:t xml:space="preserve">, </w:t>
      </w:r>
      <w:r w:rsidR="008401AB">
        <w:t>2025</w:t>
      </w:r>
      <w:r w:rsidR="00E37601">
        <w:t>a</w:t>
      </w:r>
      <w:r w:rsidR="008401AB">
        <w:t xml:space="preserve">). </w:t>
      </w:r>
      <w:r w:rsidR="007F0F30">
        <w:t>Decisions based on misguided information can be expensive to a company</w:t>
      </w:r>
      <w:r w:rsidR="00E53B72">
        <w:t xml:space="preserve"> from the waste of time making changes and the time it takes to realise the changes have been ineffective on the change</w:t>
      </w:r>
      <w:r>
        <w:t xml:space="preserve"> needed</w:t>
      </w:r>
      <w:r w:rsidR="00E53B72">
        <w:t xml:space="preserve">. </w:t>
      </w:r>
      <w:r w:rsidR="00DC1357">
        <w:t>The impact for ineffective decisions can cause other concern</w:t>
      </w:r>
      <w:r w:rsidR="000C2CEB">
        <w:t>s,</w:t>
      </w:r>
      <w:r w:rsidR="00DC1357">
        <w:t xml:space="preserve"> employees losing faith in the overall management of the company or of the work of people professionals. This </w:t>
      </w:r>
      <w:r w:rsidR="000C2CEB">
        <w:t>can</w:t>
      </w:r>
      <w:r w:rsidR="00DC1357">
        <w:t xml:space="preserve"> lead to additional costs with employee retention, poor performance and even conflict from ineffective decision making. Ensuring quality and reliable data for decision making removes the element of bias, working from experience, or inaccurate notions of patterns within your company, this builds trust and assurance with employees, a strong base of knowledges provides a strong basis for positive results </w:t>
      </w:r>
      <w:r w:rsidR="00293B08">
        <w:t>(</w:t>
      </w:r>
      <w:r w:rsidR="00DC1357">
        <w:t>CIPD</w:t>
      </w:r>
      <w:r w:rsidR="00293B08">
        <w:t>,</w:t>
      </w:r>
      <w:r w:rsidR="00DC1357">
        <w:t xml:space="preserve"> 2025</w:t>
      </w:r>
      <w:r w:rsidR="00E37601">
        <w:t>a</w:t>
      </w:r>
      <w:r w:rsidR="00DC1357">
        <w:t>).</w:t>
      </w:r>
    </w:p>
    <w:p w14:paraId="63AAF47E" w14:textId="29192347" w:rsidR="00B70750" w:rsidRPr="00D21D45" w:rsidRDefault="00B70750">
      <w:pPr>
        <w:rPr>
          <w:b/>
          <w:bCs/>
        </w:rPr>
      </w:pPr>
      <w:r w:rsidRPr="00D21D45">
        <w:rPr>
          <w:b/>
          <w:bCs/>
        </w:rPr>
        <w:t>Q3. Explain the different types of data measurements that people professionals at Company X could use. (AC 1.3)</w:t>
      </w:r>
    </w:p>
    <w:p w14:paraId="3355D5F7" w14:textId="13B854DA" w:rsidR="00DC1357" w:rsidRDefault="008F041E">
      <w:r>
        <w:t xml:space="preserve">The key to data and evidence is not only the right data but from multiple </w:t>
      </w:r>
      <w:r w:rsidR="00D21D45">
        <w:t>sources</w:t>
      </w:r>
      <w:r>
        <w:t xml:space="preserve"> will support a more trustworthy outcome</w:t>
      </w:r>
      <w:r w:rsidR="00D21D45">
        <w:t xml:space="preserve">. </w:t>
      </w:r>
      <w:r w:rsidR="00293B08">
        <w:t>(</w:t>
      </w:r>
      <w:r w:rsidR="003F11F5">
        <w:t>Barends, Rousseau and Briner</w:t>
      </w:r>
      <w:r w:rsidR="00293B08">
        <w:t xml:space="preserve">, </w:t>
      </w:r>
      <w:r w:rsidR="003F11F5">
        <w:t>2014) detail the importance of looking at four types</w:t>
      </w:r>
      <w:r w:rsidR="00B44AEC">
        <w:t>,</w:t>
      </w:r>
      <w:r w:rsidR="003F11F5">
        <w:t xml:space="preserve"> scientific</w:t>
      </w:r>
      <w:r w:rsidR="00293B08">
        <w:t>, organisational, experiential and stakeholder. Scientific</w:t>
      </w:r>
      <w:r w:rsidR="003F11F5">
        <w:t xml:space="preserve"> is found within literature</w:t>
      </w:r>
      <w:r w:rsidR="00B44AEC">
        <w:t xml:space="preserve"> in textbooks or journals</w:t>
      </w:r>
      <w:r w:rsidR="003F11F5">
        <w:t>, organisational</w:t>
      </w:r>
      <w:r w:rsidR="00B44AEC">
        <w:t xml:space="preserve"> is any data provided by your company for example cashflow, customer or employee surveys</w:t>
      </w:r>
      <w:r w:rsidR="003F11F5">
        <w:t>, experiential</w:t>
      </w:r>
      <w:r w:rsidR="00B44AEC">
        <w:t xml:space="preserve"> comes for personal judgement</w:t>
      </w:r>
      <w:r w:rsidR="00293B08">
        <w:t xml:space="preserve"> or experience</w:t>
      </w:r>
      <w:r w:rsidR="003F11F5">
        <w:t xml:space="preserve"> and stakeholder</w:t>
      </w:r>
      <w:r w:rsidR="00B44AEC">
        <w:t xml:space="preserve"> is from a group or individual who is </w:t>
      </w:r>
      <w:r w:rsidR="00CD727A">
        <w:t>affected</w:t>
      </w:r>
      <w:r w:rsidR="00B44AEC">
        <w:t xml:space="preserve"> by your companies</w:t>
      </w:r>
      <w:r w:rsidR="0086453D">
        <w:t>’</w:t>
      </w:r>
      <w:r w:rsidR="00B44AEC">
        <w:t xml:space="preserve"> decisions</w:t>
      </w:r>
      <w:r w:rsidR="003F11F5">
        <w:t xml:space="preserve">. </w:t>
      </w:r>
    </w:p>
    <w:p w14:paraId="282508CB" w14:textId="27B160AF" w:rsidR="007E1FD7" w:rsidRDefault="00826447">
      <w:r>
        <w:t xml:space="preserve">Data can also further be </w:t>
      </w:r>
      <w:r w:rsidR="00B304A2">
        <w:t xml:space="preserve">categorised between Quantitative data which is raw data or number format for example the number of absences by an </w:t>
      </w:r>
      <w:r w:rsidR="00D96CB3">
        <w:t>employee</w:t>
      </w:r>
      <w:r w:rsidR="007E1FD7">
        <w:t xml:space="preserve">. Quantitative data can be recorded and displayed in graphs, charts or in spreadsheets to be compared over time (Waite </w:t>
      </w:r>
      <w:r w:rsidR="007E1FD7">
        <w:rPr>
          <w:i/>
          <w:iCs/>
        </w:rPr>
        <w:t xml:space="preserve">et al, </w:t>
      </w:r>
      <w:r w:rsidR="007E1FD7">
        <w:t>2021)</w:t>
      </w:r>
      <w:r w:rsidR="009819F3">
        <w:t xml:space="preserve">. Whilst this data is easily recorded there is no context to the </w:t>
      </w:r>
      <w:r w:rsidR="009819F3">
        <w:lastRenderedPageBreak/>
        <w:t>information, context</w:t>
      </w:r>
      <w:r w:rsidR="00D96CB3">
        <w:t xml:space="preserve"> makes a difference to</w:t>
      </w:r>
      <w:r w:rsidR="009819F3">
        <w:t xml:space="preserve"> your company for example the reasons for staff leaving</w:t>
      </w:r>
      <w:r w:rsidR="00D96CB3">
        <w:t xml:space="preserve"> or </w:t>
      </w:r>
      <w:r w:rsidR="009819F3">
        <w:t xml:space="preserve">the level of disciplinary processes.  </w:t>
      </w:r>
    </w:p>
    <w:p w14:paraId="58F66178" w14:textId="4B222AB8" w:rsidR="00826447" w:rsidRPr="00F07EC4" w:rsidRDefault="00B304A2">
      <w:r>
        <w:t xml:space="preserve">Qualitative data </w:t>
      </w:r>
      <w:r w:rsidR="007E1FD7">
        <w:t>is not numerical and is more descriptive in words, this style allows to record background reasoning and understanding</w:t>
      </w:r>
      <w:r w:rsidR="00F07EC4">
        <w:t xml:space="preserve"> of views and feelings. It is retrieved through interviews, open sections of surveys, appraisals and discipline investigations (Waite </w:t>
      </w:r>
      <w:r w:rsidR="00F07EC4">
        <w:rPr>
          <w:i/>
          <w:iCs/>
        </w:rPr>
        <w:t xml:space="preserve">et al, </w:t>
      </w:r>
      <w:r w:rsidR="00F07EC4">
        <w:t xml:space="preserve">2021). </w:t>
      </w:r>
      <w:r w:rsidR="009819F3">
        <w:t xml:space="preserve">Data obtained </w:t>
      </w:r>
      <w:r w:rsidR="00D96CB3">
        <w:t xml:space="preserve">in </w:t>
      </w:r>
      <w:r w:rsidR="009819F3">
        <w:t>is this way can give the context to Quantitative data</w:t>
      </w:r>
      <w:r w:rsidR="006F2659">
        <w:t xml:space="preserve"> but is harder to compare unlike statistical data. Context can be subjective to the person </w:t>
      </w:r>
      <w:r w:rsidR="00EE0373">
        <w:t>responding</w:t>
      </w:r>
      <w:r w:rsidR="006F2659">
        <w:t xml:space="preserve"> and to the person reviewing the data.</w:t>
      </w:r>
    </w:p>
    <w:p w14:paraId="117BEF43" w14:textId="1D04F428" w:rsidR="00B304A2" w:rsidRPr="005874FE" w:rsidRDefault="006F2659">
      <w:r>
        <w:t>If Company X was to use</w:t>
      </w:r>
      <w:r w:rsidR="00B304A2">
        <w:t xml:space="preserve"> a combination</w:t>
      </w:r>
      <w:r w:rsidR="00EE0373">
        <w:t xml:space="preserve"> of data type and styles,</w:t>
      </w:r>
      <w:r w:rsidR="00B304A2">
        <w:t xml:space="preserve"> it would lead to a </w:t>
      </w:r>
      <w:r w:rsidR="00642BFB">
        <w:t>well-rounded</w:t>
      </w:r>
      <w:r w:rsidR="00B304A2">
        <w:t xml:space="preserve"> and evidenced view of </w:t>
      </w:r>
      <w:r w:rsidR="00B06757">
        <w:t xml:space="preserve">any concern, this will increase the success rate of any decisions made from this data. </w:t>
      </w:r>
    </w:p>
    <w:p w14:paraId="5CA460FE" w14:textId="561617A6" w:rsidR="00B70750" w:rsidRDefault="00B70750">
      <w:pPr>
        <w:rPr>
          <w:b/>
          <w:bCs/>
        </w:rPr>
      </w:pPr>
      <w:r w:rsidRPr="00D21D45">
        <w:rPr>
          <w:b/>
          <w:bCs/>
        </w:rPr>
        <w:t>Q4. Explain how the application of policies and procedures can inform Company X’s decisions. (AC 1.6)</w:t>
      </w:r>
    </w:p>
    <w:p w14:paraId="051D1CED" w14:textId="0D40FBB0" w:rsidR="00777895" w:rsidRDefault="00D96CB3">
      <w:r>
        <w:t>P</w:t>
      </w:r>
      <w:r w:rsidR="001B446A">
        <w:t xml:space="preserve">olicies and the procedures that follow can be defined as instructions and directions for how the Company manages any issues that can arise. These policies and procedures provide guidance on what behaviour is acceptable and expected of </w:t>
      </w:r>
      <w:r w:rsidR="00637B47">
        <w:t>all employees</w:t>
      </w:r>
      <w:r w:rsidR="001B446A">
        <w:t xml:space="preserve">. The procedures </w:t>
      </w:r>
      <w:r w:rsidR="003B64C3">
        <w:t>is</w:t>
      </w:r>
      <w:r>
        <w:t xml:space="preserve"> the</w:t>
      </w:r>
      <w:r w:rsidR="001B446A">
        <w:t xml:space="preserve"> process</w:t>
      </w:r>
      <w:r w:rsidR="003B64C3">
        <w:t xml:space="preserve"> follows</w:t>
      </w:r>
      <w:r w:rsidR="001B446A">
        <w:t xml:space="preserve"> when policies are not adhered to.</w:t>
      </w:r>
      <w:r w:rsidR="00CC7D3B">
        <w:t xml:space="preserve"> It also ensures that all departments are working from the same guidelines to ensure consistency and fairness across all employees (CIPD, 202</w:t>
      </w:r>
      <w:r w:rsidR="00637B47">
        <w:t>5b</w:t>
      </w:r>
      <w:r w:rsidR="00CC7D3B">
        <w:t xml:space="preserve">). </w:t>
      </w:r>
      <w:r w:rsidR="00637B47">
        <w:t>U</w:t>
      </w:r>
      <w:r w:rsidR="00F84F93">
        <w:t>nderstanding the relationship between policies</w:t>
      </w:r>
      <w:r w:rsidR="00637B47">
        <w:t>,</w:t>
      </w:r>
      <w:r w:rsidR="00F84F93">
        <w:t xml:space="preserve"> procedures and employees, Company X can use these to shape the decisions. Following the policies is not only for employees but also for all levels of management</w:t>
      </w:r>
      <w:r w:rsidR="00637B47">
        <w:t xml:space="preserve"> to implement</w:t>
      </w:r>
      <w:r w:rsidR="00F84F93">
        <w:t xml:space="preserve">. </w:t>
      </w:r>
    </w:p>
    <w:p w14:paraId="78E3A3FA" w14:textId="2B50728A" w:rsidR="00F84F93" w:rsidRDefault="00F84F93">
      <w:r>
        <w:t>As mentioned by (Leatherbarrow and Fletcher, 2019, p.55) its not just the policies and procedures themselves but the way the</w:t>
      </w:r>
      <w:r w:rsidR="005F2866">
        <w:t xml:space="preserve">y encourage obedience of them and the </w:t>
      </w:r>
      <w:r w:rsidR="00D96CB3">
        <w:t>actions taken</w:t>
      </w:r>
      <w:r w:rsidR="005F2866">
        <w:t xml:space="preserve"> if they are not followed</w:t>
      </w:r>
      <w:r w:rsidR="00D96CB3">
        <w:t>,</w:t>
      </w:r>
      <w:r w:rsidR="005F2866">
        <w:t xml:space="preserve"> says a lot for the organisation and management of the company. Company X </w:t>
      </w:r>
      <w:r w:rsidR="00090530">
        <w:t xml:space="preserve">should utilise their disciplinary policy fairly and evenly across all levels of employees, this enforces the idea that the expected behaviour outlined in your policies and procedures should be adhered to. Your disciplinary policy should outline the exact measures that would be taken due to different levels of breaches of the policies. </w:t>
      </w:r>
      <w:r w:rsidR="00D96CB3">
        <w:t xml:space="preserve">This would </w:t>
      </w:r>
      <w:r w:rsidR="00090530">
        <w:t>give</w:t>
      </w:r>
      <w:r w:rsidR="00D96CB3">
        <w:t xml:space="preserve"> a</w:t>
      </w:r>
      <w:r w:rsidR="00090530">
        <w:t xml:space="preserve"> sense of security by employees that they are fairly treated and reviewed on their conduct. A further example is Company </w:t>
      </w:r>
      <w:r w:rsidR="00D96CB3">
        <w:t>x</w:t>
      </w:r>
      <w:r w:rsidR="00090530">
        <w:t xml:space="preserve">’s GDPR policy, it should outline the expectations of how data is treated and should provide the framework for customer trust and risk management. All data kept is at risk of a breach ensuring the policy covers what to do in a breach and what actions may be taken on an accidental breach shows not only the compliance of regulations but a full understanding of what is at stake. </w:t>
      </w:r>
    </w:p>
    <w:p w14:paraId="20C841B8" w14:textId="515150D8" w:rsidR="00090530" w:rsidRPr="00777895" w:rsidRDefault="00746817">
      <w:r>
        <w:t>By following your policies and procedures you are creating a</w:t>
      </w:r>
      <w:r w:rsidR="000B7BD7">
        <w:t xml:space="preserve"> positive impact on employees and fostering benefits for customers too. Clear guidance not only provi</w:t>
      </w:r>
      <w:r w:rsidR="0086453D">
        <w:t>d</w:t>
      </w:r>
      <w:r w:rsidR="000B7BD7">
        <w:t xml:space="preserve">es </w:t>
      </w:r>
      <w:r w:rsidR="000B7BD7">
        <w:lastRenderedPageBreak/>
        <w:t>structure and fairness but ensures your company is within legal guidelines reducing the likelihood of employment tribunals (CIPD, 202</w:t>
      </w:r>
      <w:r w:rsidR="00637B47">
        <w:t>5b</w:t>
      </w:r>
      <w:r w:rsidR="000B7BD7">
        <w:t xml:space="preserve">). </w:t>
      </w:r>
    </w:p>
    <w:p w14:paraId="227C29AF" w14:textId="136781E8" w:rsidR="00B70750" w:rsidRDefault="00B70750">
      <w:pPr>
        <w:rPr>
          <w:b/>
          <w:bCs/>
        </w:rPr>
      </w:pPr>
      <w:r w:rsidRPr="00D21D45">
        <w:rPr>
          <w:b/>
          <w:bCs/>
        </w:rPr>
        <w:t>Q5. Explain how the people professionals at Company X can create value for thei</w:t>
      </w:r>
      <w:r w:rsidR="00CC7D3B">
        <w:rPr>
          <w:b/>
          <w:bCs/>
        </w:rPr>
        <w:t>r</w:t>
      </w:r>
      <w:r w:rsidRPr="00D21D45">
        <w:rPr>
          <w:b/>
          <w:bCs/>
        </w:rPr>
        <w:t xml:space="preserve"> people, their organization and their wider stakeholders. (AC 2.1)</w:t>
      </w:r>
    </w:p>
    <w:p w14:paraId="08C536AC" w14:textId="39B0657E" w:rsidR="00777895" w:rsidRDefault="005B6EE0">
      <w:r>
        <w:t>It has become critical for companies to consider wider stakeholders as well as their own s</w:t>
      </w:r>
      <w:r w:rsidR="00F51F1C">
        <w:t>hare</w:t>
      </w:r>
      <w:r>
        <w:t xml:space="preserve">holders in decision making and increasing the company’s value to them (Goedhart, M. and Koller, T. 2020). </w:t>
      </w:r>
    </w:p>
    <w:p w14:paraId="09671846" w14:textId="7956118F" w:rsidR="00F51F1C" w:rsidRDefault="00F51F1C">
      <w:r>
        <w:t xml:space="preserve">As stated by (Waite, K </w:t>
      </w:r>
      <w:r>
        <w:rPr>
          <w:i/>
          <w:iCs/>
        </w:rPr>
        <w:t xml:space="preserve">et al, </w:t>
      </w:r>
      <w:r>
        <w:t xml:space="preserve">2021) creating value is achieved through its people, developing this understanding about the employees is extremely important, enhancing them and you enhance the business. </w:t>
      </w:r>
    </w:p>
    <w:p w14:paraId="61521206" w14:textId="3338CEE7" w:rsidR="00F51F1C" w:rsidRPr="00F51F1C" w:rsidRDefault="00F51F1C">
      <w:r>
        <w:t>Company X can create value by investing in its people</w:t>
      </w:r>
      <w:r w:rsidR="00BA0CCF">
        <w:t xml:space="preserve"> </w:t>
      </w:r>
      <w:r>
        <w:t>with the goal to maintain</w:t>
      </w:r>
      <w:r w:rsidR="00BA0CCF">
        <w:t xml:space="preserve"> or improve staff retention, thus</w:t>
      </w:r>
      <w:r>
        <w:t xml:space="preserve"> reduc</w:t>
      </w:r>
      <w:r w:rsidR="00BA0CCF">
        <w:t>ing</w:t>
      </w:r>
      <w:r>
        <w:t xml:space="preserve"> the cost of training new staff. Having an effective onboarding system with the integration of new staff into you</w:t>
      </w:r>
      <w:r w:rsidR="00BA0CCF">
        <w:t>r</w:t>
      </w:r>
      <w:r>
        <w:t xml:space="preserve"> company can set them on the right path </w:t>
      </w:r>
      <w:r w:rsidR="00BA0CCF">
        <w:t>immediately</w:t>
      </w:r>
      <w:r>
        <w:t xml:space="preserve">. Offering learning and development to staff shows a desire to invest in them as people not just </w:t>
      </w:r>
      <w:r w:rsidR="00BA0CCF">
        <w:t>for</w:t>
      </w:r>
      <w:r>
        <w:t xml:space="preserve"> what they can do for you</w:t>
      </w:r>
      <w:r w:rsidR="00BA0CCF">
        <w:t>r</w:t>
      </w:r>
      <w:r>
        <w:t xml:space="preserve"> company. Ensuring high staff retention at your company </w:t>
      </w:r>
      <w:r w:rsidR="00BA0CCF">
        <w:t>also gives a</w:t>
      </w:r>
      <w:r>
        <w:t xml:space="preserve"> positive external opinion of your company</w:t>
      </w:r>
      <w:r w:rsidR="00CA39A7">
        <w:t xml:space="preserve"> attracting higher skilled candidates for future vacancies</w:t>
      </w:r>
      <w:r>
        <w:t>.</w:t>
      </w:r>
      <w:r w:rsidR="00CA39A7">
        <w:t xml:space="preserve"> P</w:t>
      </w:r>
      <w:r>
        <w:t xml:space="preserve">otential candidates seeing frequent vacancies </w:t>
      </w:r>
      <w:r w:rsidR="00CA39A7">
        <w:t>would</w:t>
      </w:r>
      <w:r>
        <w:t xml:space="preserve"> not create a positive opinion of working conditions for your company. </w:t>
      </w:r>
      <w:r w:rsidR="00202C65">
        <w:t>Investing in employees with fair rewards and training has a bigger impact than on just the employees themselves</w:t>
      </w:r>
      <w:r w:rsidR="00CA39A7">
        <w:t xml:space="preserve"> it creates a positive attitude and outlook for the Company as whole</w:t>
      </w:r>
      <w:r w:rsidR="00202C65">
        <w:t xml:space="preserve">. People professionals can work strategically within the goals of the organisation to provide this framework of fostering positive relationships with employees for Company X. </w:t>
      </w:r>
    </w:p>
    <w:p w14:paraId="0C43E596" w14:textId="373BFAA3" w:rsidR="00B70750" w:rsidRPr="00D21D45" w:rsidRDefault="00B70750">
      <w:pPr>
        <w:rPr>
          <w:b/>
          <w:bCs/>
        </w:rPr>
      </w:pPr>
      <w:r w:rsidRPr="00D21D45">
        <w:rPr>
          <w:b/>
          <w:bCs/>
        </w:rPr>
        <w:t xml:space="preserve">Q6. Imagine that you have been successful in your application for the role at Company X. </w:t>
      </w:r>
      <w:r w:rsidR="005874FE" w:rsidRPr="00D21D45">
        <w:rPr>
          <w:b/>
          <w:bCs/>
        </w:rPr>
        <w:t>Summarise</w:t>
      </w:r>
      <w:r w:rsidRPr="00D21D45">
        <w:rPr>
          <w:b/>
          <w:bCs/>
        </w:rPr>
        <w:t xml:space="preserve"> the ways that you could be customer focused and standards driven in your new role, drawing on your previous experience, as necessary. (AC 2.2)</w:t>
      </w:r>
    </w:p>
    <w:p w14:paraId="289CA47D" w14:textId="18593909" w:rsidR="005874FE" w:rsidRDefault="00314779">
      <w:r>
        <w:rPr>
          <w:lang w:val="en-US"/>
        </w:rPr>
        <w:t xml:space="preserve">Looking at being customer focused for your Company I would look at customer behavior and the science behind it for a deeper insight, find what we do well and what </w:t>
      </w:r>
      <w:r w:rsidR="006923B5">
        <w:rPr>
          <w:lang w:val="en-US"/>
        </w:rPr>
        <w:t xml:space="preserve">our pinch points are </w:t>
      </w:r>
      <w:r>
        <w:rPr>
          <w:lang w:val="en-US"/>
        </w:rPr>
        <w:t>helps to find what customers are happy about and what they are annoyed by as stated by (</w:t>
      </w:r>
      <w:r w:rsidRPr="001C0472">
        <w:t xml:space="preserve">Devine, J., Lal, S. and </w:t>
      </w:r>
      <w:proofErr w:type="spellStart"/>
      <w:r w:rsidRPr="001C0472">
        <w:t>Zea</w:t>
      </w:r>
      <w:proofErr w:type="spellEnd"/>
      <w:r w:rsidRPr="001C0472">
        <w:t>, M</w:t>
      </w:r>
      <w:r>
        <w:t xml:space="preserve">., </w:t>
      </w:r>
      <w:r w:rsidRPr="001C0472">
        <w:t>2012)</w:t>
      </w:r>
      <w:r>
        <w:t>. I would look to understand and evaluate the customer experience</w:t>
      </w:r>
      <w:r w:rsidR="0086453D">
        <w:t>;</w:t>
      </w:r>
      <w:r>
        <w:t xml:space="preserve"> </w:t>
      </w:r>
      <w:r w:rsidR="00A851F9">
        <w:t>this method has worked very well in the past for me to gauge customer satisfaction and how we are viewed as a Company.</w:t>
      </w:r>
      <w:r w:rsidR="006923B5">
        <w:t xml:space="preserve"> </w:t>
      </w:r>
      <w:r w:rsidR="00A851F9">
        <w:t xml:space="preserve"> </w:t>
      </w:r>
      <w:r w:rsidR="00C223EF">
        <w:t>Ideally</w:t>
      </w:r>
      <w:r w:rsidR="0086453D">
        <w:t>,</w:t>
      </w:r>
      <w:r w:rsidR="00C223EF">
        <w:t xml:space="preserve"> we need to be known for our integrity, flexibility, customer satisfaction levels, reliable and trusted in our field. By maintaining high standards and to achieve these aspects it will not only bring new customers but keep the ones we already have as outlined by (</w:t>
      </w:r>
      <w:r w:rsidR="00C223EF" w:rsidRPr="00E97793">
        <w:t>Beaujean, M., Davidson, J. and Madge, S. 2006)</w:t>
      </w:r>
      <w:r w:rsidR="00C223EF">
        <w:t xml:space="preserve"> it is far cheaper to retain customers than to attract new ones, this has always been a successful focus for me in the past. Customers habits </w:t>
      </w:r>
      <w:r w:rsidR="00C223EF">
        <w:lastRenderedPageBreak/>
        <w:t>from my experience stick with what they know works and where they have had previous positive experiences even if they have not been fully satisfied by the product or service by making positive changes in the customer to frontline staff service</w:t>
      </w:r>
      <w:r w:rsidR="003B64C3">
        <w:t>,</w:t>
      </w:r>
      <w:r w:rsidR="00C223EF">
        <w:t xml:space="preserve"> even a complaint can result in a positive experience for the customer. </w:t>
      </w:r>
    </w:p>
    <w:p w14:paraId="0B145835" w14:textId="5663FE13" w:rsidR="003B64C3" w:rsidRDefault="003B64C3">
      <w:pPr>
        <w:rPr>
          <w:b/>
          <w:bCs/>
        </w:rPr>
      </w:pPr>
      <w:r>
        <w:rPr>
          <w:b/>
          <w:bCs/>
        </w:rPr>
        <w:t>Q7.</w:t>
      </w:r>
    </w:p>
    <w:p w14:paraId="06DAA7C4" w14:textId="48AC71F1" w:rsidR="00FC66E0" w:rsidRDefault="00FC66E0">
      <w:r>
        <w:t xml:space="preserve">After analysing the data, I have created the below diagrammatic forms to highlight the concerns I and put together that need to be assessed and addressed. In Fig 1 it can be identified that that bakery significantly works more overtime above their contracted hours than the other two departments. This is concerning as it could create conflict across the departments making staff feel a divide in the pressure and workload felt. Conducting a review of the staffing hours in the bakery department would be required to determine if staff want more contracted hours to provide stability and financial security rather than relying on overtime to increase their salary. It might be the case that it is the sheer workload managed by three members make the overtime necessary to complete their workload. Addressing this issue further would provide further insight on whether new staff for the bakery department would be required to alleviate this workload. Despite the bakery department at </w:t>
      </w:r>
      <w:r w:rsidR="004D63C2">
        <w:t xml:space="preserve">Blue Mountain Patisserie working the most hours over their contracted hours, it is worth noting that shop staff are working considerable over their contracted hours. A survey with staff could help gain some insight into the current overtime arrangement to ensure there is issues of concern that needs attention just as it does with the bakery staff. </w:t>
      </w:r>
    </w:p>
    <w:p w14:paraId="6C5059CB" w14:textId="5FBDF420" w:rsidR="004D63C2" w:rsidRDefault="004D63C2">
      <w:r>
        <w:t xml:space="preserve">Looking into the data a little deeper and analysing overtime on an individual level as a percentage over employees contracted hours in Fig 2 shows a different concern. As the bar chart of data shows there appears to be a large disparity between the amount of hours overtime worked between individuals within the same department. The data shows a 42% difference in overtime between the lowest and highest overtime worked for an employee in the barista department. This shows a large in balance of workload within the department, this could indicate that one individual is being relied upon regularly for overtime with the nearest staff member being at 43% to their 59%. Conflict and resentment could arise from this level of disparity within the department, not to mention the concern should this staff member leave that leaves a lot of overtime to be covered by the remaining baristas causing additional workload and a higher risk of burnout for staff in the department. High workloads and burnout can have a further impact on absences causing an increasing pressure on remaining staff, this would not be sustainable and needs addressing. </w:t>
      </w:r>
    </w:p>
    <w:p w14:paraId="26AED9F7" w14:textId="41BCA121" w:rsidR="001179CA" w:rsidRPr="00FC66E0" w:rsidRDefault="001179CA">
      <w:r>
        <w:t xml:space="preserve">Further qualitative data needs to be obtained to give context to this data to provide a more thorough understanding of why we are seeing these numbers with Blue Mountain Patisserie. Overall, there is a significant amount of overtime being worked at present and I fear this is not sustainable. It would also be useful to consider if this has been a </w:t>
      </w:r>
      <w:r>
        <w:lastRenderedPageBreak/>
        <w:t xml:space="preserve">consistent pattern or is this a trend for an expected busy period that is not actually going to happen for a longer period. In the interim while gathering more data a well-being survey across all staff would help with some further understanding and to ensure that staff are feeling supported in their roles and are equipped to manage at these current overtime levels. </w:t>
      </w:r>
      <w:r w:rsidR="00702412">
        <w:t>We can then asses if we need more staff to cover a portion of this overtime to reduce these work levels.</w:t>
      </w:r>
    </w:p>
    <w:p w14:paraId="700BE344" w14:textId="77777777" w:rsidR="003B64C3" w:rsidRDefault="003B64C3">
      <w:pPr>
        <w:rPr>
          <w:lang w:val="en-US"/>
        </w:rPr>
      </w:pPr>
    </w:p>
    <w:p w14:paraId="7ECE2F10" w14:textId="7C984FF4" w:rsidR="00A940C3" w:rsidRDefault="00A940C3">
      <w:pPr>
        <w:rPr>
          <w:b/>
          <w:bCs/>
          <w:lang w:val="en-US"/>
        </w:rPr>
      </w:pPr>
      <w:r>
        <w:rPr>
          <w:b/>
          <w:bCs/>
          <w:lang w:val="en-US"/>
        </w:rPr>
        <w:t>Q8.</w:t>
      </w:r>
    </w:p>
    <w:p w14:paraId="0DD0CEB8" w14:textId="37BADA15" w:rsidR="00A940C3" w:rsidRDefault="00A940C3">
      <w:pPr>
        <w:rPr>
          <w:b/>
          <w:bCs/>
          <w:lang w:val="en-US"/>
        </w:rPr>
      </w:pPr>
      <w:r>
        <w:rPr>
          <w:noProof/>
        </w:rPr>
        <w:drawing>
          <wp:inline distT="0" distB="0" distL="0" distR="0" wp14:anchorId="3F8EDD9E" wp14:editId="115A0EF6">
            <wp:extent cx="4572000" cy="2743200"/>
            <wp:effectExtent l="0" t="0" r="0" b="0"/>
            <wp:docPr id="914877692" name="Chart 1">
              <a:extLst xmlns:a="http://schemas.openxmlformats.org/drawingml/2006/main">
                <a:ext uri="{FF2B5EF4-FFF2-40B4-BE49-F238E27FC236}">
                  <a16:creationId xmlns:a16="http://schemas.microsoft.com/office/drawing/2014/main" id="{DE2A35FC-D622-7D80-ADA4-350E4E97B7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b/>
          <w:bCs/>
          <w:lang w:val="en-US"/>
        </w:rPr>
        <w:t xml:space="preserve"> (</w:t>
      </w:r>
      <w:r w:rsidR="00FC66E0">
        <w:rPr>
          <w:b/>
          <w:bCs/>
          <w:lang w:val="en-US"/>
        </w:rPr>
        <w:t>F</w:t>
      </w:r>
      <w:r>
        <w:rPr>
          <w:b/>
          <w:bCs/>
          <w:lang w:val="en-US"/>
        </w:rPr>
        <w:t xml:space="preserve">ig </w:t>
      </w:r>
      <w:r w:rsidR="00FC66E0">
        <w:rPr>
          <w:b/>
          <w:bCs/>
          <w:lang w:val="en-US"/>
        </w:rPr>
        <w:t>1</w:t>
      </w:r>
      <w:r>
        <w:rPr>
          <w:b/>
          <w:bCs/>
          <w:lang w:val="en-US"/>
        </w:rPr>
        <w:t>)</w:t>
      </w:r>
    </w:p>
    <w:p w14:paraId="2B66CF25" w14:textId="38901046" w:rsidR="00FC66E0" w:rsidRDefault="00FC66E0">
      <w:pPr>
        <w:rPr>
          <w:b/>
          <w:bCs/>
          <w:lang w:val="en-US"/>
        </w:rPr>
      </w:pPr>
      <w:r>
        <w:rPr>
          <w:noProof/>
        </w:rPr>
        <w:lastRenderedPageBreak/>
        <w:drawing>
          <wp:inline distT="0" distB="0" distL="0" distR="0" wp14:anchorId="37C97028" wp14:editId="3DC059F1">
            <wp:extent cx="5257800" cy="4425950"/>
            <wp:effectExtent l="0" t="0" r="0" b="12700"/>
            <wp:docPr id="1715043024" name="Chart 1">
              <a:extLst xmlns:a="http://schemas.openxmlformats.org/drawingml/2006/main">
                <a:ext uri="{FF2B5EF4-FFF2-40B4-BE49-F238E27FC236}">
                  <a16:creationId xmlns:a16="http://schemas.microsoft.com/office/drawing/2014/main" id="{4547AF98-980A-A593-A7B8-9E88AEB5FB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b/>
          <w:bCs/>
          <w:lang w:val="en-US"/>
        </w:rPr>
        <w:t xml:space="preserve"> (Fig 2)</w:t>
      </w:r>
    </w:p>
    <w:p w14:paraId="1B1859E4" w14:textId="77777777" w:rsidR="00FC66E0" w:rsidRDefault="00FC66E0">
      <w:pPr>
        <w:rPr>
          <w:b/>
          <w:bCs/>
          <w:lang w:val="en-US"/>
        </w:rPr>
      </w:pPr>
    </w:p>
    <w:p w14:paraId="2BC211AC" w14:textId="77777777" w:rsidR="00A940C3" w:rsidRDefault="00A940C3">
      <w:pPr>
        <w:rPr>
          <w:b/>
          <w:bCs/>
          <w:lang w:val="en-US"/>
        </w:rPr>
      </w:pPr>
    </w:p>
    <w:p w14:paraId="7A1EDAC0" w14:textId="77777777" w:rsidR="009941C3" w:rsidRDefault="009941C3">
      <w:pPr>
        <w:rPr>
          <w:b/>
          <w:bCs/>
          <w:lang w:val="en-US"/>
        </w:rPr>
      </w:pPr>
    </w:p>
    <w:p w14:paraId="7CAA333E" w14:textId="77777777" w:rsidR="009941C3" w:rsidRDefault="009941C3">
      <w:pPr>
        <w:rPr>
          <w:b/>
          <w:bCs/>
          <w:lang w:val="en-US"/>
        </w:rPr>
      </w:pPr>
    </w:p>
    <w:p w14:paraId="56C04750" w14:textId="77777777" w:rsidR="009941C3" w:rsidRDefault="009941C3">
      <w:pPr>
        <w:rPr>
          <w:b/>
          <w:bCs/>
          <w:lang w:val="en-US"/>
        </w:rPr>
      </w:pPr>
    </w:p>
    <w:p w14:paraId="31BFDA06" w14:textId="77777777" w:rsidR="009941C3" w:rsidRDefault="009941C3">
      <w:pPr>
        <w:rPr>
          <w:b/>
          <w:bCs/>
          <w:lang w:val="en-US"/>
        </w:rPr>
      </w:pPr>
    </w:p>
    <w:p w14:paraId="530C5C65" w14:textId="77777777" w:rsidR="009941C3" w:rsidRDefault="009941C3">
      <w:pPr>
        <w:rPr>
          <w:b/>
          <w:bCs/>
          <w:lang w:val="en-US"/>
        </w:rPr>
      </w:pPr>
    </w:p>
    <w:p w14:paraId="12D5AC48" w14:textId="77777777" w:rsidR="009941C3" w:rsidRDefault="009941C3">
      <w:pPr>
        <w:rPr>
          <w:b/>
          <w:bCs/>
          <w:lang w:val="en-US"/>
        </w:rPr>
      </w:pPr>
    </w:p>
    <w:p w14:paraId="4E90DB4A" w14:textId="77777777" w:rsidR="009941C3" w:rsidRDefault="009941C3">
      <w:pPr>
        <w:rPr>
          <w:b/>
          <w:bCs/>
          <w:lang w:val="en-US"/>
        </w:rPr>
      </w:pPr>
    </w:p>
    <w:p w14:paraId="05FCD85C" w14:textId="77777777" w:rsidR="009941C3" w:rsidRDefault="009941C3">
      <w:pPr>
        <w:rPr>
          <w:b/>
          <w:bCs/>
          <w:lang w:val="en-US"/>
        </w:rPr>
      </w:pPr>
    </w:p>
    <w:p w14:paraId="676AE1CA" w14:textId="77777777" w:rsidR="009941C3" w:rsidRDefault="009941C3">
      <w:pPr>
        <w:rPr>
          <w:b/>
          <w:bCs/>
          <w:lang w:val="en-US"/>
        </w:rPr>
      </w:pPr>
    </w:p>
    <w:p w14:paraId="5AC5E3DA" w14:textId="77777777" w:rsidR="009941C3" w:rsidRPr="00A940C3" w:rsidRDefault="009941C3">
      <w:pPr>
        <w:rPr>
          <w:b/>
          <w:bCs/>
          <w:lang w:val="en-US"/>
        </w:rPr>
      </w:pPr>
    </w:p>
    <w:p w14:paraId="27E2CC59" w14:textId="77777777" w:rsidR="00543D40" w:rsidRDefault="00543D40">
      <w:pPr>
        <w:rPr>
          <w:lang w:val="en-US"/>
        </w:rPr>
      </w:pPr>
    </w:p>
    <w:p w14:paraId="28F25EB2" w14:textId="3D8CB9D8" w:rsidR="00930241" w:rsidRPr="002465DB" w:rsidRDefault="002465DB">
      <w:pPr>
        <w:rPr>
          <w:sz w:val="40"/>
          <w:szCs w:val="40"/>
          <w:lang w:val="en-US"/>
        </w:rPr>
      </w:pPr>
      <w:r w:rsidRPr="002465DB">
        <w:rPr>
          <w:sz w:val="40"/>
          <w:szCs w:val="40"/>
          <w:lang w:val="en-US"/>
        </w:rPr>
        <w:lastRenderedPageBreak/>
        <w:t>References</w:t>
      </w:r>
    </w:p>
    <w:p w14:paraId="1E8E7208" w14:textId="40B641AD" w:rsidR="002465DB" w:rsidRDefault="00E97793" w:rsidP="002465DB">
      <w:r w:rsidRPr="00E97793">
        <w:t xml:space="preserve">Beaujean, M., Davidson, J. and Madge, S. (2006). </w:t>
      </w:r>
      <w:r w:rsidRPr="00E97793">
        <w:rPr>
          <w:i/>
          <w:iCs/>
        </w:rPr>
        <w:t>The ‘moment of truth’ in customer service</w:t>
      </w:r>
      <w:r>
        <w:rPr>
          <w:i/>
          <w:iCs/>
        </w:rPr>
        <w:t xml:space="preserve">. </w:t>
      </w:r>
      <w:r w:rsidRPr="00E97793">
        <w:t xml:space="preserve"> Available at: </w:t>
      </w:r>
      <w:hyperlink r:id="rId7" w:history="1">
        <w:r w:rsidRPr="00E97793">
          <w:rPr>
            <w:rStyle w:val="Hyperlink"/>
          </w:rPr>
          <w:t>https://www.mckinsey.com/capabilities/people-and-organizational-performance/our-insights/the-moment-of-truth-in-customer-service</w:t>
        </w:r>
      </w:hyperlink>
      <w:r>
        <w:t xml:space="preserve"> (</w:t>
      </w:r>
      <w:r w:rsidRPr="00E97793">
        <w:t>Accessed</w:t>
      </w:r>
      <w:r>
        <w:t>:</w:t>
      </w:r>
      <w:r w:rsidRPr="00E97793">
        <w:t xml:space="preserve"> 15 Dec</w:t>
      </w:r>
      <w:r>
        <w:t>ember</w:t>
      </w:r>
      <w:r w:rsidRPr="00E97793">
        <w:t xml:space="preserve"> 2025</w:t>
      </w:r>
      <w:r>
        <w:t>)</w:t>
      </w:r>
      <w:r w:rsidRPr="00E97793">
        <w:t>.</w:t>
      </w:r>
    </w:p>
    <w:p w14:paraId="36A3A1E2" w14:textId="582AB87D" w:rsidR="002465DB" w:rsidRDefault="00817E1B" w:rsidP="002465DB">
      <w:r>
        <w:t xml:space="preserve">Barends, E., Rousseau, D.M., &amp; Briner, R.B (2014). </w:t>
      </w:r>
      <w:r>
        <w:rPr>
          <w:i/>
          <w:iCs/>
        </w:rPr>
        <w:t xml:space="preserve">Evidence-Based Management: The Basic Principles. </w:t>
      </w:r>
      <w:r>
        <w:t>Amsterdam: Centre for Evidence-Based Management.</w:t>
      </w:r>
    </w:p>
    <w:p w14:paraId="0A2FF5D7" w14:textId="66B80117" w:rsidR="00DC1357" w:rsidRDefault="007D5B12" w:rsidP="002465DB">
      <w:r w:rsidRPr="007D5B12">
        <w:t>CIPD (2025</w:t>
      </w:r>
      <w:r w:rsidR="003D54EC">
        <w:t>a</w:t>
      </w:r>
      <w:r w:rsidRPr="007D5B12">
        <w:t>).</w:t>
      </w:r>
      <w:r w:rsidRPr="007D5B12">
        <w:rPr>
          <w:i/>
          <w:iCs/>
        </w:rPr>
        <w:t xml:space="preserve"> Evidence-based Practice for Effective decision-making</w:t>
      </w:r>
      <w:r w:rsidRPr="007D5B12">
        <w:t xml:space="preserve">. Available at: </w:t>
      </w:r>
      <w:hyperlink r:id="rId8" w:history="1">
        <w:r w:rsidR="003D54EC" w:rsidRPr="007D5B12">
          <w:rPr>
            <w:rStyle w:val="Hyperlink"/>
          </w:rPr>
          <w:t>https://www.cipd.org/uk/knowledge/factsheets/evidence-based-practice-factsheet/</w:t>
        </w:r>
      </w:hyperlink>
      <w:r w:rsidR="003D54EC">
        <w:t xml:space="preserve"> </w:t>
      </w:r>
      <w:r>
        <w:t>(</w:t>
      </w:r>
      <w:r w:rsidRPr="007D5B12">
        <w:t>Accessed</w:t>
      </w:r>
      <w:r>
        <w:t>:</w:t>
      </w:r>
      <w:r w:rsidRPr="007D5B12">
        <w:t xml:space="preserve"> 8</w:t>
      </w:r>
      <w:r>
        <w:t>th</w:t>
      </w:r>
      <w:r w:rsidRPr="007D5B12">
        <w:t xml:space="preserve"> Dec</w:t>
      </w:r>
      <w:r>
        <w:t>ember</w:t>
      </w:r>
      <w:r w:rsidRPr="007D5B12">
        <w:t xml:space="preserve"> 2025</w:t>
      </w:r>
      <w:r>
        <w:t>)</w:t>
      </w:r>
      <w:r w:rsidRPr="007D5B12">
        <w:t>.</w:t>
      </w:r>
    </w:p>
    <w:p w14:paraId="4FF32DBF" w14:textId="718CE125" w:rsidR="0015617B" w:rsidRDefault="0015617B" w:rsidP="002465DB">
      <w:r w:rsidRPr="0015617B">
        <w:t>CIPD (202</w:t>
      </w:r>
      <w:r w:rsidR="00892FE9">
        <w:t>5</w:t>
      </w:r>
      <w:r w:rsidR="00637B47">
        <w:t>b</w:t>
      </w:r>
      <w:r w:rsidRPr="0015617B">
        <w:t>).</w:t>
      </w:r>
      <w:r w:rsidRPr="0015617B">
        <w:rPr>
          <w:i/>
          <w:iCs/>
        </w:rPr>
        <w:t xml:space="preserve"> HR Policies</w:t>
      </w:r>
      <w:r w:rsidRPr="0015617B">
        <w:t xml:space="preserve">. Available at: </w:t>
      </w:r>
      <w:hyperlink r:id="rId9" w:history="1">
        <w:r w:rsidRPr="0015617B">
          <w:rPr>
            <w:rStyle w:val="Hyperlink"/>
          </w:rPr>
          <w:t>https://www.cipd.org/uk/knowledge/factsheets/hr-policies-factsheet/</w:t>
        </w:r>
      </w:hyperlink>
      <w:r>
        <w:t xml:space="preserve"> </w:t>
      </w:r>
      <w:r w:rsidRPr="0015617B">
        <w:t xml:space="preserve"> </w:t>
      </w:r>
      <w:r>
        <w:t>(</w:t>
      </w:r>
      <w:r w:rsidRPr="0015617B">
        <w:t>Accessed</w:t>
      </w:r>
      <w:r>
        <w:t>:</w:t>
      </w:r>
      <w:r w:rsidRPr="0015617B">
        <w:t xml:space="preserve"> 9</w:t>
      </w:r>
      <w:r>
        <w:t>th</w:t>
      </w:r>
      <w:r w:rsidRPr="0015617B">
        <w:t xml:space="preserve"> Dec</w:t>
      </w:r>
      <w:r>
        <w:t>ember</w:t>
      </w:r>
      <w:r w:rsidRPr="0015617B">
        <w:t xml:space="preserve"> 2025</w:t>
      </w:r>
      <w:r>
        <w:t>)</w:t>
      </w:r>
      <w:r w:rsidRPr="0015617B">
        <w:t>.</w:t>
      </w:r>
    </w:p>
    <w:p w14:paraId="13ED99A1" w14:textId="25B118BC" w:rsidR="001C0472" w:rsidRDefault="001C0472" w:rsidP="00EF3F95">
      <w:r w:rsidRPr="001C0472">
        <w:t xml:space="preserve">Devine, J., Lal, S. and </w:t>
      </w:r>
      <w:proofErr w:type="spellStart"/>
      <w:r w:rsidRPr="001C0472">
        <w:t>Zea</w:t>
      </w:r>
      <w:proofErr w:type="spellEnd"/>
      <w:r w:rsidRPr="001C0472">
        <w:t xml:space="preserve">, M. (2012). </w:t>
      </w:r>
      <w:r w:rsidRPr="001C0472">
        <w:rPr>
          <w:i/>
          <w:iCs/>
        </w:rPr>
        <w:t>The human factor in service design</w:t>
      </w:r>
      <w:r>
        <w:rPr>
          <w:i/>
          <w:iCs/>
        </w:rPr>
        <w:t>.</w:t>
      </w:r>
      <w:r w:rsidRPr="001C0472">
        <w:t xml:space="preserve"> Available at: </w:t>
      </w:r>
      <w:hyperlink r:id="rId10" w:history="1">
        <w:r w:rsidRPr="001C0472">
          <w:rPr>
            <w:rStyle w:val="Hyperlink"/>
          </w:rPr>
          <w:t>https://www.mckinsey.com/capabilities/operations/our-insights/the-human-factor-in-service-design</w:t>
        </w:r>
      </w:hyperlink>
      <w:r>
        <w:t xml:space="preserve"> (Accessed: 15th December 2025)</w:t>
      </w:r>
    </w:p>
    <w:p w14:paraId="34733349" w14:textId="29108C3C" w:rsidR="00F0390E" w:rsidRPr="00EF3F95" w:rsidRDefault="00F0390E" w:rsidP="00EF3F95">
      <w:r w:rsidRPr="00F0390E">
        <w:t xml:space="preserve">Goedhart, M. and Koller, T. (2020). </w:t>
      </w:r>
      <w:r w:rsidRPr="00F0390E">
        <w:rPr>
          <w:i/>
          <w:iCs/>
        </w:rPr>
        <w:t>The Value of Value Creation</w:t>
      </w:r>
      <w:r w:rsidRPr="00F0390E">
        <w:t xml:space="preserve">. Available at: </w:t>
      </w:r>
      <w:hyperlink r:id="rId11" w:history="1">
        <w:r w:rsidRPr="00F0390E">
          <w:rPr>
            <w:rStyle w:val="Hyperlink"/>
          </w:rPr>
          <w:t>https://www.mckinsey.com/capabilities/strategy-and-corporate-finance/our-insights/the-value-of-value-creation</w:t>
        </w:r>
      </w:hyperlink>
      <w:r>
        <w:t xml:space="preserve"> </w:t>
      </w:r>
      <w:r w:rsidRPr="00F0390E">
        <w:t xml:space="preserve"> </w:t>
      </w:r>
      <w:r>
        <w:t>(</w:t>
      </w:r>
      <w:r w:rsidRPr="00F0390E">
        <w:t>Accessed</w:t>
      </w:r>
      <w:r w:rsidR="001C0472">
        <w:t>:</w:t>
      </w:r>
      <w:r w:rsidRPr="00F0390E">
        <w:t xml:space="preserve"> 14 Dec</w:t>
      </w:r>
      <w:r w:rsidR="001C0472">
        <w:t>ember</w:t>
      </w:r>
      <w:r w:rsidRPr="00F0390E">
        <w:t xml:space="preserve"> 2025</w:t>
      </w:r>
      <w:r>
        <w:t>)</w:t>
      </w:r>
      <w:r w:rsidRPr="00F0390E">
        <w:t>.</w:t>
      </w:r>
    </w:p>
    <w:p w14:paraId="257575D5" w14:textId="19F99776" w:rsidR="00EF3F95" w:rsidRPr="004238DB" w:rsidRDefault="00AC5AD8" w:rsidP="004238DB">
      <w:pPr>
        <w:jc w:val="both"/>
      </w:pPr>
      <w:r>
        <w:t xml:space="preserve">Leatherbarrow, C. </w:t>
      </w:r>
      <w:r w:rsidR="004238DB">
        <w:t xml:space="preserve">Fletcher, J. (2019) </w:t>
      </w:r>
      <w:r w:rsidR="004238DB">
        <w:rPr>
          <w:i/>
          <w:iCs/>
        </w:rPr>
        <w:t xml:space="preserve">Introduction to human resource management: a guide to HR in practice. </w:t>
      </w:r>
      <w:r w:rsidR="004238DB">
        <w:t>London, United Kingdom: Kogan Page.</w:t>
      </w:r>
    </w:p>
    <w:p w14:paraId="70A0ABFB" w14:textId="33BFC5F2" w:rsidR="002465DB" w:rsidRDefault="002465DB" w:rsidP="002465DB">
      <w:r w:rsidRPr="00E85470">
        <w:t xml:space="preserve">Waite, K., Beevers, K., Small, N., Tomlinson, K. and Hussain, S. (2021) </w:t>
      </w:r>
      <w:r w:rsidRPr="00E85470">
        <w:rPr>
          <w:i/>
          <w:iCs/>
        </w:rPr>
        <w:t>People Practice: A Complete Guide</w:t>
      </w:r>
      <w:r w:rsidRPr="00E85470">
        <w:t xml:space="preserve">. </w:t>
      </w:r>
      <w:r w:rsidR="004238DB">
        <w:t>4</w:t>
      </w:r>
      <w:r w:rsidR="004238DB" w:rsidRPr="004238DB">
        <w:rPr>
          <w:vertAlign w:val="superscript"/>
        </w:rPr>
        <w:t>th</w:t>
      </w:r>
      <w:r w:rsidR="004238DB">
        <w:t xml:space="preserve"> ed. </w:t>
      </w:r>
      <w:r w:rsidRPr="00E85470">
        <w:t>London, United Kingdom: Kogan Page.</w:t>
      </w:r>
    </w:p>
    <w:p w14:paraId="601115DE" w14:textId="77777777" w:rsidR="002465DB" w:rsidRPr="00B70750" w:rsidRDefault="002465DB">
      <w:pPr>
        <w:rPr>
          <w:lang w:val="en-US"/>
        </w:rPr>
      </w:pPr>
    </w:p>
    <w:sectPr w:rsidR="002465DB" w:rsidRPr="00B707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FA"/>
    <w:rsid w:val="00090530"/>
    <w:rsid w:val="000B7BD7"/>
    <w:rsid w:val="000C2CEB"/>
    <w:rsid w:val="001179CA"/>
    <w:rsid w:val="00122F0F"/>
    <w:rsid w:val="0015277B"/>
    <w:rsid w:val="0015617B"/>
    <w:rsid w:val="0017348A"/>
    <w:rsid w:val="00173B10"/>
    <w:rsid w:val="001B446A"/>
    <w:rsid w:val="001C0472"/>
    <w:rsid w:val="001F2D44"/>
    <w:rsid w:val="00200C7E"/>
    <w:rsid w:val="00202C65"/>
    <w:rsid w:val="002465DB"/>
    <w:rsid w:val="00254CE8"/>
    <w:rsid w:val="00293B08"/>
    <w:rsid w:val="002F1EDC"/>
    <w:rsid w:val="00314779"/>
    <w:rsid w:val="003218A6"/>
    <w:rsid w:val="00324A38"/>
    <w:rsid w:val="00397023"/>
    <w:rsid w:val="003B0550"/>
    <w:rsid w:val="003B64C3"/>
    <w:rsid w:val="003C46F3"/>
    <w:rsid w:val="003D54EC"/>
    <w:rsid w:val="003F11F5"/>
    <w:rsid w:val="004238DB"/>
    <w:rsid w:val="004D63C2"/>
    <w:rsid w:val="00543D40"/>
    <w:rsid w:val="005874FE"/>
    <w:rsid w:val="005A74FA"/>
    <w:rsid w:val="005B183E"/>
    <w:rsid w:val="005B5EFD"/>
    <w:rsid w:val="005B6EE0"/>
    <w:rsid w:val="005F2866"/>
    <w:rsid w:val="00602BDF"/>
    <w:rsid w:val="00637B47"/>
    <w:rsid w:val="00642BFB"/>
    <w:rsid w:val="006923B5"/>
    <w:rsid w:val="006F17DE"/>
    <w:rsid w:val="006F2659"/>
    <w:rsid w:val="00702412"/>
    <w:rsid w:val="00724B48"/>
    <w:rsid w:val="00746817"/>
    <w:rsid w:val="00777895"/>
    <w:rsid w:val="007A543E"/>
    <w:rsid w:val="007C5132"/>
    <w:rsid w:val="007D5B12"/>
    <w:rsid w:val="007E1FD7"/>
    <w:rsid w:val="007F0F30"/>
    <w:rsid w:val="00803934"/>
    <w:rsid w:val="00817E1B"/>
    <w:rsid w:val="00826447"/>
    <w:rsid w:val="008401AB"/>
    <w:rsid w:val="0086453D"/>
    <w:rsid w:val="00876C72"/>
    <w:rsid w:val="008912FA"/>
    <w:rsid w:val="00892FE9"/>
    <w:rsid w:val="008A7128"/>
    <w:rsid w:val="008B41F5"/>
    <w:rsid w:val="008F041E"/>
    <w:rsid w:val="00930241"/>
    <w:rsid w:val="009819F3"/>
    <w:rsid w:val="009941C3"/>
    <w:rsid w:val="009961D0"/>
    <w:rsid w:val="009D2FBC"/>
    <w:rsid w:val="009F1DD8"/>
    <w:rsid w:val="00A851F9"/>
    <w:rsid w:val="00A940C3"/>
    <w:rsid w:val="00AC5AD8"/>
    <w:rsid w:val="00AE52DC"/>
    <w:rsid w:val="00B06757"/>
    <w:rsid w:val="00B22E60"/>
    <w:rsid w:val="00B304A2"/>
    <w:rsid w:val="00B44AEC"/>
    <w:rsid w:val="00B60ED4"/>
    <w:rsid w:val="00B70750"/>
    <w:rsid w:val="00B8120F"/>
    <w:rsid w:val="00BA0CCF"/>
    <w:rsid w:val="00C223EF"/>
    <w:rsid w:val="00CA39A7"/>
    <w:rsid w:val="00CC7D3B"/>
    <w:rsid w:val="00CD727A"/>
    <w:rsid w:val="00CE4F4C"/>
    <w:rsid w:val="00CF14A8"/>
    <w:rsid w:val="00CF4A04"/>
    <w:rsid w:val="00D21D45"/>
    <w:rsid w:val="00D96CB3"/>
    <w:rsid w:val="00DC1357"/>
    <w:rsid w:val="00E04DD4"/>
    <w:rsid w:val="00E14023"/>
    <w:rsid w:val="00E37601"/>
    <w:rsid w:val="00E53B72"/>
    <w:rsid w:val="00E97793"/>
    <w:rsid w:val="00EB3E49"/>
    <w:rsid w:val="00EB7149"/>
    <w:rsid w:val="00EE0373"/>
    <w:rsid w:val="00EF3F95"/>
    <w:rsid w:val="00F0390E"/>
    <w:rsid w:val="00F07EC4"/>
    <w:rsid w:val="00F2081E"/>
    <w:rsid w:val="00F51F1C"/>
    <w:rsid w:val="00F57C6D"/>
    <w:rsid w:val="00F84F93"/>
    <w:rsid w:val="00F9314D"/>
    <w:rsid w:val="00FC44B4"/>
    <w:rsid w:val="00FC6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B1931"/>
  <w15:chartTrackingRefBased/>
  <w15:docId w15:val="{66E6BB33-B7FA-483B-AEEB-E5DDE6FC3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4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4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4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4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4FA"/>
    <w:rPr>
      <w:rFonts w:eastAsiaTheme="majorEastAsia" w:cstheme="majorBidi"/>
      <w:color w:val="272727" w:themeColor="text1" w:themeTint="D8"/>
    </w:rPr>
  </w:style>
  <w:style w:type="paragraph" w:styleId="Title">
    <w:name w:val="Title"/>
    <w:basedOn w:val="Normal"/>
    <w:next w:val="Normal"/>
    <w:link w:val="TitleChar"/>
    <w:uiPriority w:val="10"/>
    <w:qFormat/>
    <w:rsid w:val="005A74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4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4FA"/>
    <w:pPr>
      <w:spacing w:before="160"/>
      <w:jc w:val="center"/>
    </w:pPr>
    <w:rPr>
      <w:i/>
      <w:iCs/>
      <w:color w:val="404040" w:themeColor="text1" w:themeTint="BF"/>
    </w:rPr>
  </w:style>
  <w:style w:type="character" w:customStyle="1" w:styleId="QuoteChar">
    <w:name w:val="Quote Char"/>
    <w:basedOn w:val="DefaultParagraphFont"/>
    <w:link w:val="Quote"/>
    <w:uiPriority w:val="29"/>
    <w:rsid w:val="005A74FA"/>
    <w:rPr>
      <w:i/>
      <w:iCs/>
      <w:color w:val="404040" w:themeColor="text1" w:themeTint="BF"/>
    </w:rPr>
  </w:style>
  <w:style w:type="paragraph" w:styleId="ListParagraph">
    <w:name w:val="List Paragraph"/>
    <w:basedOn w:val="Normal"/>
    <w:uiPriority w:val="34"/>
    <w:qFormat/>
    <w:rsid w:val="005A74FA"/>
    <w:pPr>
      <w:ind w:left="720"/>
      <w:contextualSpacing/>
    </w:pPr>
  </w:style>
  <w:style w:type="character" w:styleId="IntenseEmphasis">
    <w:name w:val="Intense Emphasis"/>
    <w:basedOn w:val="DefaultParagraphFont"/>
    <w:uiPriority w:val="21"/>
    <w:qFormat/>
    <w:rsid w:val="005A74FA"/>
    <w:rPr>
      <w:i/>
      <w:iCs/>
      <w:color w:val="0F4761" w:themeColor="accent1" w:themeShade="BF"/>
    </w:rPr>
  </w:style>
  <w:style w:type="paragraph" w:styleId="IntenseQuote">
    <w:name w:val="Intense Quote"/>
    <w:basedOn w:val="Normal"/>
    <w:next w:val="Normal"/>
    <w:link w:val="IntenseQuoteChar"/>
    <w:uiPriority w:val="30"/>
    <w:qFormat/>
    <w:rsid w:val="005A7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4FA"/>
    <w:rPr>
      <w:i/>
      <w:iCs/>
      <w:color w:val="0F4761" w:themeColor="accent1" w:themeShade="BF"/>
    </w:rPr>
  </w:style>
  <w:style w:type="character" w:styleId="IntenseReference">
    <w:name w:val="Intense Reference"/>
    <w:basedOn w:val="DefaultParagraphFont"/>
    <w:uiPriority w:val="32"/>
    <w:qFormat/>
    <w:rsid w:val="005A74FA"/>
    <w:rPr>
      <w:b/>
      <w:bCs/>
      <w:smallCaps/>
      <w:color w:val="0F4761" w:themeColor="accent1" w:themeShade="BF"/>
      <w:spacing w:val="5"/>
    </w:rPr>
  </w:style>
  <w:style w:type="character" w:styleId="Hyperlink">
    <w:name w:val="Hyperlink"/>
    <w:basedOn w:val="DefaultParagraphFont"/>
    <w:uiPriority w:val="99"/>
    <w:unhideWhenUsed/>
    <w:rsid w:val="003D54EC"/>
    <w:rPr>
      <w:color w:val="467886" w:themeColor="hyperlink"/>
      <w:u w:val="single"/>
    </w:rPr>
  </w:style>
  <w:style w:type="character" w:styleId="UnresolvedMention">
    <w:name w:val="Unresolved Mention"/>
    <w:basedOn w:val="DefaultParagraphFont"/>
    <w:uiPriority w:val="99"/>
    <w:semiHidden/>
    <w:unhideWhenUsed/>
    <w:rsid w:val="003D54EC"/>
    <w:rPr>
      <w:color w:val="605E5C"/>
      <w:shd w:val="clear" w:color="auto" w:fill="E1DFDD"/>
    </w:rPr>
  </w:style>
  <w:style w:type="character" w:styleId="FollowedHyperlink">
    <w:name w:val="FollowedHyperlink"/>
    <w:basedOn w:val="DefaultParagraphFont"/>
    <w:uiPriority w:val="99"/>
    <w:semiHidden/>
    <w:unhideWhenUsed/>
    <w:rsid w:val="001B446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0621">
      <w:bodyDiv w:val="1"/>
      <w:marLeft w:val="0"/>
      <w:marRight w:val="0"/>
      <w:marTop w:val="0"/>
      <w:marBottom w:val="0"/>
      <w:divBdr>
        <w:top w:val="none" w:sz="0" w:space="0" w:color="auto"/>
        <w:left w:val="none" w:sz="0" w:space="0" w:color="auto"/>
        <w:bottom w:val="none" w:sz="0" w:space="0" w:color="auto"/>
        <w:right w:val="none" w:sz="0" w:space="0" w:color="auto"/>
      </w:divBdr>
      <w:divsChild>
        <w:div w:id="152839377">
          <w:marLeft w:val="0"/>
          <w:marRight w:val="0"/>
          <w:marTop w:val="0"/>
          <w:marBottom w:val="0"/>
          <w:divBdr>
            <w:top w:val="none" w:sz="0" w:space="0" w:color="auto"/>
            <w:left w:val="none" w:sz="0" w:space="0" w:color="auto"/>
            <w:bottom w:val="none" w:sz="0" w:space="0" w:color="auto"/>
            <w:right w:val="none" w:sz="0" w:space="0" w:color="auto"/>
          </w:divBdr>
        </w:div>
      </w:divsChild>
    </w:div>
    <w:div w:id="163129165">
      <w:bodyDiv w:val="1"/>
      <w:marLeft w:val="0"/>
      <w:marRight w:val="0"/>
      <w:marTop w:val="0"/>
      <w:marBottom w:val="0"/>
      <w:divBdr>
        <w:top w:val="none" w:sz="0" w:space="0" w:color="auto"/>
        <w:left w:val="none" w:sz="0" w:space="0" w:color="auto"/>
        <w:bottom w:val="none" w:sz="0" w:space="0" w:color="auto"/>
        <w:right w:val="none" w:sz="0" w:space="0" w:color="auto"/>
      </w:divBdr>
      <w:divsChild>
        <w:div w:id="1199859913">
          <w:marLeft w:val="0"/>
          <w:marRight w:val="0"/>
          <w:marTop w:val="0"/>
          <w:marBottom w:val="0"/>
          <w:divBdr>
            <w:top w:val="none" w:sz="0" w:space="0" w:color="auto"/>
            <w:left w:val="none" w:sz="0" w:space="0" w:color="auto"/>
            <w:bottom w:val="none" w:sz="0" w:space="0" w:color="auto"/>
            <w:right w:val="none" w:sz="0" w:space="0" w:color="auto"/>
          </w:divBdr>
        </w:div>
      </w:divsChild>
    </w:div>
    <w:div w:id="243339455">
      <w:bodyDiv w:val="1"/>
      <w:marLeft w:val="0"/>
      <w:marRight w:val="0"/>
      <w:marTop w:val="0"/>
      <w:marBottom w:val="0"/>
      <w:divBdr>
        <w:top w:val="none" w:sz="0" w:space="0" w:color="auto"/>
        <w:left w:val="none" w:sz="0" w:space="0" w:color="auto"/>
        <w:bottom w:val="none" w:sz="0" w:space="0" w:color="auto"/>
        <w:right w:val="none" w:sz="0" w:space="0" w:color="auto"/>
      </w:divBdr>
      <w:divsChild>
        <w:div w:id="730464777">
          <w:marLeft w:val="0"/>
          <w:marRight w:val="0"/>
          <w:marTop w:val="0"/>
          <w:marBottom w:val="0"/>
          <w:divBdr>
            <w:top w:val="none" w:sz="0" w:space="0" w:color="auto"/>
            <w:left w:val="none" w:sz="0" w:space="0" w:color="auto"/>
            <w:bottom w:val="none" w:sz="0" w:space="0" w:color="auto"/>
            <w:right w:val="none" w:sz="0" w:space="0" w:color="auto"/>
          </w:divBdr>
        </w:div>
      </w:divsChild>
    </w:div>
    <w:div w:id="358509071">
      <w:bodyDiv w:val="1"/>
      <w:marLeft w:val="0"/>
      <w:marRight w:val="0"/>
      <w:marTop w:val="0"/>
      <w:marBottom w:val="0"/>
      <w:divBdr>
        <w:top w:val="none" w:sz="0" w:space="0" w:color="auto"/>
        <w:left w:val="none" w:sz="0" w:space="0" w:color="auto"/>
        <w:bottom w:val="none" w:sz="0" w:space="0" w:color="auto"/>
        <w:right w:val="none" w:sz="0" w:space="0" w:color="auto"/>
      </w:divBdr>
      <w:divsChild>
        <w:div w:id="1916744468">
          <w:marLeft w:val="0"/>
          <w:marRight w:val="0"/>
          <w:marTop w:val="0"/>
          <w:marBottom w:val="0"/>
          <w:divBdr>
            <w:top w:val="none" w:sz="0" w:space="0" w:color="auto"/>
            <w:left w:val="none" w:sz="0" w:space="0" w:color="auto"/>
            <w:bottom w:val="none" w:sz="0" w:space="0" w:color="auto"/>
            <w:right w:val="none" w:sz="0" w:space="0" w:color="auto"/>
          </w:divBdr>
        </w:div>
      </w:divsChild>
    </w:div>
    <w:div w:id="629239049">
      <w:bodyDiv w:val="1"/>
      <w:marLeft w:val="0"/>
      <w:marRight w:val="0"/>
      <w:marTop w:val="0"/>
      <w:marBottom w:val="0"/>
      <w:divBdr>
        <w:top w:val="none" w:sz="0" w:space="0" w:color="auto"/>
        <w:left w:val="none" w:sz="0" w:space="0" w:color="auto"/>
        <w:bottom w:val="none" w:sz="0" w:space="0" w:color="auto"/>
        <w:right w:val="none" w:sz="0" w:space="0" w:color="auto"/>
      </w:divBdr>
      <w:divsChild>
        <w:div w:id="698510097">
          <w:marLeft w:val="0"/>
          <w:marRight w:val="0"/>
          <w:marTop w:val="0"/>
          <w:marBottom w:val="0"/>
          <w:divBdr>
            <w:top w:val="none" w:sz="0" w:space="0" w:color="auto"/>
            <w:left w:val="none" w:sz="0" w:space="0" w:color="auto"/>
            <w:bottom w:val="none" w:sz="0" w:space="0" w:color="auto"/>
            <w:right w:val="none" w:sz="0" w:space="0" w:color="auto"/>
          </w:divBdr>
        </w:div>
      </w:divsChild>
    </w:div>
    <w:div w:id="1004744695">
      <w:bodyDiv w:val="1"/>
      <w:marLeft w:val="0"/>
      <w:marRight w:val="0"/>
      <w:marTop w:val="0"/>
      <w:marBottom w:val="0"/>
      <w:divBdr>
        <w:top w:val="none" w:sz="0" w:space="0" w:color="auto"/>
        <w:left w:val="none" w:sz="0" w:space="0" w:color="auto"/>
        <w:bottom w:val="none" w:sz="0" w:space="0" w:color="auto"/>
        <w:right w:val="none" w:sz="0" w:space="0" w:color="auto"/>
      </w:divBdr>
      <w:divsChild>
        <w:div w:id="444543284">
          <w:marLeft w:val="0"/>
          <w:marRight w:val="0"/>
          <w:marTop w:val="0"/>
          <w:marBottom w:val="0"/>
          <w:divBdr>
            <w:top w:val="none" w:sz="0" w:space="0" w:color="auto"/>
            <w:left w:val="none" w:sz="0" w:space="0" w:color="auto"/>
            <w:bottom w:val="none" w:sz="0" w:space="0" w:color="auto"/>
            <w:right w:val="none" w:sz="0" w:space="0" w:color="auto"/>
          </w:divBdr>
        </w:div>
      </w:divsChild>
    </w:div>
    <w:div w:id="1094401225">
      <w:bodyDiv w:val="1"/>
      <w:marLeft w:val="0"/>
      <w:marRight w:val="0"/>
      <w:marTop w:val="0"/>
      <w:marBottom w:val="0"/>
      <w:divBdr>
        <w:top w:val="none" w:sz="0" w:space="0" w:color="auto"/>
        <w:left w:val="none" w:sz="0" w:space="0" w:color="auto"/>
        <w:bottom w:val="none" w:sz="0" w:space="0" w:color="auto"/>
        <w:right w:val="none" w:sz="0" w:space="0" w:color="auto"/>
      </w:divBdr>
      <w:divsChild>
        <w:div w:id="1110709648">
          <w:marLeft w:val="0"/>
          <w:marRight w:val="0"/>
          <w:marTop w:val="0"/>
          <w:marBottom w:val="0"/>
          <w:divBdr>
            <w:top w:val="none" w:sz="0" w:space="0" w:color="auto"/>
            <w:left w:val="none" w:sz="0" w:space="0" w:color="auto"/>
            <w:bottom w:val="none" w:sz="0" w:space="0" w:color="auto"/>
            <w:right w:val="none" w:sz="0" w:space="0" w:color="auto"/>
          </w:divBdr>
        </w:div>
      </w:divsChild>
    </w:div>
    <w:div w:id="1167017618">
      <w:bodyDiv w:val="1"/>
      <w:marLeft w:val="0"/>
      <w:marRight w:val="0"/>
      <w:marTop w:val="0"/>
      <w:marBottom w:val="0"/>
      <w:divBdr>
        <w:top w:val="none" w:sz="0" w:space="0" w:color="auto"/>
        <w:left w:val="none" w:sz="0" w:space="0" w:color="auto"/>
        <w:bottom w:val="none" w:sz="0" w:space="0" w:color="auto"/>
        <w:right w:val="none" w:sz="0" w:space="0" w:color="auto"/>
      </w:divBdr>
      <w:divsChild>
        <w:div w:id="1455439137">
          <w:marLeft w:val="0"/>
          <w:marRight w:val="0"/>
          <w:marTop w:val="0"/>
          <w:marBottom w:val="0"/>
          <w:divBdr>
            <w:top w:val="none" w:sz="0" w:space="0" w:color="auto"/>
            <w:left w:val="none" w:sz="0" w:space="0" w:color="auto"/>
            <w:bottom w:val="none" w:sz="0" w:space="0" w:color="auto"/>
            <w:right w:val="none" w:sz="0" w:space="0" w:color="auto"/>
          </w:divBdr>
        </w:div>
      </w:divsChild>
    </w:div>
    <w:div w:id="1247029755">
      <w:bodyDiv w:val="1"/>
      <w:marLeft w:val="0"/>
      <w:marRight w:val="0"/>
      <w:marTop w:val="0"/>
      <w:marBottom w:val="0"/>
      <w:divBdr>
        <w:top w:val="none" w:sz="0" w:space="0" w:color="auto"/>
        <w:left w:val="none" w:sz="0" w:space="0" w:color="auto"/>
        <w:bottom w:val="none" w:sz="0" w:space="0" w:color="auto"/>
        <w:right w:val="none" w:sz="0" w:space="0" w:color="auto"/>
      </w:divBdr>
      <w:divsChild>
        <w:div w:id="1244949196">
          <w:marLeft w:val="0"/>
          <w:marRight w:val="0"/>
          <w:marTop w:val="0"/>
          <w:marBottom w:val="0"/>
          <w:divBdr>
            <w:top w:val="none" w:sz="0" w:space="0" w:color="auto"/>
            <w:left w:val="none" w:sz="0" w:space="0" w:color="auto"/>
            <w:bottom w:val="none" w:sz="0" w:space="0" w:color="auto"/>
            <w:right w:val="none" w:sz="0" w:space="0" w:color="auto"/>
          </w:divBdr>
        </w:div>
      </w:divsChild>
    </w:div>
    <w:div w:id="1332441241">
      <w:bodyDiv w:val="1"/>
      <w:marLeft w:val="0"/>
      <w:marRight w:val="0"/>
      <w:marTop w:val="0"/>
      <w:marBottom w:val="0"/>
      <w:divBdr>
        <w:top w:val="none" w:sz="0" w:space="0" w:color="auto"/>
        <w:left w:val="none" w:sz="0" w:space="0" w:color="auto"/>
        <w:bottom w:val="none" w:sz="0" w:space="0" w:color="auto"/>
        <w:right w:val="none" w:sz="0" w:space="0" w:color="auto"/>
      </w:divBdr>
      <w:divsChild>
        <w:div w:id="901063254">
          <w:marLeft w:val="0"/>
          <w:marRight w:val="0"/>
          <w:marTop w:val="0"/>
          <w:marBottom w:val="0"/>
          <w:divBdr>
            <w:top w:val="none" w:sz="0" w:space="0" w:color="auto"/>
            <w:left w:val="none" w:sz="0" w:space="0" w:color="auto"/>
            <w:bottom w:val="none" w:sz="0" w:space="0" w:color="auto"/>
            <w:right w:val="none" w:sz="0" w:space="0" w:color="auto"/>
          </w:divBdr>
        </w:div>
      </w:divsChild>
    </w:div>
    <w:div w:id="1606883088">
      <w:bodyDiv w:val="1"/>
      <w:marLeft w:val="0"/>
      <w:marRight w:val="0"/>
      <w:marTop w:val="0"/>
      <w:marBottom w:val="0"/>
      <w:divBdr>
        <w:top w:val="none" w:sz="0" w:space="0" w:color="auto"/>
        <w:left w:val="none" w:sz="0" w:space="0" w:color="auto"/>
        <w:bottom w:val="none" w:sz="0" w:space="0" w:color="auto"/>
        <w:right w:val="none" w:sz="0" w:space="0" w:color="auto"/>
      </w:divBdr>
      <w:divsChild>
        <w:div w:id="1014116538">
          <w:marLeft w:val="0"/>
          <w:marRight w:val="0"/>
          <w:marTop w:val="0"/>
          <w:marBottom w:val="0"/>
          <w:divBdr>
            <w:top w:val="none" w:sz="0" w:space="0" w:color="auto"/>
            <w:left w:val="none" w:sz="0" w:space="0" w:color="auto"/>
            <w:bottom w:val="none" w:sz="0" w:space="0" w:color="auto"/>
            <w:right w:val="none" w:sz="0" w:space="0" w:color="auto"/>
          </w:divBdr>
        </w:div>
      </w:divsChild>
    </w:div>
    <w:div w:id="1659117602">
      <w:bodyDiv w:val="1"/>
      <w:marLeft w:val="0"/>
      <w:marRight w:val="0"/>
      <w:marTop w:val="0"/>
      <w:marBottom w:val="0"/>
      <w:divBdr>
        <w:top w:val="none" w:sz="0" w:space="0" w:color="auto"/>
        <w:left w:val="none" w:sz="0" w:space="0" w:color="auto"/>
        <w:bottom w:val="none" w:sz="0" w:space="0" w:color="auto"/>
        <w:right w:val="none" w:sz="0" w:space="0" w:color="auto"/>
      </w:divBdr>
      <w:divsChild>
        <w:div w:id="1431507004">
          <w:marLeft w:val="0"/>
          <w:marRight w:val="0"/>
          <w:marTop w:val="0"/>
          <w:marBottom w:val="0"/>
          <w:divBdr>
            <w:top w:val="none" w:sz="0" w:space="0" w:color="auto"/>
            <w:left w:val="none" w:sz="0" w:space="0" w:color="auto"/>
            <w:bottom w:val="none" w:sz="0" w:space="0" w:color="auto"/>
            <w:right w:val="none" w:sz="0" w:space="0" w:color="auto"/>
          </w:divBdr>
        </w:div>
      </w:divsChild>
    </w:div>
    <w:div w:id="1861313899">
      <w:bodyDiv w:val="1"/>
      <w:marLeft w:val="0"/>
      <w:marRight w:val="0"/>
      <w:marTop w:val="0"/>
      <w:marBottom w:val="0"/>
      <w:divBdr>
        <w:top w:val="none" w:sz="0" w:space="0" w:color="auto"/>
        <w:left w:val="none" w:sz="0" w:space="0" w:color="auto"/>
        <w:bottom w:val="none" w:sz="0" w:space="0" w:color="auto"/>
        <w:right w:val="none" w:sz="0" w:space="0" w:color="auto"/>
      </w:divBdr>
      <w:divsChild>
        <w:div w:id="1676421773">
          <w:marLeft w:val="0"/>
          <w:marRight w:val="0"/>
          <w:marTop w:val="0"/>
          <w:marBottom w:val="0"/>
          <w:divBdr>
            <w:top w:val="none" w:sz="0" w:space="0" w:color="auto"/>
            <w:left w:val="none" w:sz="0" w:space="0" w:color="auto"/>
            <w:bottom w:val="none" w:sz="0" w:space="0" w:color="auto"/>
            <w:right w:val="none" w:sz="0" w:space="0" w:color="auto"/>
          </w:divBdr>
        </w:div>
      </w:divsChild>
    </w:div>
    <w:div w:id="1961375889">
      <w:bodyDiv w:val="1"/>
      <w:marLeft w:val="0"/>
      <w:marRight w:val="0"/>
      <w:marTop w:val="0"/>
      <w:marBottom w:val="0"/>
      <w:divBdr>
        <w:top w:val="none" w:sz="0" w:space="0" w:color="auto"/>
        <w:left w:val="none" w:sz="0" w:space="0" w:color="auto"/>
        <w:bottom w:val="none" w:sz="0" w:space="0" w:color="auto"/>
        <w:right w:val="none" w:sz="0" w:space="0" w:color="auto"/>
      </w:divBdr>
      <w:divsChild>
        <w:div w:id="858469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evidence-based-practice-factshee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ckinsey.com/capabilities/people-and-organizational-performance/our-insights/the-moment-of-truth-in-customer-servic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hyperlink" Target="https://www.mckinsey.com/capabilities/strategy-and-corporate-finance/our-insights/the-value-of-value-creation" TargetMode="External"/><Relationship Id="rId5" Type="http://schemas.openxmlformats.org/officeDocument/2006/relationships/chart" Target="charts/chart1.xml"/><Relationship Id="rId10" Type="http://schemas.openxmlformats.org/officeDocument/2006/relationships/hyperlink" Target="https://www.mckinsey.com/capabilities/operations/our-insights/the-human-factor-in-service-design" TargetMode="External"/><Relationship Id="rId4" Type="http://schemas.openxmlformats.org/officeDocument/2006/relationships/image" Target="media/image1.png"/><Relationship Id="rId9" Type="http://schemas.openxmlformats.org/officeDocument/2006/relationships/hyperlink" Target="https://www.cipd.org/uk/knowledge/factsheets/hr-policies-factshee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ptwa1-my.sharepoint.com/personal/donnar_thrivedas_org_uk/Documents/Personal%20Drive/CIPD%20level%203/2.%20Principles%20of%20analytics%20(BMPD3001)/Worksheet%20in%20June%202025%20-%203CO02%20Principles%20of%20analytic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twa1-my.sharepoint.com/personal/donnar_thrivedas_org_uk/Documents/Personal%20Drive/CIPD%20level%203/2.%20Principles%20of%20analytics%20(BMPD3001)/Worksheet%20in%20June%202025%20-%203CO02%20Principles%20of%20analytics%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of overtime over contracted hours per Department</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Sheet2!$B$2</c:f>
              <c:strCache>
                <c:ptCount val="1"/>
                <c:pt idx="0">
                  <c:v>Percentage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09A-40EA-8C80-C5D5F31FD4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09A-40EA-8C80-C5D5F31FD4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09A-40EA-8C80-C5D5F31FD40E}"/>
              </c:ext>
            </c:extLst>
          </c:dPt>
          <c:cat>
            <c:strRef>
              <c:f>Sheet2!$A$3:$A$5</c:f>
              <c:strCache>
                <c:ptCount val="3"/>
                <c:pt idx="0">
                  <c:v>Shop staff</c:v>
                </c:pt>
                <c:pt idx="1">
                  <c:v>Baristas</c:v>
                </c:pt>
                <c:pt idx="2">
                  <c:v>Bakery</c:v>
                </c:pt>
              </c:strCache>
            </c:strRef>
          </c:cat>
          <c:val>
            <c:numRef>
              <c:f>Sheet2!$B$3:$B$5</c:f>
              <c:numCache>
                <c:formatCode>0</c:formatCode>
                <c:ptCount val="3"/>
                <c:pt idx="0">
                  <c:v>44</c:v>
                </c:pt>
                <c:pt idx="1">
                  <c:v>37</c:v>
                </c:pt>
                <c:pt idx="2">
                  <c:v>54</c:v>
                </c:pt>
              </c:numCache>
            </c:numRef>
          </c:val>
          <c:extLst>
            <c:ext xmlns:c16="http://schemas.microsoft.com/office/drawing/2014/chart" uri="{C3380CC4-5D6E-409C-BE32-E72D297353CC}">
              <c16:uniqueId val="{00000006-A09A-40EA-8C80-C5D5F31FD40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Sheet1!$C$3</c:f>
              <c:strCache>
                <c:ptCount val="1"/>
                <c:pt idx="0">
                  <c:v>Week 1</c:v>
                </c:pt>
              </c:strCache>
            </c:strRef>
          </c:tx>
          <c:spPr>
            <a:solidFill>
              <a:schemeClr val="accent1"/>
            </a:solidFill>
            <a:ln>
              <a:noFill/>
            </a:ln>
            <a:effectLst/>
          </c:spPr>
          <c:invertIfNegative val="0"/>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Sheet1!$C$4:$C$24</c:f>
            </c:numRef>
          </c:val>
          <c:extLst>
            <c:ext xmlns:c16="http://schemas.microsoft.com/office/drawing/2014/chart" uri="{C3380CC4-5D6E-409C-BE32-E72D297353CC}">
              <c16:uniqueId val="{00000000-FB3F-441A-8501-4CEEF8FDB29B}"/>
            </c:ext>
          </c:extLst>
        </c:ser>
        <c:ser>
          <c:idx val="1"/>
          <c:order val="1"/>
          <c:tx>
            <c:strRef>
              <c:f>Sheet1!$D$3</c:f>
              <c:strCache>
                <c:ptCount val="1"/>
                <c:pt idx="0">
                  <c:v>Week 2</c:v>
                </c:pt>
              </c:strCache>
            </c:strRef>
          </c:tx>
          <c:spPr>
            <a:solidFill>
              <a:schemeClr val="accent2"/>
            </a:solidFill>
            <a:ln>
              <a:noFill/>
            </a:ln>
            <a:effectLst/>
          </c:spPr>
          <c:invertIfNegative val="0"/>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Sheet1!$D$4:$D$24</c:f>
            </c:numRef>
          </c:val>
          <c:extLst>
            <c:ext xmlns:c16="http://schemas.microsoft.com/office/drawing/2014/chart" uri="{C3380CC4-5D6E-409C-BE32-E72D297353CC}">
              <c16:uniqueId val="{00000001-FB3F-441A-8501-4CEEF8FDB29B}"/>
            </c:ext>
          </c:extLst>
        </c:ser>
        <c:ser>
          <c:idx val="2"/>
          <c:order val="2"/>
          <c:tx>
            <c:strRef>
              <c:f>Sheet1!$E$3</c:f>
              <c:strCache>
                <c:ptCount val="1"/>
                <c:pt idx="0">
                  <c:v>Week 3</c:v>
                </c:pt>
              </c:strCache>
            </c:strRef>
          </c:tx>
          <c:spPr>
            <a:solidFill>
              <a:schemeClr val="accent3"/>
            </a:solidFill>
            <a:ln>
              <a:noFill/>
            </a:ln>
            <a:effectLst/>
          </c:spPr>
          <c:invertIfNegative val="0"/>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Sheet1!$E$4:$E$24</c:f>
            </c:numRef>
          </c:val>
          <c:extLst>
            <c:ext xmlns:c16="http://schemas.microsoft.com/office/drawing/2014/chart" uri="{C3380CC4-5D6E-409C-BE32-E72D297353CC}">
              <c16:uniqueId val="{00000002-FB3F-441A-8501-4CEEF8FDB29B}"/>
            </c:ext>
          </c:extLst>
        </c:ser>
        <c:ser>
          <c:idx val="3"/>
          <c:order val="3"/>
          <c:tx>
            <c:strRef>
              <c:f>Sheet1!$F$3</c:f>
              <c:strCache>
                <c:ptCount val="1"/>
                <c:pt idx="0">
                  <c:v>Week 4</c:v>
                </c:pt>
              </c:strCache>
            </c:strRef>
          </c:tx>
          <c:spPr>
            <a:solidFill>
              <a:schemeClr val="accent4"/>
            </a:solidFill>
            <a:ln>
              <a:noFill/>
            </a:ln>
            <a:effectLst/>
          </c:spPr>
          <c:invertIfNegative val="0"/>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Sheet1!$F$4:$F$24</c:f>
            </c:numRef>
          </c:val>
          <c:extLst>
            <c:ext xmlns:c16="http://schemas.microsoft.com/office/drawing/2014/chart" uri="{C3380CC4-5D6E-409C-BE32-E72D297353CC}">
              <c16:uniqueId val="{00000003-FB3F-441A-8501-4CEEF8FDB29B}"/>
            </c:ext>
          </c:extLst>
        </c:ser>
        <c:ser>
          <c:idx val="4"/>
          <c:order val="4"/>
          <c:tx>
            <c:strRef>
              <c:f>Sheet1!$G$3</c:f>
              <c:strCache>
                <c:ptCount val="1"/>
                <c:pt idx="0">
                  <c:v>Normal working hours</c:v>
                </c:pt>
              </c:strCache>
            </c:strRef>
          </c:tx>
          <c:spPr>
            <a:solidFill>
              <a:schemeClr val="accent5"/>
            </a:solidFill>
            <a:ln>
              <a:noFill/>
            </a:ln>
            <a:effectLst/>
          </c:spPr>
          <c:invertIfNegative val="0"/>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Sheet1!$G$4:$G$24</c:f>
            </c:numRef>
          </c:val>
          <c:extLst>
            <c:ext xmlns:c16="http://schemas.microsoft.com/office/drawing/2014/chart" uri="{C3380CC4-5D6E-409C-BE32-E72D297353CC}">
              <c16:uniqueId val="{00000004-FB3F-441A-8501-4CEEF8FDB29B}"/>
            </c:ext>
          </c:extLst>
        </c:ser>
        <c:ser>
          <c:idx val="5"/>
          <c:order val="5"/>
          <c:tx>
            <c:strRef>
              <c:f>Sheet1!$H$3</c:f>
              <c:strCache>
                <c:ptCount val="1"/>
                <c:pt idx="0">
                  <c:v>Average number of overtime hours worked  per week over 4 weeks </c:v>
                </c:pt>
              </c:strCache>
            </c:strRef>
          </c:tx>
          <c:spPr>
            <a:solidFill>
              <a:schemeClr val="accent6"/>
            </a:solidFill>
            <a:ln>
              <a:noFill/>
            </a:ln>
            <a:effectLst/>
          </c:spPr>
          <c:invertIfNegative val="0"/>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Sheet1!$H$4:$H$24</c:f>
            </c:numRef>
          </c:val>
          <c:extLst>
            <c:ext xmlns:c16="http://schemas.microsoft.com/office/drawing/2014/chart" uri="{C3380CC4-5D6E-409C-BE32-E72D297353CC}">
              <c16:uniqueId val="{00000005-FB3F-441A-8501-4CEEF8FDB29B}"/>
            </c:ext>
          </c:extLst>
        </c:ser>
        <c:ser>
          <c:idx val="6"/>
          <c:order val="6"/>
          <c:tx>
            <c:strRef>
              <c:f>Sheet1!$I$3</c:f>
              <c:strCache>
                <c:ptCount val="1"/>
                <c:pt idx="0">
                  <c:v>Average overtime worked as a percentage against normal working hours</c:v>
                </c:pt>
              </c:strCache>
            </c:strRef>
          </c:tx>
          <c:spPr>
            <a:solidFill>
              <a:schemeClr val="accent1">
                <a:lumMod val="60000"/>
              </a:schemeClr>
            </a:solidFill>
            <a:ln>
              <a:noFill/>
            </a:ln>
            <a:effectLst/>
          </c:spPr>
          <c:invertIfNegative val="0"/>
          <c:dPt>
            <c:idx val="13"/>
            <c:invertIfNegative val="0"/>
            <c:bubble3D val="0"/>
            <c:spPr>
              <a:solidFill>
                <a:srgbClr val="00B050"/>
              </a:solidFill>
              <a:ln>
                <a:noFill/>
              </a:ln>
              <a:effectLst/>
            </c:spPr>
            <c:extLst>
              <c:ext xmlns:c16="http://schemas.microsoft.com/office/drawing/2014/chart" uri="{C3380CC4-5D6E-409C-BE32-E72D297353CC}">
                <c16:uniqueId val="{00000007-FB3F-441A-8501-4CEEF8FDB29B}"/>
              </c:ext>
            </c:extLst>
          </c:dPt>
          <c:dPt>
            <c:idx val="14"/>
            <c:invertIfNegative val="0"/>
            <c:bubble3D val="0"/>
            <c:spPr>
              <a:solidFill>
                <a:srgbClr val="00B050"/>
              </a:solidFill>
              <a:ln>
                <a:noFill/>
              </a:ln>
              <a:effectLst/>
            </c:spPr>
            <c:extLst>
              <c:ext xmlns:c16="http://schemas.microsoft.com/office/drawing/2014/chart" uri="{C3380CC4-5D6E-409C-BE32-E72D297353CC}">
                <c16:uniqueId val="{00000009-FB3F-441A-8501-4CEEF8FDB29B}"/>
              </c:ext>
            </c:extLst>
          </c:dPt>
          <c:dPt>
            <c:idx val="15"/>
            <c:invertIfNegative val="0"/>
            <c:bubble3D val="0"/>
            <c:spPr>
              <a:solidFill>
                <a:srgbClr val="00B050"/>
              </a:solidFill>
              <a:ln>
                <a:noFill/>
              </a:ln>
              <a:effectLst/>
            </c:spPr>
            <c:extLst>
              <c:ext xmlns:c16="http://schemas.microsoft.com/office/drawing/2014/chart" uri="{C3380CC4-5D6E-409C-BE32-E72D297353CC}">
                <c16:uniqueId val="{0000000B-FB3F-441A-8501-4CEEF8FDB29B}"/>
              </c:ext>
            </c:extLst>
          </c:dPt>
          <c:dPt>
            <c:idx val="16"/>
            <c:invertIfNegative val="0"/>
            <c:bubble3D val="0"/>
            <c:spPr>
              <a:solidFill>
                <a:srgbClr val="00B050"/>
              </a:solidFill>
              <a:ln>
                <a:noFill/>
              </a:ln>
              <a:effectLst/>
            </c:spPr>
            <c:extLst>
              <c:ext xmlns:c16="http://schemas.microsoft.com/office/drawing/2014/chart" uri="{C3380CC4-5D6E-409C-BE32-E72D297353CC}">
                <c16:uniqueId val="{0000000D-FB3F-441A-8501-4CEEF8FDB29B}"/>
              </c:ext>
            </c:extLst>
          </c:dPt>
          <c:dPt>
            <c:idx val="17"/>
            <c:invertIfNegative val="0"/>
            <c:bubble3D val="0"/>
            <c:spPr>
              <a:solidFill>
                <a:srgbClr val="00B050"/>
              </a:solidFill>
              <a:ln>
                <a:noFill/>
              </a:ln>
              <a:effectLst/>
            </c:spPr>
            <c:extLst>
              <c:ext xmlns:c16="http://schemas.microsoft.com/office/drawing/2014/chart" uri="{C3380CC4-5D6E-409C-BE32-E72D297353CC}">
                <c16:uniqueId val="{0000000F-FB3F-441A-8501-4CEEF8FDB29B}"/>
              </c:ext>
            </c:extLst>
          </c:dPt>
          <c:dPt>
            <c:idx val="18"/>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11-FB3F-441A-8501-4CEEF8FDB29B}"/>
              </c:ext>
            </c:extLst>
          </c:dPt>
          <c:dPt>
            <c:idx val="19"/>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13-FB3F-441A-8501-4CEEF8FDB29B}"/>
              </c:ext>
            </c:extLst>
          </c:dPt>
          <c:dPt>
            <c:idx val="20"/>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15-FB3F-441A-8501-4CEEF8FDB29B}"/>
              </c:ext>
            </c:extLst>
          </c:dPt>
          <c:cat>
            <c:multiLvlStrRef>
              <c:f>Sheet1!$A$4:$B$24</c:f>
              <c:multiLvlStrCache>
                <c:ptCount val="21"/>
                <c:lvl>
                  <c:pt idx="0">
                    <c:v>J Scott</c:v>
                  </c:pt>
                  <c:pt idx="1">
                    <c:v>P Mean</c:v>
                  </c:pt>
                  <c:pt idx="2">
                    <c:v>S Kidding</c:v>
                  </c:pt>
                  <c:pt idx="3">
                    <c:v>D Jaques </c:v>
                  </c:pt>
                  <c:pt idx="4">
                    <c:v>K Ritter</c:v>
                  </c:pt>
                  <c:pt idx="5">
                    <c:v>H Barrel </c:v>
                  </c:pt>
                  <c:pt idx="6">
                    <c:v>L Guarani </c:v>
                  </c:pt>
                  <c:pt idx="7">
                    <c:v>K Pathos </c:v>
                  </c:pt>
                  <c:pt idx="8">
                    <c:v>B Sykes </c:v>
                  </c:pt>
                  <c:pt idx="9">
                    <c:v>S Grant </c:v>
                  </c:pt>
                  <c:pt idx="10">
                    <c:v>P Perfect </c:v>
                  </c:pt>
                  <c:pt idx="11">
                    <c:v>H Dumpty </c:v>
                  </c:pt>
                  <c:pt idx="12">
                    <c:v>R Rickson</c:v>
                  </c:pt>
                  <c:pt idx="13">
                    <c:v>K Gerbil </c:v>
                  </c:pt>
                  <c:pt idx="14">
                    <c:v>S Lund </c:v>
                  </c:pt>
                  <c:pt idx="15">
                    <c:v>B Bathbun</c:v>
                  </c:pt>
                  <c:pt idx="16">
                    <c:v>H John </c:v>
                  </c:pt>
                  <c:pt idx="17">
                    <c:v>R Rabbitt </c:v>
                  </c:pt>
                  <c:pt idx="18">
                    <c:v>P Harlum </c:v>
                  </c:pt>
                  <c:pt idx="19">
                    <c:v>M Hubbard</c:v>
                  </c:pt>
                  <c:pt idx="20">
                    <c:v>P Boots</c:v>
                  </c:pt>
                </c:lvl>
                <c:lvl>
                  <c:pt idx="0">
                    <c:v>Shop Staff</c:v>
                  </c:pt>
                  <c:pt idx="13">
                    <c:v>Baristas </c:v>
                  </c:pt>
                  <c:pt idx="18">
                    <c:v>Bakery </c:v>
                  </c:pt>
                </c:lvl>
              </c:multiLvlStrCache>
            </c:multiLvlStrRef>
          </c:cat>
          <c:val>
            <c:numRef>
              <c:f>Sheet1!$I$4:$I$24</c:f>
              <c:numCache>
                <c:formatCode>0</c:formatCode>
                <c:ptCount val="21"/>
                <c:pt idx="0">
                  <c:v>29.333333333333332</c:v>
                </c:pt>
                <c:pt idx="1">
                  <c:v>46.25</c:v>
                </c:pt>
                <c:pt idx="2">
                  <c:v>46.25</c:v>
                </c:pt>
                <c:pt idx="3">
                  <c:v>31.333333333333336</c:v>
                </c:pt>
                <c:pt idx="4">
                  <c:v>46.875</c:v>
                </c:pt>
                <c:pt idx="5">
                  <c:v>62.5</c:v>
                </c:pt>
                <c:pt idx="6">
                  <c:v>22.666666666666664</c:v>
                </c:pt>
                <c:pt idx="7">
                  <c:v>60</c:v>
                </c:pt>
                <c:pt idx="8">
                  <c:v>63.749999999999993</c:v>
                </c:pt>
                <c:pt idx="9">
                  <c:v>53.125</c:v>
                </c:pt>
                <c:pt idx="10">
                  <c:v>54.6875</c:v>
                </c:pt>
                <c:pt idx="11">
                  <c:v>31.25</c:v>
                </c:pt>
                <c:pt idx="12">
                  <c:v>29.6875</c:v>
                </c:pt>
                <c:pt idx="13">
                  <c:v>16.666666666666664</c:v>
                </c:pt>
                <c:pt idx="14">
                  <c:v>42.5</c:v>
                </c:pt>
                <c:pt idx="15">
                  <c:v>39.0625</c:v>
                </c:pt>
                <c:pt idx="16">
                  <c:v>59.375</c:v>
                </c:pt>
                <c:pt idx="17">
                  <c:v>28.125</c:v>
                </c:pt>
                <c:pt idx="18">
                  <c:v>46.333333333333329</c:v>
                </c:pt>
                <c:pt idx="19">
                  <c:v>57.499999999999993</c:v>
                </c:pt>
                <c:pt idx="20">
                  <c:v>57.499999999999993</c:v>
                </c:pt>
              </c:numCache>
            </c:numRef>
          </c:val>
          <c:extLst>
            <c:ext xmlns:c16="http://schemas.microsoft.com/office/drawing/2014/chart" uri="{C3380CC4-5D6E-409C-BE32-E72D297353CC}">
              <c16:uniqueId val="{00000016-FB3F-441A-8501-4CEEF8FDB29B}"/>
            </c:ext>
          </c:extLst>
        </c:ser>
        <c:dLbls>
          <c:showLegendKey val="0"/>
          <c:showVal val="0"/>
          <c:showCatName val="0"/>
          <c:showSerName val="0"/>
          <c:showPercent val="0"/>
          <c:showBubbleSize val="0"/>
        </c:dLbls>
        <c:gapWidth val="182"/>
        <c:axId val="1614242863"/>
        <c:axId val="1614250543"/>
      </c:barChart>
      <c:catAx>
        <c:axId val="16142428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4250543"/>
        <c:crosses val="autoZero"/>
        <c:auto val="1"/>
        <c:lblAlgn val="ctr"/>
        <c:lblOffset val="100"/>
        <c:noMultiLvlLbl val="0"/>
      </c:catAx>
      <c:valAx>
        <c:axId val="161425054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42428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1563</TotalTime>
  <Pages>8</Pages>
  <Words>2431</Words>
  <Characters>13857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Thrive Womens Aid</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Rees</dc:creator>
  <cp:keywords/>
  <dc:description/>
  <cp:lastModifiedBy>Donna Rees</cp:lastModifiedBy>
  <cp:revision>63</cp:revision>
  <dcterms:created xsi:type="dcterms:W3CDTF">2025-11-25T14:54:00Z</dcterms:created>
  <dcterms:modified xsi:type="dcterms:W3CDTF">2025-12-15T22:18:00Z</dcterms:modified>
</cp:coreProperties>
</file>