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17BB2" w:rsidP="00117BB2" w:rsidRDefault="00117BB2" w14:paraId="35D66251" w14:textId="77777777">
      <w:pPr>
        <w:spacing w:line="360" w:lineRule="auto"/>
        <w:ind w:left="360"/>
        <w:jc w:val="center"/>
        <w:rPr>
          <w:rFonts w:ascii="Arial" w:hAnsi="Arial" w:cs="Arial"/>
          <w:b/>
          <w:bCs/>
          <w:sz w:val="22"/>
          <w:szCs w:val="22"/>
          <w:lang w:val="en-PK"/>
        </w:rPr>
      </w:pPr>
    </w:p>
    <w:p w:rsidR="00117BB2" w:rsidP="00117BB2" w:rsidRDefault="00117BB2" w14:paraId="517A27FB" w14:textId="77777777">
      <w:pPr>
        <w:spacing w:line="360" w:lineRule="auto"/>
        <w:ind w:left="360"/>
        <w:jc w:val="center"/>
        <w:rPr>
          <w:rFonts w:ascii="Arial" w:hAnsi="Arial" w:cs="Arial"/>
          <w:b/>
          <w:bCs/>
          <w:sz w:val="22"/>
          <w:szCs w:val="22"/>
          <w:lang w:val="en-PK"/>
        </w:rPr>
      </w:pPr>
    </w:p>
    <w:p w:rsidR="00117BB2" w:rsidP="00117BB2" w:rsidRDefault="00117BB2" w14:paraId="39959F4D" w14:textId="77777777">
      <w:pPr>
        <w:spacing w:line="360" w:lineRule="auto"/>
        <w:ind w:left="360"/>
        <w:jc w:val="center"/>
        <w:rPr>
          <w:rFonts w:ascii="Arial" w:hAnsi="Arial" w:cs="Arial"/>
          <w:b/>
          <w:bCs/>
          <w:sz w:val="22"/>
          <w:szCs w:val="22"/>
          <w:lang w:val="en-PK"/>
        </w:rPr>
      </w:pPr>
    </w:p>
    <w:p w:rsidR="00117BB2" w:rsidP="00117BB2" w:rsidRDefault="00117BB2" w14:paraId="608280A1" w14:textId="77777777">
      <w:pPr>
        <w:spacing w:line="360" w:lineRule="auto"/>
        <w:ind w:left="360"/>
        <w:jc w:val="center"/>
        <w:rPr>
          <w:rFonts w:ascii="Arial" w:hAnsi="Arial" w:cs="Arial"/>
          <w:b/>
          <w:bCs/>
          <w:sz w:val="22"/>
          <w:szCs w:val="22"/>
          <w:lang w:val="en-PK"/>
        </w:rPr>
      </w:pPr>
    </w:p>
    <w:p w:rsidR="00117BB2" w:rsidP="00117BB2" w:rsidRDefault="00117BB2" w14:paraId="0A6F5A74" w14:textId="77777777">
      <w:pPr>
        <w:spacing w:line="360" w:lineRule="auto"/>
        <w:ind w:left="360"/>
        <w:jc w:val="center"/>
        <w:rPr>
          <w:rFonts w:ascii="Arial" w:hAnsi="Arial" w:cs="Arial"/>
          <w:b/>
          <w:bCs/>
          <w:sz w:val="22"/>
          <w:szCs w:val="22"/>
          <w:lang w:val="en-PK"/>
        </w:rPr>
      </w:pPr>
    </w:p>
    <w:p w:rsidR="00117BB2" w:rsidP="00117BB2" w:rsidRDefault="00117BB2" w14:paraId="77551DFC" w14:textId="77777777">
      <w:pPr>
        <w:spacing w:line="360" w:lineRule="auto"/>
        <w:ind w:left="360"/>
        <w:jc w:val="center"/>
        <w:rPr>
          <w:rFonts w:ascii="Arial" w:hAnsi="Arial" w:cs="Arial"/>
          <w:b/>
          <w:bCs/>
          <w:sz w:val="22"/>
          <w:szCs w:val="22"/>
          <w:lang w:val="en-PK"/>
        </w:rPr>
      </w:pPr>
    </w:p>
    <w:p w:rsidRPr="00117BB2" w:rsidR="00117BB2" w:rsidP="1333EF62" w:rsidRDefault="00117BB2" w14:paraId="4C425FD3" w14:textId="7E6FDABD">
      <w:pPr>
        <w:spacing w:line="360" w:lineRule="auto"/>
        <w:ind w:left="360"/>
        <w:jc w:val="center"/>
        <w:rPr>
          <w:rFonts w:ascii="Arial" w:hAnsi="Arial" w:cs="Arial"/>
          <w:sz w:val="22"/>
          <w:szCs w:val="22"/>
          <w:lang w:val="en-US"/>
        </w:rPr>
      </w:pPr>
      <w:r w:rsidRPr="74A4831F" w:rsidR="00117BB2">
        <w:rPr>
          <w:rFonts w:ascii="Arial" w:hAnsi="Arial" w:cs="Arial"/>
          <w:b w:val="0"/>
          <w:bCs w:val="0"/>
          <w:sz w:val="22"/>
          <w:szCs w:val="22"/>
          <w:lang w:val="en-US"/>
        </w:rPr>
        <w:t>Name</w:t>
      </w:r>
      <w:r w:rsidRPr="74A4831F" w:rsidR="00117BB2">
        <w:rPr>
          <w:rFonts w:ascii="Arial" w:hAnsi="Arial" w:cs="Arial"/>
          <w:b w:val="0"/>
          <w:bCs w:val="0"/>
          <w:sz w:val="22"/>
          <w:szCs w:val="22"/>
          <w:lang w:val="en-US"/>
        </w:rPr>
        <w:t>:</w:t>
      </w:r>
      <w:r w:rsidRPr="74A4831F" w:rsidR="00117BB2">
        <w:rPr>
          <w:rFonts w:ascii="Arial" w:hAnsi="Arial" w:cs="Arial"/>
          <w:sz w:val="22"/>
          <w:szCs w:val="22"/>
          <w:lang w:val="en-US"/>
        </w:rPr>
        <w:t xml:space="preserve"> </w:t>
      </w:r>
      <w:r w:rsidRPr="74A4831F" w:rsidR="781FC307">
        <w:rPr>
          <w:rFonts w:ascii="Arial" w:hAnsi="Arial" w:cs="Arial"/>
          <w:sz w:val="22"/>
          <w:szCs w:val="22"/>
          <w:lang w:val="en-US"/>
        </w:rPr>
        <w:t>Humaria Alam</w:t>
      </w:r>
    </w:p>
    <w:p w:rsidR="023A0D22" w:rsidP="74A4831F" w:rsidRDefault="023A0D22" w14:paraId="4A58E012" w14:textId="5028B9BF">
      <w:pPr>
        <w:spacing w:line="360" w:lineRule="auto"/>
        <w:ind w:left="360"/>
        <w:jc w:val="center"/>
        <w:rPr>
          <w:rFonts w:ascii="Arial" w:hAnsi="Arial" w:cs="Arial"/>
          <w:b w:val="0"/>
          <w:bCs w:val="0"/>
          <w:sz w:val="22"/>
          <w:szCs w:val="22"/>
          <w:lang w:val="en-US"/>
        </w:rPr>
      </w:pPr>
      <w:r w:rsidRPr="74A4831F" w:rsidR="023A0D22">
        <w:rPr>
          <w:rFonts w:ascii="Arial" w:hAnsi="Arial" w:cs="Arial"/>
          <w:b w:val="0"/>
          <w:bCs w:val="0"/>
          <w:sz w:val="22"/>
          <w:szCs w:val="22"/>
          <w:lang w:val="en-US"/>
        </w:rPr>
        <w:t>2323463</w:t>
      </w:r>
    </w:p>
    <w:p w:rsidRPr="00117BB2" w:rsidR="00117BB2" w:rsidP="1333EF62" w:rsidRDefault="00117BB2" w14:paraId="6B2B692C" w14:textId="19211602">
      <w:pPr>
        <w:spacing w:line="360" w:lineRule="auto"/>
        <w:ind w:left="360"/>
        <w:jc w:val="center"/>
        <w:rPr>
          <w:rFonts w:ascii="Arial" w:hAnsi="Arial" w:cs="Arial"/>
          <w:sz w:val="22"/>
          <w:szCs w:val="22"/>
          <w:lang w:val="en-US"/>
        </w:rPr>
      </w:pPr>
      <w:r w:rsidRPr="1333EF62" w:rsidR="00117BB2">
        <w:rPr>
          <w:rFonts w:ascii="Arial" w:hAnsi="Arial" w:cs="Arial"/>
          <w:sz w:val="22"/>
          <w:szCs w:val="22"/>
          <w:lang w:val="en-US"/>
        </w:rPr>
        <w:t>BMHP5021</w:t>
      </w:r>
    </w:p>
    <w:p w:rsidRPr="00117BB2" w:rsidR="00117BB2" w:rsidP="1333EF62" w:rsidRDefault="00117BB2" w14:paraId="55A19F15" w14:textId="58D22A79">
      <w:pPr>
        <w:spacing w:line="360" w:lineRule="auto"/>
        <w:ind w:left="360"/>
        <w:jc w:val="center"/>
        <w:rPr>
          <w:rFonts w:ascii="Arial" w:hAnsi="Arial" w:cs="Arial"/>
          <w:sz w:val="22"/>
          <w:szCs w:val="22"/>
          <w:lang w:val="en-US"/>
        </w:rPr>
      </w:pPr>
      <w:r w:rsidRPr="1333EF62" w:rsidR="00117BB2">
        <w:rPr>
          <w:rFonts w:ascii="Arial" w:hAnsi="Arial" w:cs="Arial"/>
          <w:sz w:val="22"/>
          <w:szCs w:val="22"/>
          <w:lang w:val="en-US"/>
        </w:rPr>
        <w:t>Protecting and Supporting Families in Health and Care</w:t>
      </w:r>
    </w:p>
    <w:p w:rsidR="37E14659" w:rsidP="1333EF62" w:rsidRDefault="37E14659" w14:paraId="45E5381F" w14:textId="4C3D1306">
      <w:pPr>
        <w:spacing w:line="360" w:lineRule="auto"/>
        <w:ind w:left="360"/>
        <w:jc w:val="center"/>
        <w:rPr>
          <w:rFonts w:ascii="Arial" w:hAnsi="Arial" w:cs="Arial"/>
          <w:sz w:val="22"/>
          <w:szCs w:val="22"/>
          <w:lang w:val="en-US"/>
        </w:rPr>
      </w:pPr>
      <w:r w:rsidRPr="1333EF62" w:rsidR="37E14659">
        <w:rPr>
          <w:rFonts w:ascii="Arial" w:hAnsi="Arial" w:cs="Arial"/>
          <w:sz w:val="22"/>
          <w:szCs w:val="22"/>
          <w:lang w:val="en-US"/>
        </w:rPr>
        <w:t>Lecturer: Gillian Weaver</w:t>
      </w:r>
    </w:p>
    <w:p w:rsidR="00117BB2" w:rsidRDefault="00117BB2" w14:paraId="2A4E28EA" w14:textId="13846CDB">
      <w:pPr>
        <w:rPr>
          <w:rFonts w:ascii="Arial" w:hAnsi="Arial" w:cs="Arial"/>
          <w:b/>
          <w:bCs/>
          <w:sz w:val="22"/>
          <w:szCs w:val="22"/>
          <w:lang w:val="en-PK"/>
        </w:rPr>
      </w:pPr>
      <w:r>
        <w:rPr>
          <w:rFonts w:ascii="Arial" w:hAnsi="Arial" w:cs="Arial"/>
          <w:b/>
          <w:bCs/>
          <w:sz w:val="22"/>
          <w:szCs w:val="22"/>
          <w:lang w:val="en-PK"/>
        </w:rPr>
        <w:br w:type="page"/>
      </w:r>
    </w:p>
    <w:p w:rsidRPr="00117BB2" w:rsidR="00117BB2" w:rsidP="00117BB2" w:rsidRDefault="00117BB2" w14:paraId="00120FB7" w14:textId="2F068115">
      <w:pPr>
        <w:spacing w:line="360" w:lineRule="auto"/>
        <w:ind w:left="360"/>
        <w:jc w:val="center"/>
        <w:rPr>
          <w:rFonts w:ascii="Arial" w:hAnsi="Arial" w:cs="Arial"/>
          <w:b/>
          <w:bCs/>
          <w:sz w:val="22"/>
          <w:szCs w:val="22"/>
          <w:lang w:val="en-PK"/>
        </w:rPr>
      </w:pPr>
      <w:r w:rsidRPr="00117BB2">
        <w:rPr>
          <w:rFonts w:ascii="Arial" w:hAnsi="Arial" w:cs="Arial"/>
          <w:b/>
          <w:bCs/>
          <w:sz w:val="22"/>
          <w:szCs w:val="22"/>
          <w:lang w:val="en-PK"/>
        </w:rPr>
        <w:lastRenderedPageBreak/>
        <w:t>Introduction</w:t>
      </w:r>
    </w:p>
    <w:p w:rsidRPr="00117BB2" w:rsidR="00117BB2" w:rsidP="00B96925" w:rsidRDefault="00117BB2" w14:paraId="04917705" w14:textId="2A4CB080">
      <w:pPr>
        <w:spacing w:line="360" w:lineRule="auto"/>
        <w:ind w:left="360" w:firstLine="360"/>
        <w:jc w:val="both"/>
        <w:rPr>
          <w:rFonts w:ascii="Arial" w:hAnsi="Arial" w:cs="Arial"/>
          <w:sz w:val="22"/>
          <w:szCs w:val="22"/>
          <w:lang w:val="en-PK"/>
        </w:rPr>
      </w:pPr>
      <w:r w:rsidRPr="00117BB2">
        <w:rPr>
          <w:rFonts w:ascii="Arial" w:hAnsi="Arial" w:cs="Arial"/>
          <w:sz w:val="22"/>
          <w:szCs w:val="22"/>
          <w:lang w:val="en-PK"/>
        </w:rPr>
        <w:t>One of the key components of the child protection system in the United Kingdom is the Early Help system. It seeks to offer those families that are experiencing challenges in time and manner so that their problems are addressed before they grow to be even more serious. Early Help is about joint actions of different professionals, such as social workers, healthcare practitioners, educators, and community services in order to help the families to get the required support. The system does not only assist the families in crises but is also meant to ensure that the issues do not arise in the first place.</w:t>
      </w:r>
      <w:r>
        <w:rPr>
          <w:rFonts w:ascii="Arial" w:hAnsi="Arial" w:cs="Arial"/>
          <w:sz w:val="22"/>
          <w:szCs w:val="22"/>
          <w:lang w:val="en-PK"/>
        </w:rPr>
        <w:t xml:space="preserve"> </w:t>
      </w:r>
      <w:r w:rsidRPr="00117BB2">
        <w:rPr>
          <w:rFonts w:ascii="Arial" w:hAnsi="Arial" w:cs="Arial"/>
          <w:sz w:val="22"/>
          <w:szCs w:val="22"/>
          <w:lang w:val="en-PK"/>
        </w:rPr>
        <w:t>The local authorities have the responsibility of providing Early Help services and making sure that awareness of such services is given to the families. Local authority websites are always one of the best means of communicating such information since they are the first point of contact by families that require assistance</w:t>
      </w:r>
      <w:r w:rsidRPr="00B96925" w:rsidR="00B96925">
        <w:t xml:space="preserve"> </w:t>
      </w:r>
      <w:r w:rsidRPr="00B96925" w:rsidR="00B96925">
        <w:rPr>
          <w:rFonts w:ascii="Arial" w:hAnsi="Arial" w:cs="Arial"/>
          <w:sz w:val="22"/>
          <w:szCs w:val="22"/>
        </w:rPr>
        <w:t>(Norfolk County Council, 2025)</w:t>
      </w:r>
      <w:r w:rsidRPr="00117BB2">
        <w:rPr>
          <w:rFonts w:ascii="Arial" w:hAnsi="Arial" w:cs="Arial"/>
          <w:sz w:val="22"/>
          <w:szCs w:val="22"/>
          <w:lang w:val="en-PK"/>
        </w:rPr>
        <w:t>. Nonetheless, the manner in which information is displayed, the level of the language employed and convenience of navigation all make a significant contribution to the accessibility and effectiveness of such services.</w:t>
      </w:r>
      <w:r>
        <w:rPr>
          <w:rFonts w:ascii="Arial" w:hAnsi="Arial" w:cs="Arial"/>
          <w:sz w:val="22"/>
          <w:szCs w:val="22"/>
          <w:lang w:val="en-PK"/>
        </w:rPr>
        <w:t xml:space="preserve"> </w:t>
      </w:r>
      <w:r w:rsidRPr="00117BB2">
        <w:rPr>
          <w:rFonts w:ascii="Arial" w:hAnsi="Arial" w:cs="Arial"/>
          <w:sz w:val="22"/>
          <w:szCs w:val="22"/>
          <w:lang w:val="en-PK"/>
        </w:rPr>
        <w:t>This report will analyse the three local authority websites that are Leicestershire County Council, Norfolk County Council and Leeds City Council how they convey information on the Early Help system. The assessment will address the ways in which these websites feature Early Help services, the availability of this information as well as the overall suitability of the websites when it comes to leading the families in terms of the available assistance. The report will conclude with the comparative analysis and recommendations of the improvement provided in regards to the findings.</w:t>
      </w:r>
    </w:p>
    <w:p w:rsidRPr="00117BB2" w:rsidR="00117BB2" w:rsidP="00117BB2" w:rsidRDefault="00117BB2" w14:paraId="5B8FB4F6" w14:textId="1EDBF432">
      <w:pPr>
        <w:spacing w:line="360" w:lineRule="auto"/>
        <w:ind w:left="360"/>
        <w:jc w:val="both"/>
        <w:rPr>
          <w:rFonts w:ascii="Arial" w:hAnsi="Arial" w:cs="Arial"/>
          <w:b/>
          <w:bCs/>
          <w:sz w:val="22"/>
          <w:szCs w:val="22"/>
          <w:lang w:val="en-PK"/>
        </w:rPr>
      </w:pPr>
      <w:r w:rsidRPr="00117BB2">
        <w:rPr>
          <w:rFonts w:ascii="Arial" w:hAnsi="Arial" w:cs="Arial"/>
          <w:b/>
          <w:bCs/>
          <w:sz w:val="22"/>
          <w:szCs w:val="22"/>
          <w:lang w:val="en-PK"/>
        </w:rPr>
        <w:t xml:space="preserve">Explanation of the Early Help System </w:t>
      </w:r>
    </w:p>
    <w:p w:rsidRPr="00117BB2" w:rsidR="00117BB2" w:rsidP="00B96925" w:rsidRDefault="00117BB2" w14:paraId="56D0B3AF" w14:textId="49ABB5D3">
      <w:pPr>
        <w:spacing w:line="360" w:lineRule="auto"/>
        <w:ind w:left="360" w:firstLine="360"/>
        <w:jc w:val="both"/>
        <w:rPr>
          <w:rFonts w:ascii="Arial" w:hAnsi="Arial" w:cs="Arial"/>
          <w:sz w:val="22"/>
          <w:szCs w:val="22"/>
          <w:lang w:val="en-PK"/>
        </w:rPr>
      </w:pPr>
      <w:r w:rsidRPr="00117BB2">
        <w:rPr>
          <w:rFonts w:ascii="Arial" w:hAnsi="Arial" w:cs="Arial"/>
          <w:sz w:val="22"/>
          <w:szCs w:val="22"/>
          <w:lang w:val="en-PK"/>
        </w:rPr>
        <w:t>Early Help system is integrated in the child safeguarding system in the UK, which aims at intervening at an early stage of the life of children and at-risk families. This is aimed at avoiding problems such as neglect, abuse and family breakdown through providing support before the problem has gotten out of hand. The main idea of Early Help is that the early intervention can alter the course of the life of a child to make it better and grant him/her the right to a better future</w:t>
      </w:r>
      <w:r w:rsidRPr="00B96925" w:rsidR="00B96925">
        <w:t xml:space="preserve"> </w:t>
      </w:r>
      <w:r w:rsidRPr="00B96925" w:rsidR="00B96925">
        <w:rPr>
          <w:rFonts w:ascii="Arial" w:hAnsi="Arial" w:cs="Arial"/>
          <w:sz w:val="22"/>
          <w:szCs w:val="22"/>
        </w:rPr>
        <w:t>(Wang et al., 2021)</w:t>
      </w:r>
      <w:r w:rsidRPr="00117BB2">
        <w:rPr>
          <w:rFonts w:ascii="Arial" w:hAnsi="Arial" w:cs="Arial"/>
          <w:sz w:val="22"/>
          <w:szCs w:val="22"/>
          <w:lang w:val="en-PK"/>
        </w:rPr>
        <w:t>.</w:t>
      </w:r>
      <w:r w:rsidR="00B96925">
        <w:rPr>
          <w:rFonts w:ascii="Arial" w:hAnsi="Arial" w:cs="Arial"/>
          <w:sz w:val="22"/>
          <w:szCs w:val="22"/>
          <w:lang w:val="en-PK"/>
        </w:rPr>
        <w:t xml:space="preserve"> </w:t>
      </w:r>
      <w:r w:rsidR="00B96925">
        <w:rPr>
          <w:rFonts w:ascii="Arial" w:hAnsi="Arial" w:cs="Arial"/>
          <w:sz w:val="22"/>
          <w:szCs w:val="22"/>
          <w:lang w:val="en-PK"/>
        </w:rPr>
        <w:tab/>
      </w:r>
      <w:r w:rsidRPr="00117BB2">
        <w:rPr>
          <w:rFonts w:ascii="Arial" w:hAnsi="Arial" w:cs="Arial"/>
          <w:sz w:val="22"/>
          <w:szCs w:val="22"/>
          <w:lang w:val="en-PK"/>
        </w:rPr>
        <w:t>The Early Help System Guide defines the principles of the system which are the initial identification, intervention and interaction among the agencies. The system considers the collaboration of the professionals in the sectors of health, social care, housing, education, and law enforcement to collaborate in the best interest of the child and family. This working together will guarantee that the services offered are differentiated to suit the needs of specific families.</w:t>
      </w:r>
    </w:p>
    <w:p w:rsidRPr="00117BB2" w:rsidR="00117BB2" w:rsidP="00B96925" w:rsidRDefault="00117BB2" w14:paraId="52E6A71C" w14:textId="3D3B74EB">
      <w:pPr>
        <w:spacing w:line="360" w:lineRule="auto"/>
        <w:ind w:left="360"/>
        <w:jc w:val="both"/>
        <w:rPr>
          <w:rFonts w:ascii="Arial" w:hAnsi="Arial" w:cs="Arial"/>
          <w:sz w:val="22"/>
          <w:szCs w:val="22"/>
          <w:lang w:val="en-PK"/>
        </w:rPr>
      </w:pPr>
      <w:r w:rsidRPr="00117BB2">
        <w:rPr>
          <w:rFonts w:ascii="Arial" w:hAnsi="Arial" w:cs="Arial"/>
          <w:sz w:val="22"/>
          <w:szCs w:val="22"/>
          <w:lang w:val="en-PK"/>
        </w:rPr>
        <w:t>The Working Together to Safeguard Children 2023 statutory guidance lays stress on the significance of a multi-disciplinary approach to safeguarding, that is, one based on collaboration between professionals. It underlines that services should be interactive, and professionals need to exchange information in order to support a client holistically. This will guarantee that families are assisted in a proper manner at an early age and this would help in avoiding having to go to more elaborate interventions in the future</w:t>
      </w:r>
      <w:r w:rsidRPr="00B96925" w:rsidR="00B96925">
        <w:t xml:space="preserve"> </w:t>
      </w:r>
      <w:r w:rsidRPr="00B96925" w:rsidR="00B96925">
        <w:rPr>
          <w:rFonts w:ascii="Arial" w:hAnsi="Arial" w:cs="Arial"/>
          <w:sz w:val="22"/>
          <w:szCs w:val="22"/>
        </w:rPr>
        <w:t>(</w:t>
      </w:r>
      <w:proofErr w:type="spellStart"/>
      <w:r w:rsidRPr="00B96925" w:rsidR="00B96925">
        <w:rPr>
          <w:rFonts w:ascii="Arial" w:hAnsi="Arial" w:cs="Arial"/>
          <w:sz w:val="22"/>
          <w:szCs w:val="22"/>
        </w:rPr>
        <w:t>Chanen</w:t>
      </w:r>
      <w:proofErr w:type="spellEnd"/>
      <w:r w:rsidRPr="00B96925" w:rsidR="00B96925">
        <w:rPr>
          <w:rFonts w:ascii="Arial" w:hAnsi="Arial" w:cs="Arial"/>
          <w:sz w:val="22"/>
          <w:szCs w:val="22"/>
        </w:rPr>
        <w:t xml:space="preserve"> et al., 2022)</w:t>
      </w:r>
      <w:r w:rsidRPr="00117BB2">
        <w:rPr>
          <w:rFonts w:ascii="Arial" w:hAnsi="Arial" w:cs="Arial"/>
          <w:sz w:val="22"/>
          <w:szCs w:val="22"/>
          <w:lang w:val="en-PK"/>
        </w:rPr>
        <w:t>.</w:t>
      </w:r>
      <w:r w:rsidR="00B96925">
        <w:rPr>
          <w:rFonts w:ascii="Arial" w:hAnsi="Arial" w:cs="Arial"/>
          <w:sz w:val="22"/>
          <w:szCs w:val="22"/>
          <w:lang w:val="en-PK"/>
        </w:rPr>
        <w:t xml:space="preserve"> </w:t>
      </w:r>
      <w:r w:rsidRPr="00117BB2">
        <w:rPr>
          <w:rFonts w:ascii="Arial" w:hAnsi="Arial" w:cs="Arial"/>
          <w:sz w:val="22"/>
          <w:szCs w:val="22"/>
          <w:lang w:val="en-PK"/>
        </w:rPr>
        <w:t>The services provided in the early help can include pragmatic services, including assistance in parenting or accommodation, and specialized services, including mental health assistance or domestic violence prevention. The services are meant to focus on the underlying factors of the family problems and make these families resilient. Local authorities become very important in terms of making sure that families are aware of the services provided to them through the Early Help and assist them in accessing the services</w:t>
      </w:r>
      <w:r w:rsidRPr="00B96925" w:rsidR="00B96925">
        <w:t xml:space="preserve"> </w:t>
      </w:r>
      <w:r w:rsidRPr="00B96925" w:rsidR="00B96925">
        <w:rPr>
          <w:rFonts w:ascii="Arial" w:hAnsi="Arial" w:cs="Arial"/>
          <w:sz w:val="22"/>
          <w:szCs w:val="22"/>
        </w:rPr>
        <w:t>(</w:t>
      </w:r>
      <w:proofErr w:type="spellStart"/>
      <w:r w:rsidRPr="00B96925" w:rsidR="00B96925">
        <w:rPr>
          <w:rFonts w:ascii="Arial" w:hAnsi="Arial" w:cs="Arial"/>
          <w:sz w:val="22"/>
          <w:szCs w:val="22"/>
        </w:rPr>
        <w:t>Forthal</w:t>
      </w:r>
      <w:proofErr w:type="spellEnd"/>
      <w:r w:rsidRPr="00B96925" w:rsidR="00B96925">
        <w:rPr>
          <w:rFonts w:ascii="Arial" w:hAnsi="Arial" w:cs="Arial"/>
          <w:sz w:val="22"/>
          <w:szCs w:val="22"/>
        </w:rPr>
        <w:t xml:space="preserve"> et al., 2022)</w:t>
      </w:r>
      <w:r w:rsidRPr="00117BB2">
        <w:rPr>
          <w:rFonts w:ascii="Arial" w:hAnsi="Arial" w:cs="Arial"/>
          <w:sz w:val="22"/>
          <w:szCs w:val="22"/>
          <w:lang w:val="en-PK"/>
        </w:rPr>
        <w:t>.</w:t>
      </w:r>
    </w:p>
    <w:p w:rsidR="00117BB2" w:rsidP="00117BB2" w:rsidRDefault="00117BB2" w14:paraId="75A5CB63" w14:textId="3A9D0125">
      <w:pPr>
        <w:spacing w:line="360" w:lineRule="auto"/>
        <w:ind w:left="360"/>
        <w:jc w:val="both"/>
        <w:rPr>
          <w:rFonts w:ascii="Arial" w:hAnsi="Arial" w:cs="Arial"/>
          <w:b/>
          <w:bCs/>
          <w:sz w:val="22"/>
          <w:szCs w:val="22"/>
          <w:lang w:val="en-PK"/>
        </w:rPr>
      </w:pPr>
      <w:r w:rsidRPr="00117BB2">
        <w:rPr>
          <w:rFonts w:ascii="Arial" w:hAnsi="Arial" w:cs="Arial"/>
          <w:b/>
          <w:bCs/>
          <w:sz w:val="22"/>
          <w:szCs w:val="22"/>
          <w:lang w:val="en-PK"/>
        </w:rPr>
        <w:t xml:space="preserve">Explanation of Multi-Agency Working </w:t>
      </w:r>
    </w:p>
    <w:p w:rsidRPr="00117BB2" w:rsidR="00117BB2" w:rsidP="00B96925" w:rsidRDefault="00117BB2" w14:paraId="7E57E825" w14:textId="210D19AE">
      <w:pPr>
        <w:spacing w:line="360" w:lineRule="auto"/>
        <w:ind w:left="360" w:firstLine="360"/>
        <w:jc w:val="both"/>
        <w:rPr>
          <w:rFonts w:ascii="Arial" w:hAnsi="Arial" w:cs="Arial"/>
          <w:sz w:val="22"/>
          <w:szCs w:val="22"/>
          <w:lang w:val="en-PK"/>
        </w:rPr>
      </w:pPr>
      <w:r w:rsidRPr="00117BB2">
        <w:rPr>
          <w:rFonts w:ascii="Arial" w:hAnsi="Arial" w:cs="Arial"/>
          <w:sz w:val="22"/>
          <w:szCs w:val="22"/>
          <w:lang w:val="en-PK"/>
        </w:rPr>
        <w:t>Multi-agency working is one of the key features of the Early Help system that implies professionals in various domains to cooperate with each other and deliver integrated assistance to children and families. This model warrants that the families will be offered a holistic service with all the influencing agencies collaborating in satisfying them. The concept of multi-agency working is central to the Early Help system as most of the problems experienced by families are multi-faceted and demand skills of various domains.</w:t>
      </w:r>
      <w:r w:rsidR="00B96925">
        <w:rPr>
          <w:rFonts w:ascii="Arial" w:hAnsi="Arial" w:cs="Arial"/>
          <w:sz w:val="22"/>
          <w:szCs w:val="22"/>
          <w:lang w:val="en-PK"/>
        </w:rPr>
        <w:t xml:space="preserve"> </w:t>
      </w:r>
      <w:r w:rsidRPr="00117BB2">
        <w:rPr>
          <w:rFonts w:ascii="Arial" w:hAnsi="Arial" w:cs="Arial"/>
          <w:sz w:val="22"/>
          <w:szCs w:val="22"/>
          <w:lang w:val="en-PK"/>
        </w:rPr>
        <w:t>Working Together to Safeguard Children 2023 states that the need to identify and respond to the needs of children and families at an early stage is a vital concept of multi-agency working. It facilitates exchange of information, whereby all the professionals working with a child know their position, and provide the necessary help. The principles emphasise that the process of information sharing must be done with the approval of the family unless there are any safeguarding issues</w:t>
      </w:r>
      <w:r w:rsidRPr="00B96925" w:rsidR="00B96925">
        <w:t xml:space="preserve"> </w:t>
      </w:r>
      <w:r w:rsidRPr="00B96925" w:rsidR="00B96925">
        <w:rPr>
          <w:rFonts w:ascii="Arial" w:hAnsi="Arial" w:cs="Arial"/>
          <w:sz w:val="22"/>
          <w:szCs w:val="22"/>
        </w:rPr>
        <w:t>(Esposito et al., 2022)</w:t>
      </w:r>
      <w:r w:rsidRPr="00117BB2">
        <w:rPr>
          <w:rFonts w:ascii="Arial" w:hAnsi="Arial" w:cs="Arial"/>
          <w:sz w:val="22"/>
          <w:szCs w:val="22"/>
          <w:lang w:val="en-PK"/>
        </w:rPr>
        <w:t>.</w:t>
      </w:r>
    </w:p>
    <w:p w:rsidRPr="00117BB2" w:rsidR="00117BB2" w:rsidP="00B96925" w:rsidRDefault="00117BB2" w14:paraId="61825C7C" w14:textId="23B8C622">
      <w:pPr>
        <w:spacing w:line="360" w:lineRule="auto"/>
        <w:ind w:left="360" w:firstLine="360"/>
        <w:jc w:val="both"/>
        <w:rPr>
          <w:rFonts w:ascii="Arial" w:hAnsi="Arial" w:cs="Arial"/>
          <w:sz w:val="22"/>
          <w:szCs w:val="22"/>
          <w:lang w:val="en-PK"/>
        </w:rPr>
      </w:pPr>
      <w:r w:rsidRPr="00117BB2">
        <w:rPr>
          <w:rFonts w:ascii="Arial" w:hAnsi="Arial" w:cs="Arial"/>
          <w:sz w:val="22"/>
          <w:szCs w:val="22"/>
          <w:lang w:val="en-PK"/>
        </w:rPr>
        <w:t xml:space="preserve">The </w:t>
      </w:r>
      <w:proofErr w:type="gramStart"/>
      <w:r w:rsidRPr="00117BB2">
        <w:rPr>
          <w:rFonts w:ascii="Arial" w:hAnsi="Arial" w:cs="Arial"/>
          <w:sz w:val="22"/>
          <w:szCs w:val="22"/>
          <w:lang w:val="en-PK"/>
        </w:rPr>
        <w:t>Multi-agency</w:t>
      </w:r>
      <w:proofErr w:type="gramEnd"/>
      <w:r w:rsidRPr="00117BB2">
        <w:rPr>
          <w:rFonts w:ascii="Arial" w:hAnsi="Arial" w:cs="Arial"/>
          <w:sz w:val="22"/>
          <w:szCs w:val="22"/>
          <w:lang w:val="en-PK"/>
        </w:rPr>
        <w:t xml:space="preserve"> working</w:t>
      </w:r>
      <w:r w:rsidR="00B96925">
        <w:rPr>
          <w:rFonts w:ascii="Arial" w:hAnsi="Arial" w:cs="Arial"/>
          <w:sz w:val="22"/>
          <w:szCs w:val="22"/>
          <w:lang w:val="en-PK"/>
        </w:rPr>
        <w:t>,</w:t>
      </w:r>
      <w:r w:rsidRPr="00117BB2">
        <w:rPr>
          <w:rFonts w:ascii="Arial" w:hAnsi="Arial" w:cs="Arial"/>
          <w:sz w:val="22"/>
          <w:szCs w:val="22"/>
          <w:lang w:val="en-PK"/>
        </w:rPr>
        <w:t xml:space="preserve"> also makes sure that coordination of services will be extensive. In the case of a family that is undergoing problems with low finances, poor housing and child behavior problems, several agencies can be a solution to giving support in those ailing aspects. Social workers, health professionals, housing officers and educational staff can be able to work together to deal with the needs of the family in a holistic manner.</w:t>
      </w:r>
      <w:r w:rsidR="00B96925">
        <w:rPr>
          <w:rFonts w:ascii="Arial" w:hAnsi="Arial" w:cs="Arial"/>
          <w:sz w:val="22"/>
          <w:szCs w:val="22"/>
          <w:lang w:val="en-PK"/>
        </w:rPr>
        <w:t xml:space="preserve"> </w:t>
      </w:r>
      <w:r w:rsidRPr="00117BB2">
        <w:rPr>
          <w:rFonts w:ascii="Arial" w:hAnsi="Arial" w:cs="Arial"/>
          <w:sz w:val="22"/>
          <w:szCs w:val="22"/>
          <w:lang w:val="en-PK"/>
        </w:rPr>
        <w:t>Moreover, multi-agency working enhances the principle of child-centered working, and the best interests of the child have to be the core of all decisions. The representatives of various professional fields contribute with their specific skills, views and resources which adds value to the assistance that the families get. The successful work of the multi-agencies is likely to give a child better outcome and the chances of the former are less probable than leading to the latter</w:t>
      </w:r>
      <w:r w:rsidRPr="00B96925" w:rsidR="00B96925">
        <w:t xml:space="preserve"> </w:t>
      </w:r>
      <w:r w:rsidRPr="00B96925" w:rsidR="00B96925">
        <w:rPr>
          <w:rFonts w:ascii="Arial" w:hAnsi="Arial" w:cs="Arial"/>
          <w:sz w:val="22"/>
          <w:szCs w:val="22"/>
        </w:rPr>
        <w:t>(</w:t>
      </w:r>
      <w:proofErr w:type="spellStart"/>
      <w:r w:rsidRPr="00B96925" w:rsidR="00B96925">
        <w:rPr>
          <w:rFonts w:ascii="Arial" w:hAnsi="Arial" w:cs="Arial"/>
          <w:sz w:val="22"/>
          <w:szCs w:val="22"/>
        </w:rPr>
        <w:t>Sapiets</w:t>
      </w:r>
      <w:proofErr w:type="spellEnd"/>
      <w:r w:rsidRPr="00B96925" w:rsidR="00B96925">
        <w:rPr>
          <w:rFonts w:ascii="Arial" w:hAnsi="Arial" w:cs="Arial"/>
          <w:sz w:val="22"/>
          <w:szCs w:val="22"/>
        </w:rPr>
        <w:t xml:space="preserve"> et al., 2021)</w:t>
      </w:r>
      <w:r w:rsidRPr="00117BB2">
        <w:rPr>
          <w:rFonts w:ascii="Arial" w:hAnsi="Arial" w:cs="Arial"/>
          <w:sz w:val="22"/>
          <w:szCs w:val="22"/>
          <w:lang w:val="en-PK"/>
        </w:rPr>
        <w:t>.</w:t>
      </w:r>
      <w:r w:rsidR="00B96925">
        <w:rPr>
          <w:rFonts w:ascii="Arial" w:hAnsi="Arial" w:cs="Arial"/>
          <w:sz w:val="22"/>
          <w:szCs w:val="22"/>
          <w:lang w:val="en-PK"/>
        </w:rPr>
        <w:t xml:space="preserve"> </w:t>
      </w:r>
      <w:r w:rsidRPr="00117BB2">
        <w:rPr>
          <w:rFonts w:ascii="Arial" w:hAnsi="Arial" w:cs="Arial"/>
          <w:sz w:val="22"/>
          <w:szCs w:val="22"/>
          <w:lang w:val="en-PK"/>
        </w:rPr>
        <w:t>Practically, the cooperation of the multi-agency working involves comprehension, trust, and mutual objectives between professionals. Frequent review of the case, common evaluation, and action plans are essential to maintain the achievement of the appropriate support to the families at the appropriate time. However,</w:t>
      </w:r>
      <w:r w:rsidR="009A7BF9">
        <w:rPr>
          <w:rFonts w:ascii="Arial" w:hAnsi="Arial" w:cs="Arial"/>
          <w:sz w:val="22"/>
          <w:szCs w:val="22"/>
          <w:lang w:val="en-PK"/>
        </w:rPr>
        <w:t xml:space="preserve"> </w:t>
      </w:r>
      <w:r w:rsidRPr="00117BB2">
        <w:rPr>
          <w:rFonts w:ascii="Arial" w:hAnsi="Arial" w:cs="Arial"/>
          <w:sz w:val="22"/>
          <w:szCs w:val="22"/>
          <w:lang w:val="en-PK"/>
        </w:rPr>
        <w:t>working is very efficient, and the problems of information sharing barriers, differences in priorities, and resources deficiency may make this effective approach rather difficult.</w:t>
      </w:r>
    </w:p>
    <w:p w:rsidRPr="00117BB2" w:rsidR="00117BB2" w:rsidP="00B96925" w:rsidRDefault="00117BB2" w14:paraId="789735EB" w14:textId="47D4F273">
      <w:pPr>
        <w:spacing w:line="360" w:lineRule="auto"/>
        <w:ind w:left="360"/>
        <w:jc w:val="center"/>
        <w:rPr>
          <w:rFonts w:ascii="Arial" w:hAnsi="Arial" w:cs="Arial"/>
          <w:b/>
          <w:bCs/>
          <w:sz w:val="22"/>
          <w:szCs w:val="22"/>
          <w:lang w:val="en-PK"/>
        </w:rPr>
      </w:pPr>
      <w:r w:rsidRPr="00117BB2">
        <w:rPr>
          <w:rFonts w:ascii="Arial" w:hAnsi="Arial" w:cs="Arial"/>
          <w:b/>
          <w:bCs/>
          <w:sz w:val="22"/>
          <w:szCs w:val="22"/>
          <w:lang w:val="en-PK"/>
        </w:rPr>
        <w:t>Evaluation of the Three Local Authority Websites</w:t>
      </w:r>
    </w:p>
    <w:p w:rsidR="00117BB2" w:rsidP="00117BB2" w:rsidRDefault="00117BB2" w14:paraId="5BFC688A" w14:textId="77777777">
      <w:pPr>
        <w:spacing w:line="360" w:lineRule="auto"/>
        <w:ind w:left="360"/>
        <w:jc w:val="both"/>
        <w:rPr>
          <w:rFonts w:ascii="Arial" w:hAnsi="Arial" w:cs="Arial"/>
          <w:b/>
          <w:bCs/>
          <w:sz w:val="22"/>
          <w:szCs w:val="22"/>
          <w:lang w:val="en-PK"/>
        </w:rPr>
      </w:pPr>
      <w:r w:rsidRPr="00117BB2">
        <w:rPr>
          <w:rFonts w:ascii="Arial" w:hAnsi="Arial" w:cs="Arial"/>
          <w:b/>
          <w:bCs/>
          <w:sz w:val="22"/>
          <w:szCs w:val="22"/>
          <w:lang w:val="en-PK"/>
        </w:rPr>
        <w:t>Leicestershire County Council Website</w:t>
      </w:r>
    </w:p>
    <w:p w:rsidRPr="00117BB2" w:rsidR="009A7BF9" w:rsidP="00B96925" w:rsidRDefault="009A7BF9" w14:paraId="618B3703" w14:textId="3F0E6221">
      <w:pPr>
        <w:spacing w:line="360" w:lineRule="auto"/>
        <w:ind w:left="720" w:firstLine="360"/>
        <w:jc w:val="both"/>
        <w:rPr>
          <w:rFonts w:ascii="Arial" w:hAnsi="Arial" w:cs="Arial"/>
          <w:sz w:val="22"/>
          <w:szCs w:val="22"/>
          <w:lang w:val="en-PK"/>
        </w:rPr>
      </w:pPr>
      <w:r w:rsidRPr="009A7BF9">
        <w:rPr>
          <w:rFonts w:ascii="Arial" w:hAnsi="Arial" w:cs="Arial"/>
          <w:sz w:val="22"/>
          <w:szCs w:val="22"/>
          <w:lang w:val="en-PK"/>
        </w:rPr>
        <w:t>Early Help system overview on the Leicestershire County Council web site is properly structured and easy to navigate. The Early Help services are properly described and support provided to families is in detail. The site offers convenient links to other types of services such as family assistance, mental health, and parenting services.</w:t>
      </w:r>
    </w:p>
    <w:p w:rsidR="00117BB2" w:rsidP="00117BB2" w:rsidRDefault="00117BB2" w14:paraId="19E71A90" w14:textId="77777777">
      <w:pPr>
        <w:spacing w:line="360" w:lineRule="auto"/>
        <w:ind w:left="360"/>
        <w:jc w:val="both"/>
        <w:rPr>
          <w:rFonts w:ascii="Arial" w:hAnsi="Arial" w:cs="Arial"/>
          <w:sz w:val="22"/>
          <w:szCs w:val="22"/>
          <w:lang w:val="en-PK"/>
        </w:rPr>
      </w:pPr>
      <w:r w:rsidRPr="00117BB2">
        <w:rPr>
          <w:rFonts w:ascii="Arial" w:hAnsi="Arial" w:cs="Arial"/>
          <w:b/>
          <w:bCs/>
          <w:sz w:val="22"/>
          <w:szCs w:val="22"/>
          <w:lang w:val="en-PK"/>
        </w:rPr>
        <w:t>Strengths</w:t>
      </w:r>
      <w:r w:rsidRPr="00117BB2">
        <w:rPr>
          <w:rFonts w:ascii="Arial" w:hAnsi="Arial" w:cs="Arial"/>
          <w:sz w:val="22"/>
          <w:szCs w:val="22"/>
          <w:lang w:val="en-PK"/>
        </w:rPr>
        <w:t>:</w:t>
      </w:r>
    </w:p>
    <w:p w:rsidR="009A7BF9" w:rsidP="009A7BF9" w:rsidRDefault="009A7BF9" w14:paraId="34A809F4" w14:textId="77777777">
      <w:pPr>
        <w:pStyle w:val="ListParagraph"/>
        <w:numPr>
          <w:ilvl w:val="0"/>
          <w:numId w:val="10"/>
        </w:numPr>
        <w:spacing w:line="360" w:lineRule="auto"/>
        <w:jc w:val="both"/>
        <w:rPr>
          <w:rFonts w:ascii="Arial" w:hAnsi="Arial" w:cs="Arial"/>
          <w:sz w:val="22"/>
          <w:szCs w:val="22"/>
          <w:lang w:val="en-PK"/>
        </w:rPr>
      </w:pPr>
      <w:r w:rsidRPr="009A7BF9">
        <w:rPr>
          <w:rFonts w:ascii="Arial" w:hAnsi="Arial" w:cs="Arial"/>
          <w:sz w:val="22"/>
          <w:szCs w:val="22"/>
          <w:lang w:val="en-PK"/>
        </w:rPr>
        <w:t>The design of the site is clear and simple to navigate, having a specific section devoted to the Early Help services. The data is further divided into distinct subsections and thus families can easily find services they may require.</w:t>
      </w:r>
    </w:p>
    <w:p w:rsidR="009A7BF9" w:rsidP="009A7BF9" w:rsidRDefault="009A7BF9" w14:paraId="1ED04470" w14:textId="77777777">
      <w:pPr>
        <w:pStyle w:val="ListParagraph"/>
        <w:numPr>
          <w:ilvl w:val="0"/>
          <w:numId w:val="10"/>
        </w:numPr>
        <w:spacing w:line="360" w:lineRule="auto"/>
        <w:jc w:val="both"/>
        <w:rPr>
          <w:rFonts w:ascii="Arial" w:hAnsi="Arial" w:cs="Arial"/>
          <w:sz w:val="22"/>
          <w:szCs w:val="22"/>
          <w:lang w:val="en-PK"/>
        </w:rPr>
      </w:pPr>
      <w:r w:rsidRPr="009A7BF9">
        <w:rPr>
          <w:rFonts w:ascii="Arial" w:hAnsi="Arial" w:cs="Arial"/>
          <w:sz w:val="22"/>
          <w:szCs w:val="22"/>
          <w:lang w:val="en-PK"/>
        </w:rPr>
        <w:t>The simplicity of the language used also makes the materials easy to understand by a very large number of people even the poorly literate people.</w:t>
      </w:r>
    </w:p>
    <w:p w:rsidR="009A7BF9" w:rsidP="009A7BF9" w:rsidRDefault="009A7BF9" w14:paraId="599A48C6" w14:textId="77777777">
      <w:pPr>
        <w:pStyle w:val="ListParagraph"/>
        <w:numPr>
          <w:ilvl w:val="0"/>
          <w:numId w:val="10"/>
        </w:numPr>
        <w:spacing w:line="360" w:lineRule="auto"/>
        <w:jc w:val="both"/>
        <w:rPr>
          <w:rFonts w:ascii="Arial" w:hAnsi="Arial" w:cs="Arial"/>
          <w:sz w:val="22"/>
          <w:szCs w:val="22"/>
          <w:lang w:val="en-PK"/>
        </w:rPr>
      </w:pPr>
      <w:r w:rsidRPr="009A7BF9">
        <w:rPr>
          <w:rFonts w:ascii="Arial" w:hAnsi="Arial" w:cs="Arial"/>
          <w:sz w:val="22"/>
          <w:szCs w:val="22"/>
          <w:lang w:val="en-PK"/>
        </w:rPr>
        <w:t>Contact information is well-placed, and the families can easily reach out to the services.</w:t>
      </w:r>
    </w:p>
    <w:p w:rsidRPr="009A7BF9" w:rsidR="009A7BF9" w:rsidP="009A7BF9" w:rsidRDefault="009A7BF9" w14:paraId="2DE5BA42" w14:textId="13B537D0">
      <w:pPr>
        <w:pStyle w:val="ListParagraph"/>
        <w:numPr>
          <w:ilvl w:val="0"/>
          <w:numId w:val="10"/>
        </w:numPr>
        <w:spacing w:line="360" w:lineRule="auto"/>
        <w:jc w:val="both"/>
        <w:rPr>
          <w:rFonts w:ascii="Arial" w:hAnsi="Arial" w:cs="Arial"/>
          <w:sz w:val="22"/>
          <w:szCs w:val="22"/>
          <w:lang w:val="en-PK"/>
        </w:rPr>
      </w:pPr>
      <w:r w:rsidRPr="009A7BF9">
        <w:rPr>
          <w:rFonts w:ascii="Arial" w:hAnsi="Arial" w:cs="Arial"/>
          <w:sz w:val="22"/>
          <w:szCs w:val="22"/>
          <w:lang w:val="en-PK"/>
        </w:rPr>
        <w:t>The site is also interactive like an online referral form whereby the families find it easier to access services</w:t>
      </w:r>
      <w:r w:rsidRPr="00B96925" w:rsidR="00B96925">
        <w:t xml:space="preserve"> </w:t>
      </w:r>
      <w:r w:rsidRPr="00B96925" w:rsidR="00B96925">
        <w:rPr>
          <w:rFonts w:ascii="Arial" w:hAnsi="Arial" w:cs="Arial"/>
          <w:sz w:val="22"/>
          <w:szCs w:val="22"/>
        </w:rPr>
        <w:t>(Smythe et al., 2021)</w:t>
      </w:r>
      <w:r w:rsidRPr="009A7BF9">
        <w:rPr>
          <w:rFonts w:ascii="Arial" w:hAnsi="Arial" w:cs="Arial"/>
          <w:sz w:val="22"/>
          <w:szCs w:val="22"/>
          <w:lang w:val="en-PK"/>
        </w:rPr>
        <w:t>.</w:t>
      </w:r>
    </w:p>
    <w:p w:rsidR="00117BB2" w:rsidP="00117BB2" w:rsidRDefault="00117BB2" w14:paraId="5F55A113" w14:textId="77777777">
      <w:pPr>
        <w:spacing w:line="360" w:lineRule="auto"/>
        <w:ind w:left="360"/>
        <w:jc w:val="both"/>
        <w:rPr>
          <w:rFonts w:ascii="Arial" w:hAnsi="Arial" w:cs="Arial"/>
          <w:sz w:val="22"/>
          <w:szCs w:val="22"/>
          <w:lang w:val="en-PK"/>
        </w:rPr>
      </w:pPr>
      <w:r w:rsidRPr="00117BB2">
        <w:rPr>
          <w:rFonts w:ascii="Arial" w:hAnsi="Arial" w:cs="Arial"/>
          <w:b/>
          <w:bCs/>
          <w:sz w:val="22"/>
          <w:szCs w:val="22"/>
          <w:lang w:val="en-PK"/>
        </w:rPr>
        <w:t>Weaknesses</w:t>
      </w:r>
      <w:r w:rsidRPr="00117BB2">
        <w:rPr>
          <w:rFonts w:ascii="Arial" w:hAnsi="Arial" w:cs="Arial"/>
          <w:sz w:val="22"/>
          <w:szCs w:val="22"/>
          <w:lang w:val="en-PK"/>
        </w:rPr>
        <w:t>:</w:t>
      </w:r>
    </w:p>
    <w:p w:rsidR="009A7BF9" w:rsidP="009A7BF9" w:rsidRDefault="009A7BF9" w14:paraId="37506ACB" w14:textId="77777777">
      <w:pPr>
        <w:pStyle w:val="ListParagraph"/>
        <w:numPr>
          <w:ilvl w:val="0"/>
          <w:numId w:val="11"/>
        </w:numPr>
        <w:spacing w:line="360" w:lineRule="auto"/>
        <w:jc w:val="both"/>
        <w:rPr>
          <w:rFonts w:ascii="Arial" w:hAnsi="Arial" w:cs="Arial"/>
          <w:sz w:val="22"/>
          <w:szCs w:val="22"/>
          <w:lang w:val="en-PK"/>
        </w:rPr>
      </w:pPr>
      <w:r w:rsidRPr="009A7BF9">
        <w:rPr>
          <w:rFonts w:ascii="Arial" w:hAnsi="Arial" w:cs="Arial"/>
          <w:sz w:val="22"/>
          <w:szCs w:val="22"/>
          <w:lang w:val="en-PK"/>
        </w:rPr>
        <w:t>Although the content is quite informative, it would be better to bring more visual representation (through infographics, videos, etc.) to follow the content and improve the perception of learning, especially in low-literate readers and viewers.</w:t>
      </w:r>
    </w:p>
    <w:p w:rsidRPr="009A7BF9" w:rsidR="009A7BF9" w:rsidP="009A7BF9" w:rsidRDefault="009A7BF9" w14:paraId="729F9DA1" w14:textId="17C22BC6">
      <w:pPr>
        <w:pStyle w:val="ListParagraph"/>
        <w:numPr>
          <w:ilvl w:val="0"/>
          <w:numId w:val="11"/>
        </w:numPr>
        <w:spacing w:line="360" w:lineRule="auto"/>
        <w:jc w:val="both"/>
        <w:rPr>
          <w:rFonts w:ascii="Arial" w:hAnsi="Arial" w:cs="Arial"/>
          <w:sz w:val="22"/>
          <w:szCs w:val="22"/>
          <w:lang w:val="en-PK"/>
        </w:rPr>
      </w:pPr>
      <w:r w:rsidRPr="009A7BF9">
        <w:rPr>
          <w:rFonts w:ascii="Arial" w:hAnsi="Arial" w:cs="Arial"/>
          <w:sz w:val="22"/>
          <w:szCs w:val="22"/>
          <w:lang w:val="en-PK"/>
        </w:rPr>
        <w:t>The site can be made better by providing live chat/instant support as it will enable the families to have real-time help whenever necessary</w:t>
      </w:r>
      <w:r w:rsidRPr="00B96925" w:rsidR="00B96925">
        <w:t xml:space="preserve"> </w:t>
      </w:r>
      <w:r w:rsidRPr="00B96925" w:rsidR="00B96925">
        <w:rPr>
          <w:rFonts w:ascii="Arial" w:hAnsi="Arial" w:cs="Arial"/>
          <w:sz w:val="22"/>
          <w:szCs w:val="22"/>
        </w:rPr>
        <w:t>(Berg et al., 2021)</w:t>
      </w:r>
      <w:r w:rsidRPr="009A7BF9">
        <w:rPr>
          <w:rFonts w:ascii="Arial" w:hAnsi="Arial" w:cs="Arial"/>
          <w:sz w:val="22"/>
          <w:szCs w:val="22"/>
          <w:lang w:val="en-PK"/>
        </w:rPr>
        <w:t>.</w:t>
      </w:r>
    </w:p>
    <w:p w:rsidRPr="00117BB2" w:rsidR="00117BB2" w:rsidP="00117BB2" w:rsidRDefault="00117BB2" w14:paraId="37221755" w14:textId="77777777">
      <w:pPr>
        <w:spacing w:line="360" w:lineRule="auto"/>
        <w:ind w:left="360"/>
        <w:jc w:val="both"/>
        <w:rPr>
          <w:rFonts w:ascii="Arial" w:hAnsi="Arial" w:cs="Arial"/>
          <w:b/>
          <w:bCs/>
          <w:sz w:val="22"/>
          <w:szCs w:val="22"/>
          <w:lang w:val="en-PK"/>
        </w:rPr>
      </w:pPr>
      <w:r w:rsidRPr="00117BB2">
        <w:rPr>
          <w:rFonts w:ascii="Arial" w:hAnsi="Arial" w:cs="Arial"/>
          <w:b/>
          <w:bCs/>
          <w:sz w:val="22"/>
          <w:szCs w:val="22"/>
          <w:lang w:val="en-PK"/>
        </w:rPr>
        <w:t>Norfolk County Council Website</w:t>
      </w:r>
    </w:p>
    <w:p w:rsidRPr="00117BB2" w:rsidR="00117BB2" w:rsidP="00B96925" w:rsidRDefault="009A7BF9" w14:paraId="31E5E8BA" w14:textId="70F77722">
      <w:pPr>
        <w:spacing w:line="360" w:lineRule="auto"/>
        <w:ind w:left="720" w:firstLine="360"/>
        <w:jc w:val="both"/>
        <w:rPr>
          <w:rFonts w:ascii="Arial" w:hAnsi="Arial" w:cs="Arial"/>
          <w:sz w:val="22"/>
          <w:szCs w:val="22"/>
          <w:lang w:val="en-PK"/>
        </w:rPr>
      </w:pPr>
      <w:r>
        <w:rPr>
          <w:rFonts w:ascii="Arial" w:hAnsi="Arial" w:cs="Arial"/>
          <w:sz w:val="22"/>
          <w:szCs w:val="22"/>
          <w:lang w:val="en-PK"/>
        </w:rPr>
        <w:t>T</w:t>
      </w:r>
      <w:r w:rsidRPr="009A7BF9">
        <w:rPr>
          <w:rFonts w:ascii="Arial" w:hAnsi="Arial" w:cs="Arial"/>
          <w:sz w:val="22"/>
          <w:szCs w:val="22"/>
          <w:lang w:val="en-PK"/>
        </w:rPr>
        <w:t>he Norfolk County Council site gives much more detailed description to the Early Help system but is somewhat hard to navigate. Early Help section lies behind a list of sub-menus, which might be confusing those who have not used the site before.</w:t>
      </w:r>
    </w:p>
    <w:p w:rsidR="00117BB2" w:rsidP="00117BB2" w:rsidRDefault="00117BB2" w14:paraId="5C1E0109" w14:textId="77777777">
      <w:pPr>
        <w:spacing w:line="360" w:lineRule="auto"/>
        <w:ind w:left="360"/>
        <w:jc w:val="both"/>
        <w:rPr>
          <w:rFonts w:ascii="Arial" w:hAnsi="Arial" w:cs="Arial"/>
          <w:sz w:val="22"/>
          <w:szCs w:val="22"/>
          <w:lang w:val="en-PK"/>
        </w:rPr>
      </w:pPr>
      <w:r w:rsidRPr="00117BB2">
        <w:rPr>
          <w:rFonts w:ascii="Arial" w:hAnsi="Arial" w:cs="Arial"/>
          <w:b/>
          <w:bCs/>
          <w:sz w:val="22"/>
          <w:szCs w:val="22"/>
          <w:lang w:val="en-PK"/>
        </w:rPr>
        <w:t>Strengths</w:t>
      </w:r>
      <w:r w:rsidRPr="00117BB2">
        <w:rPr>
          <w:rFonts w:ascii="Arial" w:hAnsi="Arial" w:cs="Arial"/>
          <w:sz w:val="22"/>
          <w:szCs w:val="22"/>
          <w:lang w:val="en-PK"/>
        </w:rPr>
        <w:t>:</w:t>
      </w:r>
    </w:p>
    <w:p w:rsidR="009A7BF9" w:rsidP="009A7BF9" w:rsidRDefault="009A7BF9" w14:paraId="14E1A2C2" w14:textId="77777777">
      <w:pPr>
        <w:pStyle w:val="ListParagraph"/>
        <w:numPr>
          <w:ilvl w:val="0"/>
          <w:numId w:val="12"/>
        </w:numPr>
        <w:spacing w:line="360" w:lineRule="auto"/>
        <w:jc w:val="both"/>
        <w:rPr>
          <w:rFonts w:ascii="Arial" w:hAnsi="Arial" w:cs="Arial"/>
          <w:sz w:val="22"/>
          <w:szCs w:val="22"/>
          <w:lang w:val="en-PK"/>
        </w:rPr>
      </w:pPr>
      <w:r w:rsidRPr="009A7BF9">
        <w:rPr>
          <w:rFonts w:ascii="Arial" w:hAnsi="Arial" w:cs="Arial"/>
          <w:sz w:val="22"/>
          <w:szCs w:val="22"/>
          <w:lang w:val="en-PK"/>
        </w:rPr>
        <w:t>The site provides a comprehensive description of the services provided by Early Help and links to other support agencies.</w:t>
      </w:r>
    </w:p>
    <w:p w:rsidRPr="009A7BF9" w:rsidR="009A7BF9" w:rsidP="009A7BF9" w:rsidRDefault="009A7BF9" w14:paraId="6FB2B589" w14:textId="64FB39B4">
      <w:pPr>
        <w:pStyle w:val="ListParagraph"/>
        <w:numPr>
          <w:ilvl w:val="0"/>
          <w:numId w:val="12"/>
        </w:numPr>
        <w:spacing w:line="360" w:lineRule="auto"/>
        <w:jc w:val="both"/>
        <w:rPr>
          <w:rFonts w:ascii="Arial" w:hAnsi="Arial" w:cs="Arial"/>
          <w:sz w:val="22"/>
          <w:szCs w:val="22"/>
          <w:lang w:val="en-PK"/>
        </w:rPr>
      </w:pPr>
      <w:r w:rsidRPr="009A7BF9">
        <w:rPr>
          <w:rFonts w:ascii="Arial" w:hAnsi="Arial" w:cs="Arial"/>
          <w:sz w:val="22"/>
          <w:szCs w:val="22"/>
          <w:lang w:val="en-PK"/>
        </w:rPr>
        <w:t>The data is comprehensive, and case studies and examples demonstrate how Early Help has been helpful in supporting the families in Norfolk.</w:t>
      </w:r>
    </w:p>
    <w:p w:rsidR="00117BB2" w:rsidP="00117BB2" w:rsidRDefault="00117BB2" w14:paraId="18EAB9A4" w14:textId="77777777">
      <w:pPr>
        <w:spacing w:line="360" w:lineRule="auto"/>
        <w:ind w:left="360"/>
        <w:jc w:val="both"/>
        <w:rPr>
          <w:rFonts w:ascii="Arial" w:hAnsi="Arial" w:cs="Arial"/>
          <w:sz w:val="22"/>
          <w:szCs w:val="22"/>
          <w:lang w:val="en-PK"/>
        </w:rPr>
      </w:pPr>
      <w:r w:rsidRPr="00117BB2">
        <w:rPr>
          <w:rFonts w:ascii="Arial" w:hAnsi="Arial" w:cs="Arial"/>
          <w:b/>
          <w:bCs/>
          <w:sz w:val="22"/>
          <w:szCs w:val="22"/>
          <w:lang w:val="en-PK"/>
        </w:rPr>
        <w:t>Weaknesses</w:t>
      </w:r>
      <w:r w:rsidRPr="00117BB2">
        <w:rPr>
          <w:rFonts w:ascii="Arial" w:hAnsi="Arial" w:cs="Arial"/>
          <w:sz w:val="22"/>
          <w:szCs w:val="22"/>
          <w:lang w:val="en-PK"/>
        </w:rPr>
        <w:t>:</w:t>
      </w:r>
    </w:p>
    <w:p w:rsidR="009A7BF9" w:rsidP="009A7BF9" w:rsidRDefault="009A7BF9" w14:paraId="241DCB02" w14:textId="77777777">
      <w:pPr>
        <w:pStyle w:val="ListParagraph"/>
        <w:numPr>
          <w:ilvl w:val="0"/>
          <w:numId w:val="13"/>
        </w:numPr>
        <w:spacing w:line="360" w:lineRule="auto"/>
        <w:rPr>
          <w:rFonts w:ascii="Arial" w:hAnsi="Arial" w:cs="Arial"/>
          <w:sz w:val="22"/>
          <w:szCs w:val="22"/>
          <w:lang w:val="en-PK"/>
        </w:rPr>
      </w:pPr>
      <w:r w:rsidRPr="009A7BF9">
        <w:rPr>
          <w:rFonts w:ascii="Arial" w:hAnsi="Arial" w:cs="Arial"/>
          <w:sz w:val="22"/>
          <w:szCs w:val="22"/>
          <w:lang w:val="en-PK"/>
        </w:rPr>
        <w:t>One of the important problems is navigation. The information on Early Help is hidden on several menus thus families will hardly be able to find relevant resources in time.</w:t>
      </w:r>
    </w:p>
    <w:p w:rsidR="009A7BF9" w:rsidP="009A7BF9" w:rsidRDefault="009A7BF9" w14:paraId="252CDDC3" w14:textId="77777777">
      <w:pPr>
        <w:pStyle w:val="ListParagraph"/>
        <w:numPr>
          <w:ilvl w:val="0"/>
          <w:numId w:val="13"/>
        </w:numPr>
        <w:spacing w:line="360" w:lineRule="auto"/>
        <w:rPr>
          <w:rFonts w:ascii="Arial" w:hAnsi="Arial" w:cs="Arial"/>
          <w:sz w:val="22"/>
          <w:szCs w:val="22"/>
          <w:lang w:val="en-PK"/>
        </w:rPr>
      </w:pPr>
      <w:r w:rsidRPr="009A7BF9">
        <w:rPr>
          <w:rFonts w:ascii="Arial" w:hAnsi="Arial" w:cs="Arial"/>
          <w:sz w:val="22"/>
          <w:szCs w:val="22"/>
          <w:lang w:val="en-PK"/>
        </w:rPr>
        <w:t>The site is heavy on texts, little or no use of graphics or multimedia to attract the user. This could render the site not so user friendly particularly to those with learning problems or those who are more visual.</w:t>
      </w:r>
    </w:p>
    <w:p w:rsidRPr="009A7BF9" w:rsidR="009A7BF9" w:rsidP="009A7BF9" w:rsidRDefault="009A7BF9" w14:paraId="71E1FCAF" w14:textId="6A465A9A">
      <w:pPr>
        <w:pStyle w:val="ListParagraph"/>
        <w:numPr>
          <w:ilvl w:val="0"/>
          <w:numId w:val="13"/>
        </w:numPr>
        <w:spacing w:line="360" w:lineRule="auto"/>
        <w:rPr>
          <w:rFonts w:ascii="Arial" w:hAnsi="Arial" w:cs="Arial"/>
          <w:sz w:val="22"/>
          <w:szCs w:val="22"/>
          <w:lang w:val="en-PK"/>
        </w:rPr>
      </w:pPr>
      <w:r w:rsidRPr="009A7BF9">
        <w:rPr>
          <w:rFonts w:ascii="Arial" w:hAnsi="Arial" w:cs="Arial"/>
          <w:sz w:val="22"/>
          <w:szCs w:val="22"/>
          <w:lang w:val="en-PK"/>
        </w:rPr>
        <w:t>It is not very interactive and does not include online forms or live chat options that can assist the users to approach the services directly</w:t>
      </w:r>
      <w:r w:rsidRPr="00B96925" w:rsidR="00B96925">
        <w:t xml:space="preserve"> </w:t>
      </w:r>
      <w:r w:rsidRPr="00B96925" w:rsidR="00B96925">
        <w:rPr>
          <w:rFonts w:ascii="Arial" w:hAnsi="Arial" w:cs="Arial"/>
          <w:sz w:val="22"/>
          <w:szCs w:val="22"/>
        </w:rPr>
        <w:t>(</w:t>
      </w:r>
      <w:proofErr w:type="spellStart"/>
      <w:r w:rsidRPr="00B96925" w:rsidR="00B96925">
        <w:rPr>
          <w:rFonts w:ascii="Arial" w:hAnsi="Arial" w:cs="Arial"/>
          <w:sz w:val="22"/>
          <w:szCs w:val="22"/>
        </w:rPr>
        <w:t>Forthal</w:t>
      </w:r>
      <w:proofErr w:type="spellEnd"/>
      <w:r w:rsidRPr="00B96925" w:rsidR="00B96925">
        <w:rPr>
          <w:rFonts w:ascii="Arial" w:hAnsi="Arial" w:cs="Arial"/>
          <w:sz w:val="22"/>
          <w:szCs w:val="22"/>
        </w:rPr>
        <w:t xml:space="preserve"> et al., 2022)</w:t>
      </w:r>
      <w:r w:rsidRPr="009A7BF9">
        <w:rPr>
          <w:rFonts w:ascii="Arial" w:hAnsi="Arial" w:cs="Arial"/>
          <w:sz w:val="22"/>
          <w:szCs w:val="22"/>
          <w:lang w:val="en-PK"/>
        </w:rPr>
        <w:t>.</w:t>
      </w:r>
    </w:p>
    <w:p w:rsidR="00117BB2" w:rsidP="00117BB2" w:rsidRDefault="00117BB2" w14:paraId="390A3146" w14:textId="77777777">
      <w:pPr>
        <w:spacing w:line="360" w:lineRule="auto"/>
        <w:ind w:left="360"/>
        <w:jc w:val="both"/>
        <w:rPr>
          <w:rFonts w:ascii="Arial" w:hAnsi="Arial" w:cs="Arial"/>
          <w:b/>
          <w:bCs/>
          <w:sz w:val="22"/>
          <w:szCs w:val="22"/>
          <w:lang w:val="en-PK"/>
        </w:rPr>
      </w:pPr>
      <w:r w:rsidRPr="00117BB2">
        <w:rPr>
          <w:rFonts w:ascii="Arial" w:hAnsi="Arial" w:cs="Arial"/>
          <w:b/>
          <w:bCs/>
          <w:sz w:val="22"/>
          <w:szCs w:val="22"/>
          <w:lang w:val="en-PK"/>
        </w:rPr>
        <w:t>Leeds City Council Website</w:t>
      </w:r>
    </w:p>
    <w:p w:rsidRPr="00117BB2" w:rsidR="009A7BF9" w:rsidP="009A7BF9" w:rsidRDefault="009A7BF9" w14:paraId="595CAF74" w14:textId="59F56CB2">
      <w:pPr>
        <w:spacing w:line="360" w:lineRule="auto"/>
        <w:ind w:left="360" w:firstLine="360"/>
        <w:jc w:val="both"/>
        <w:rPr>
          <w:rFonts w:ascii="Arial" w:hAnsi="Arial" w:cs="Arial"/>
          <w:sz w:val="22"/>
          <w:szCs w:val="22"/>
          <w:lang w:val="en-PK"/>
        </w:rPr>
      </w:pPr>
      <w:r w:rsidRPr="009A7BF9">
        <w:rPr>
          <w:rFonts w:ascii="Arial" w:hAnsi="Arial" w:cs="Arial"/>
          <w:sz w:val="22"/>
          <w:szCs w:val="22"/>
          <w:lang w:val="en-PK"/>
        </w:rPr>
        <w:t>The site of the Leeds City Council is structured and contemporary, and the section regarding the Early Help services is well-defined. It contains a list of resources and offers convenient access to information regarding the services it offers.</w:t>
      </w:r>
    </w:p>
    <w:p w:rsidR="00117BB2" w:rsidP="00117BB2" w:rsidRDefault="00117BB2" w14:paraId="48DFAEC5" w14:textId="77777777">
      <w:pPr>
        <w:spacing w:line="360" w:lineRule="auto"/>
        <w:ind w:left="360"/>
        <w:jc w:val="both"/>
        <w:rPr>
          <w:rFonts w:ascii="Arial" w:hAnsi="Arial" w:cs="Arial"/>
          <w:sz w:val="22"/>
          <w:szCs w:val="22"/>
          <w:lang w:val="en-PK"/>
        </w:rPr>
      </w:pPr>
      <w:r w:rsidRPr="00117BB2">
        <w:rPr>
          <w:rFonts w:ascii="Arial" w:hAnsi="Arial" w:cs="Arial"/>
          <w:b/>
          <w:bCs/>
          <w:sz w:val="22"/>
          <w:szCs w:val="22"/>
          <w:lang w:val="en-PK"/>
        </w:rPr>
        <w:t>Strengths</w:t>
      </w:r>
      <w:r w:rsidRPr="00117BB2">
        <w:rPr>
          <w:rFonts w:ascii="Arial" w:hAnsi="Arial" w:cs="Arial"/>
          <w:sz w:val="22"/>
          <w:szCs w:val="22"/>
          <w:lang w:val="en-PK"/>
        </w:rPr>
        <w:t>:</w:t>
      </w:r>
    </w:p>
    <w:p w:rsidR="009A7BF9" w:rsidP="009A7BF9" w:rsidRDefault="009A7BF9" w14:paraId="2AB4B593" w14:textId="77777777">
      <w:pPr>
        <w:pStyle w:val="ListParagraph"/>
        <w:numPr>
          <w:ilvl w:val="0"/>
          <w:numId w:val="14"/>
        </w:numPr>
        <w:spacing w:line="360" w:lineRule="auto"/>
        <w:jc w:val="both"/>
        <w:rPr>
          <w:rFonts w:ascii="Arial" w:hAnsi="Arial" w:cs="Arial"/>
          <w:sz w:val="22"/>
          <w:szCs w:val="22"/>
          <w:lang w:val="en-PK"/>
        </w:rPr>
      </w:pPr>
      <w:r w:rsidRPr="009A7BF9">
        <w:rPr>
          <w:rFonts w:ascii="Arial" w:hAnsi="Arial" w:cs="Arial"/>
          <w:sz w:val="22"/>
          <w:szCs w:val="22"/>
          <w:lang w:val="en-PK"/>
        </w:rPr>
        <w:t>The page is well designed and modern and has a good layout and structure such that users are able to spot the required information with ease.</w:t>
      </w:r>
    </w:p>
    <w:p w:rsidR="009A7BF9" w:rsidP="009A7BF9" w:rsidRDefault="009A7BF9" w14:paraId="1B701884" w14:textId="77777777">
      <w:pPr>
        <w:pStyle w:val="ListParagraph"/>
        <w:numPr>
          <w:ilvl w:val="0"/>
          <w:numId w:val="14"/>
        </w:numPr>
        <w:spacing w:line="360" w:lineRule="auto"/>
        <w:jc w:val="both"/>
        <w:rPr>
          <w:rFonts w:ascii="Arial" w:hAnsi="Arial" w:cs="Arial"/>
          <w:sz w:val="22"/>
          <w:szCs w:val="22"/>
          <w:lang w:val="en-PK"/>
        </w:rPr>
      </w:pPr>
      <w:r w:rsidRPr="009A7BF9">
        <w:rPr>
          <w:rFonts w:ascii="Arial" w:hAnsi="Arial" w:cs="Arial"/>
          <w:sz w:val="22"/>
          <w:szCs w:val="22"/>
          <w:lang w:val="en-PK"/>
        </w:rPr>
        <w:t>Individual services provided under the Early Help are also described in detail, and some helpful downloadable files, including referral forms and eligibility requirements are also given.</w:t>
      </w:r>
    </w:p>
    <w:p w:rsidRPr="009A7BF9" w:rsidR="009A7BF9" w:rsidP="009A7BF9" w:rsidRDefault="009A7BF9" w14:paraId="204B2DF9" w14:textId="027346CF">
      <w:pPr>
        <w:pStyle w:val="ListParagraph"/>
        <w:numPr>
          <w:ilvl w:val="0"/>
          <w:numId w:val="14"/>
        </w:numPr>
        <w:spacing w:line="360" w:lineRule="auto"/>
        <w:jc w:val="both"/>
        <w:rPr>
          <w:rFonts w:ascii="Arial" w:hAnsi="Arial" w:cs="Arial"/>
          <w:sz w:val="22"/>
          <w:szCs w:val="22"/>
          <w:lang w:val="en-PK"/>
        </w:rPr>
      </w:pPr>
      <w:r w:rsidRPr="009A7BF9">
        <w:rPr>
          <w:rFonts w:ascii="Arial" w:hAnsi="Arial" w:cs="Arial"/>
          <w:sz w:val="22"/>
          <w:szCs w:val="22"/>
          <w:lang w:val="en-PK"/>
        </w:rPr>
        <w:t>The navigation of the site is easy and the links to major services are fast.</w:t>
      </w:r>
    </w:p>
    <w:p w:rsidR="00117BB2" w:rsidP="00117BB2" w:rsidRDefault="00117BB2" w14:paraId="45E76EDB" w14:textId="77777777">
      <w:pPr>
        <w:spacing w:line="360" w:lineRule="auto"/>
        <w:ind w:left="360"/>
        <w:jc w:val="both"/>
        <w:rPr>
          <w:rFonts w:ascii="Arial" w:hAnsi="Arial" w:cs="Arial"/>
          <w:sz w:val="22"/>
          <w:szCs w:val="22"/>
          <w:lang w:val="en-PK"/>
        </w:rPr>
      </w:pPr>
      <w:r w:rsidRPr="00117BB2">
        <w:rPr>
          <w:rFonts w:ascii="Arial" w:hAnsi="Arial" w:cs="Arial"/>
          <w:b/>
          <w:bCs/>
          <w:sz w:val="22"/>
          <w:szCs w:val="22"/>
          <w:lang w:val="en-PK"/>
        </w:rPr>
        <w:t>Weaknesses</w:t>
      </w:r>
      <w:r w:rsidRPr="00117BB2">
        <w:rPr>
          <w:rFonts w:ascii="Arial" w:hAnsi="Arial" w:cs="Arial"/>
          <w:sz w:val="22"/>
          <w:szCs w:val="22"/>
          <w:lang w:val="en-PK"/>
        </w:rPr>
        <w:t>:</w:t>
      </w:r>
    </w:p>
    <w:p w:rsidR="009A7BF9" w:rsidP="009A7BF9" w:rsidRDefault="009A7BF9" w14:paraId="31D478AF" w14:textId="7039CA14">
      <w:pPr>
        <w:pStyle w:val="ListParagraph"/>
        <w:numPr>
          <w:ilvl w:val="0"/>
          <w:numId w:val="15"/>
        </w:numPr>
        <w:spacing w:line="360" w:lineRule="auto"/>
        <w:jc w:val="both"/>
        <w:rPr>
          <w:rFonts w:ascii="Arial" w:hAnsi="Arial" w:cs="Arial"/>
          <w:sz w:val="22"/>
          <w:szCs w:val="22"/>
          <w:lang w:val="en-PK"/>
        </w:rPr>
      </w:pPr>
      <w:r w:rsidRPr="009A7BF9">
        <w:rPr>
          <w:rFonts w:ascii="Arial" w:hAnsi="Arial" w:cs="Arial"/>
          <w:sz w:val="22"/>
          <w:szCs w:val="22"/>
          <w:lang w:val="en-PK"/>
        </w:rPr>
        <w:t>Although the site has a good design, it cannot be defined as interactive because, there is no online form or live chat that could assist a family in an immediate manner</w:t>
      </w:r>
      <w:r w:rsidRPr="00B96925" w:rsidR="00B96925">
        <w:t xml:space="preserve"> </w:t>
      </w:r>
      <w:r w:rsidRPr="00B96925" w:rsidR="00B96925">
        <w:rPr>
          <w:rFonts w:ascii="Arial" w:hAnsi="Arial" w:cs="Arial"/>
          <w:sz w:val="22"/>
          <w:szCs w:val="22"/>
        </w:rPr>
        <w:t>(</w:t>
      </w:r>
      <w:proofErr w:type="spellStart"/>
      <w:r w:rsidRPr="00B96925" w:rsidR="00B96925">
        <w:rPr>
          <w:rFonts w:ascii="Arial" w:hAnsi="Arial" w:cs="Arial"/>
          <w:sz w:val="22"/>
          <w:szCs w:val="22"/>
        </w:rPr>
        <w:t>Sapiets</w:t>
      </w:r>
      <w:proofErr w:type="spellEnd"/>
      <w:r w:rsidRPr="00B96925" w:rsidR="00B96925">
        <w:rPr>
          <w:rFonts w:ascii="Arial" w:hAnsi="Arial" w:cs="Arial"/>
          <w:sz w:val="22"/>
          <w:szCs w:val="22"/>
        </w:rPr>
        <w:t xml:space="preserve"> et al., 2021)</w:t>
      </w:r>
      <w:r w:rsidRPr="009A7BF9">
        <w:rPr>
          <w:rFonts w:ascii="Arial" w:hAnsi="Arial" w:cs="Arial"/>
          <w:sz w:val="22"/>
          <w:szCs w:val="22"/>
          <w:lang w:val="en-PK"/>
        </w:rPr>
        <w:t>.</w:t>
      </w:r>
    </w:p>
    <w:p w:rsidRPr="009A7BF9" w:rsidR="009A7BF9" w:rsidP="009A7BF9" w:rsidRDefault="009A7BF9" w14:paraId="078F7723" w14:textId="62AA142A">
      <w:pPr>
        <w:pStyle w:val="ListParagraph"/>
        <w:numPr>
          <w:ilvl w:val="0"/>
          <w:numId w:val="15"/>
        </w:numPr>
        <w:spacing w:line="360" w:lineRule="auto"/>
        <w:jc w:val="both"/>
        <w:rPr>
          <w:rFonts w:ascii="Arial" w:hAnsi="Arial" w:cs="Arial"/>
          <w:sz w:val="22"/>
          <w:szCs w:val="22"/>
          <w:lang w:val="en-PK"/>
        </w:rPr>
      </w:pPr>
      <w:r w:rsidRPr="009A7BF9">
        <w:rPr>
          <w:rFonts w:ascii="Arial" w:hAnsi="Arial" w:cs="Arial"/>
          <w:sz w:val="22"/>
          <w:szCs w:val="22"/>
          <w:lang w:val="en-PK"/>
        </w:rPr>
        <w:t>The content can be made more relatable and more influential with the help of case studies or testimonials of people who have experienced the Early Help services.</w:t>
      </w:r>
    </w:p>
    <w:p w:rsidRPr="00117BB2" w:rsidR="00117BB2" w:rsidP="00117BB2" w:rsidRDefault="00117BB2" w14:paraId="26181D15" w14:textId="3F269ADB">
      <w:pPr>
        <w:spacing w:line="360" w:lineRule="auto"/>
        <w:ind w:left="360"/>
        <w:jc w:val="both"/>
        <w:rPr>
          <w:rFonts w:ascii="Arial" w:hAnsi="Arial" w:cs="Arial"/>
          <w:b/>
          <w:bCs/>
          <w:sz w:val="22"/>
          <w:szCs w:val="22"/>
          <w:lang w:val="en-PK"/>
        </w:rPr>
      </w:pPr>
      <w:r w:rsidRPr="00117BB2">
        <w:rPr>
          <w:rFonts w:ascii="Arial" w:hAnsi="Arial" w:cs="Arial"/>
          <w:b/>
          <w:bCs/>
          <w:sz w:val="22"/>
          <w:szCs w:val="22"/>
          <w:lang w:val="en-PK"/>
        </w:rPr>
        <w:t xml:space="preserve">Comparative Analysis </w:t>
      </w:r>
    </w:p>
    <w:p w:rsidRPr="009A7BF9" w:rsidR="009A7BF9" w:rsidP="009A7BF9" w:rsidRDefault="009A7BF9" w14:paraId="408FA758" w14:textId="649ACAC4">
      <w:pPr>
        <w:spacing w:line="360" w:lineRule="auto"/>
        <w:ind w:left="360" w:firstLine="360"/>
        <w:jc w:val="both"/>
        <w:rPr>
          <w:rFonts w:ascii="Arial" w:hAnsi="Arial" w:cs="Arial"/>
          <w:sz w:val="22"/>
          <w:szCs w:val="22"/>
          <w:lang w:val="en-PK"/>
        </w:rPr>
      </w:pPr>
      <w:r w:rsidRPr="009A7BF9">
        <w:rPr>
          <w:rFonts w:ascii="Arial" w:hAnsi="Arial" w:cs="Arial"/>
          <w:sz w:val="22"/>
          <w:szCs w:val="22"/>
          <w:lang w:val="en-PK"/>
        </w:rPr>
        <w:t>Comparing the site of Leicestershire, Norfolk and Leeds, some important differences may be noticed in the aspects of usability, and accessibility.</w:t>
      </w:r>
      <w:r>
        <w:rPr>
          <w:rFonts w:ascii="Arial" w:hAnsi="Arial" w:cs="Arial"/>
          <w:sz w:val="22"/>
          <w:szCs w:val="22"/>
          <w:lang w:val="en-PK"/>
        </w:rPr>
        <w:t xml:space="preserve"> </w:t>
      </w:r>
      <w:r w:rsidRPr="009A7BF9">
        <w:rPr>
          <w:rFonts w:ascii="Arial" w:hAnsi="Arial" w:cs="Arial"/>
          <w:sz w:val="22"/>
          <w:szCs w:val="22"/>
          <w:lang w:val="en-PK"/>
        </w:rPr>
        <w:t>Leicestershire County Council has the easiest experience. Its simple design and simple links to navigate through make it the most straightforward of the three. The site has clear descriptions of the Early Help services and contact details are also very easy to get. Nonetheless, it could also be improved with the visual aid and live chat as the form of instant assistance.</w:t>
      </w:r>
      <w:r>
        <w:rPr>
          <w:rFonts w:ascii="Arial" w:hAnsi="Arial" w:cs="Arial"/>
          <w:sz w:val="22"/>
          <w:szCs w:val="22"/>
          <w:lang w:val="en-PK"/>
        </w:rPr>
        <w:t xml:space="preserve"> </w:t>
      </w:r>
      <w:r w:rsidRPr="009A7BF9">
        <w:rPr>
          <w:rFonts w:ascii="Arial" w:hAnsi="Arial" w:cs="Arial"/>
          <w:sz w:val="22"/>
          <w:szCs w:val="22"/>
          <w:lang w:val="en-PK"/>
        </w:rPr>
        <w:t>The Leeds City Council is also doing well in the areas of organization and clarity. The design is modern and the information is well arranged to ensure the families access the relevant information easily. Nevertheless, as in the case of Leicestershire, the site does not have interactive tools such as live chat that will make this site more accessible and interactive.</w:t>
      </w:r>
    </w:p>
    <w:p w:rsidRPr="00117BB2" w:rsidR="00117BB2" w:rsidP="00B96925" w:rsidRDefault="009A7BF9" w14:paraId="7093CF79" w14:textId="3885C6AB">
      <w:pPr>
        <w:spacing w:line="360" w:lineRule="auto"/>
        <w:ind w:left="360" w:firstLine="360"/>
        <w:jc w:val="both"/>
        <w:rPr>
          <w:rFonts w:ascii="Arial" w:hAnsi="Arial" w:cs="Arial"/>
          <w:sz w:val="22"/>
          <w:szCs w:val="22"/>
          <w:lang w:val="en-PK"/>
        </w:rPr>
      </w:pPr>
      <w:r w:rsidRPr="009A7BF9">
        <w:rPr>
          <w:rFonts w:ascii="Arial" w:hAnsi="Arial" w:cs="Arial"/>
          <w:sz w:val="22"/>
          <w:szCs w:val="22"/>
          <w:lang w:val="en-PK"/>
        </w:rPr>
        <w:t>Norfolk County Council is less user-friendly in design, although it provides all the information that one needs. The Early Help section is not easily accessible, and the site is not user-friendly as it is heavy in text, and, therefore, users cannot be compelled to search the entire content. The inability to engage and to make the site attractive also contributes to the limitation of the effectiveness of the site.</w:t>
      </w:r>
      <w:r>
        <w:rPr>
          <w:rFonts w:ascii="Arial" w:hAnsi="Arial" w:cs="Arial"/>
          <w:sz w:val="22"/>
          <w:szCs w:val="22"/>
          <w:lang w:val="en-PK"/>
        </w:rPr>
        <w:t xml:space="preserve"> </w:t>
      </w:r>
      <w:r w:rsidRPr="009A7BF9">
        <w:rPr>
          <w:rFonts w:ascii="Arial" w:hAnsi="Arial" w:cs="Arial"/>
          <w:sz w:val="22"/>
          <w:szCs w:val="22"/>
          <w:lang w:val="en-PK"/>
        </w:rPr>
        <w:t>Finally, although all three websites of local authority offer the information on Early Help services, Leicestershire County Council is the most successful in its terms of communicating this information. It has a well-structured and easy-to-find website that is available to families who need to be supported.</w:t>
      </w:r>
    </w:p>
    <w:p w:rsidR="00117BB2" w:rsidP="00117BB2" w:rsidRDefault="00117BB2" w14:paraId="718B474B" w14:textId="2E102B23">
      <w:pPr>
        <w:spacing w:line="360" w:lineRule="auto"/>
        <w:ind w:left="360"/>
        <w:jc w:val="both"/>
        <w:rPr>
          <w:rFonts w:ascii="Arial" w:hAnsi="Arial" w:cs="Arial"/>
          <w:b/>
          <w:bCs/>
          <w:sz w:val="22"/>
          <w:szCs w:val="22"/>
          <w:lang w:val="en-PK"/>
        </w:rPr>
      </w:pPr>
      <w:r w:rsidRPr="00117BB2">
        <w:rPr>
          <w:rFonts w:ascii="Arial" w:hAnsi="Arial" w:cs="Arial"/>
          <w:b/>
          <w:bCs/>
          <w:sz w:val="22"/>
          <w:szCs w:val="22"/>
          <w:lang w:val="en-PK"/>
        </w:rPr>
        <w:t>Conclusion and Recommendations</w:t>
      </w:r>
    </w:p>
    <w:p w:rsidRPr="00117BB2" w:rsidR="009A7BF9" w:rsidP="00B96925" w:rsidRDefault="009A7BF9" w14:paraId="4C8FF524" w14:textId="41961AA2">
      <w:pPr>
        <w:spacing w:line="360" w:lineRule="auto"/>
        <w:ind w:left="360" w:firstLine="360"/>
        <w:jc w:val="both"/>
        <w:rPr>
          <w:rFonts w:ascii="Arial" w:hAnsi="Arial" w:cs="Arial"/>
          <w:sz w:val="22"/>
          <w:szCs w:val="22"/>
          <w:lang w:val="en-PK"/>
        </w:rPr>
      </w:pPr>
      <w:r w:rsidRPr="009A7BF9">
        <w:rPr>
          <w:rFonts w:ascii="Arial" w:hAnsi="Arial" w:cs="Arial"/>
          <w:sz w:val="22"/>
          <w:szCs w:val="22"/>
          <w:lang w:val="en-PK"/>
        </w:rPr>
        <w:t>Finally, it is possible to discuss the websites of Leicestershire, Norfolk, and Leeds that contain valuable information about Early Help services. Nevertheless, the manner in which this information is given out and the aspect of how readily such information can be obtained by the families vary greatly.</w:t>
      </w:r>
      <w:r>
        <w:rPr>
          <w:rFonts w:ascii="Arial" w:hAnsi="Arial" w:cs="Arial"/>
          <w:sz w:val="22"/>
          <w:szCs w:val="22"/>
          <w:lang w:val="en-PK"/>
        </w:rPr>
        <w:t xml:space="preserve"> </w:t>
      </w:r>
      <w:r w:rsidRPr="009A7BF9">
        <w:rPr>
          <w:rFonts w:ascii="Arial" w:hAnsi="Arial" w:cs="Arial"/>
          <w:sz w:val="22"/>
          <w:szCs w:val="22"/>
          <w:lang w:val="en-PK"/>
        </w:rPr>
        <w:t>The best communication of Early Help services available is the one of the Leicestershire County Council, as its layout is clear, language is straight forward with contact details easily accessed. Leeds City Council is properly laid out as well though it can have ways of enhancing the site by adding interactive services such as live chat. Norfolk County Council needs working on the navigation as well as information presentation.</w:t>
      </w:r>
    </w:p>
    <w:p w:rsidR="00117BB2" w:rsidP="00117BB2" w:rsidRDefault="00117BB2" w14:paraId="7FA2AB8A" w14:textId="77777777">
      <w:pPr>
        <w:spacing w:line="360" w:lineRule="auto"/>
        <w:ind w:left="360"/>
        <w:jc w:val="both"/>
        <w:rPr>
          <w:rFonts w:ascii="Arial" w:hAnsi="Arial" w:cs="Arial"/>
          <w:sz w:val="22"/>
          <w:szCs w:val="22"/>
          <w:lang w:val="en-PK"/>
        </w:rPr>
      </w:pPr>
      <w:r w:rsidRPr="00117BB2">
        <w:rPr>
          <w:rFonts w:ascii="Arial" w:hAnsi="Arial" w:cs="Arial"/>
          <w:b/>
          <w:bCs/>
          <w:sz w:val="22"/>
          <w:szCs w:val="22"/>
          <w:lang w:val="en-PK"/>
        </w:rPr>
        <w:t>Recommendations</w:t>
      </w:r>
      <w:r w:rsidRPr="00117BB2">
        <w:rPr>
          <w:rFonts w:ascii="Arial" w:hAnsi="Arial" w:cs="Arial"/>
          <w:sz w:val="22"/>
          <w:szCs w:val="22"/>
          <w:lang w:val="en-PK"/>
        </w:rPr>
        <w:t>:</w:t>
      </w:r>
    </w:p>
    <w:p w:rsidR="009A7BF9" w:rsidP="009A7BF9" w:rsidRDefault="009A7BF9" w14:paraId="153CB77D" w14:textId="77777777">
      <w:pPr>
        <w:pStyle w:val="ListParagraph"/>
        <w:numPr>
          <w:ilvl w:val="0"/>
          <w:numId w:val="16"/>
        </w:numPr>
        <w:spacing w:line="360" w:lineRule="auto"/>
        <w:jc w:val="both"/>
        <w:rPr>
          <w:rFonts w:ascii="Arial" w:hAnsi="Arial" w:cs="Arial"/>
          <w:sz w:val="22"/>
          <w:szCs w:val="22"/>
          <w:lang w:val="en-PK"/>
        </w:rPr>
      </w:pPr>
      <w:r w:rsidRPr="009A7BF9">
        <w:rPr>
          <w:rFonts w:ascii="Arial" w:hAnsi="Arial" w:cs="Arial"/>
          <w:sz w:val="22"/>
          <w:szCs w:val="22"/>
          <w:lang w:val="en-PK"/>
        </w:rPr>
        <w:t>Make all websites easy to navigate, so that the families can easily access the information on the Early Help that is required.</w:t>
      </w:r>
    </w:p>
    <w:p w:rsidR="009A7BF9" w:rsidP="009A7BF9" w:rsidRDefault="009A7BF9" w14:paraId="1FEA5999" w14:textId="77777777">
      <w:pPr>
        <w:pStyle w:val="ListParagraph"/>
        <w:numPr>
          <w:ilvl w:val="0"/>
          <w:numId w:val="16"/>
        </w:numPr>
        <w:spacing w:line="360" w:lineRule="auto"/>
        <w:jc w:val="both"/>
        <w:rPr>
          <w:rFonts w:ascii="Arial" w:hAnsi="Arial" w:cs="Arial"/>
          <w:sz w:val="22"/>
          <w:szCs w:val="22"/>
          <w:lang w:val="en-PK"/>
        </w:rPr>
      </w:pPr>
      <w:r w:rsidRPr="009A7BF9">
        <w:rPr>
          <w:rFonts w:ascii="Arial" w:hAnsi="Arial" w:cs="Arial"/>
          <w:sz w:val="22"/>
          <w:szCs w:val="22"/>
          <w:lang w:val="en-PK"/>
        </w:rPr>
        <w:t>Make his visual material (videos, infographics, and case studies) less informative and more entertaining.</w:t>
      </w:r>
    </w:p>
    <w:p w:rsidR="009A7BF9" w:rsidP="009A7BF9" w:rsidRDefault="009A7BF9" w14:paraId="4FF1609B" w14:textId="77777777">
      <w:pPr>
        <w:pStyle w:val="ListParagraph"/>
        <w:numPr>
          <w:ilvl w:val="0"/>
          <w:numId w:val="16"/>
        </w:numPr>
        <w:spacing w:line="360" w:lineRule="auto"/>
        <w:jc w:val="both"/>
        <w:rPr>
          <w:rFonts w:ascii="Arial" w:hAnsi="Arial" w:cs="Arial"/>
          <w:sz w:val="22"/>
          <w:szCs w:val="22"/>
          <w:lang w:val="en-PK"/>
        </w:rPr>
      </w:pPr>
      <w:r w:rsidRPr="009A7BF9">
        <w:rPr>
          <w:rFonts w:ascii="Arial" w:hAnsi="Arial" w:cs="Arial"/>
          <w:sz w:val="22"/>
          <w:szCs w:val="22"/>
          <w:lang w:val="en-PK"/>
        </w:rPr>
        <w:t>Include live chat or web forms to enable ease of contact with services by the family members.</w:t>
      </w:r>
    </w:p>
    <w:p w:rsidRPr="009A7BF9" w:rsidR="009A7BF9" w:rsidP="009A7BF9" w:rsidRDefault="009A7BF9" w14:paraId="21A92534" w14:textId="44962AB6">
      <w:pPr>
        <w:pStyle w:val="ListParagraph"/>
        <w:numPr>
          <w:ilvl w:val="0"/>
          <w:numId w:val="16"/>
        </w:numPr>
        <w:spacing w:line="360" w:lineRule="auto"/>
        <w:jc w:val="both"/>
        <w:rPr>
          <w:rFonts w:ascii="Arial" w:hAnsi="Arial" w:cs="Arial"/>
          <w:sz w:val="22"/>
          <w:szCs w:val="22"/>
          <w:lang w:val="en-PK"/>
        </w:rPr>
      </w:pPr>
      <w:r w:rsidRPr="009A7BF9">
        <w:rPr>
          <w:rFonts w:ascii="Arial" w:hAnsi="Arial" w:cs="Arial"/>
          <w:sz w:val="22"/>
          <w:szCs w:val="22"/>
          <w:lang w:val="en-PK"/>
        </w:rPr>
        <w:t>Enhance the accessibility through less complex language and provision of tools in more options, including downloadable manuals or audio descriptions.</w:t>
      </w:r>
    </w:p>
    <w:p w:rsidRPr="00117BB2" w:rsidR="009A7BF9" w:rsidP="009A7BF9" w:rsidRDefault="009A7BF9" w14:paraId="5785519A" w14:textId="7104FD73">
      <w:pPr>
        <w:spacing w:line="360" w:lineRule="auto"/>
        <w:ind w:left="360"/>
        <w:jc w:val="both"/>
        <w:rPr>
          <w:rFonts w:ascii="Arial" w:hAnsi="Arial" w:cs="Arial"/>
          <w:sz w:val="22"/>
          <w:szCs w:val="22"/>
          <w:lang w:val="en-PK"/>
        </w:rPr>
      </w:pPr>
      <w:r w:rsidRPr="009A7BF9">
        <w:rPr>
          <w:rFonts w:ascii="Arial" w:hAnsi="Arial" w:cs="Arial"/>
          <w:sz w:val="22"/>
          <w:szCs w:val="22"/>
          <w:lang w:val="en-PK"/>
        </w:rPr>
        <w:t>With these recommendations, local authorities would enhance the suitability of their websites and simplify the process of families using the services available in the Early Help system.</w:t>
      </w:r>
    </w:p>
    <w:p w:rsidR="00B96925" w:rsidRDefault="00B96925" w14:paraId="472BD2FC" w14:textId="77777777">
      <w:pPr>
        <w:rPr>
          <w:rFonts w:ascii="Arial" w:hAnsi="Arial" w:cs="Arial"/>
          <w:b/>
          <w:bCs/>
          <w:sz w:val="22"/>
          <w:szCs w:val="22"/>
          <w:lang w:val="en-PK"/>
        </w:rPr>
      </w:pPr>
      <w:r>
        <w:rPr>
          <w:rFonts w:ascii="Arial" w:hAnsi="Arial" w:cs="Arial"/>
          <w:b/>
          <w:bCs/>
          <w:sz w:val="22"/>
          <w:szCs w:val="22"/>
          <w:lang w:val="en-PK"/>
        </w:rPr>
        <w:br w:type="page"/>
      </w:r>
    </w:p>
    <w:p w:rsidRPr="00B96925" w:rsidR="00B96925" w:rsidP="00B96925" w:rsidRDefault="00117BB2" w14:paraId="2DEBC427" w14:textId="63211E62">
      <w:pPr>
        <w:spacing w:line="360" w:lineRule="auto"/>
        <w:ind w:left="360"/>
        <w:jc w:val="center"/>
        <w:rPr>
          <w:rFonts w:ascii="Arial" w:hAnsi="Arial" w:cs="Arial"/>
          <w:b/>
          <w:bCs/>
          <w:sz w:val="22"/>
          <w:szCs w:val="22"/>
          <w:lang w:val="en-PK"/>
        </w:rPr>
      </w:pPr>
      <w:r w:rsidRPr="00117BB2">
        <w:rPr>
          <w:rFonts w:ascii="Arial" w:hAnsi="Arial" w:cs="Arial"/>
          <w:b/>
          <w:bCs/>
          <w:sz w:val="22"/>
          <w:szCs w:val="22"/>
          <w:lang w:val="en-PK"/>
        </w:rPr>
        <w:t>References</w:t>
      </w:r>
    </w:p>
    <w:p w:rsidRPr="00B96925" w:rsidR="00B96925" w:rsidP="00B96925" w:rsidRDefault="00B96925" w14:paraId="48D0DBD1" w14:textId="77777777">
      <w:pPr>
        <w:spacing w:line="360" w:lineRule="auto"/>
        <w:ind w:left="1077" w:hanging="720"/>
        <w:jc w:val="both"/>
        <w:rPr>
          <w:rFonts w:ascii="Arial" w:hAnsi="Arial" w:cs="Arial"/>
          <w:sz w:val="22"/>
          <w:szCs w:val="22"/>
          <w:lang w:val="en-PK"/>
        </w:rPr>
      </w:pPr>
      <w:r w:rsidRPr="00B96925">
        <w:rPr>
          <w:rFonts w:ascii="Arial" w:hAnsi="Arial" w:cs="Arial"/>
          <w:sz w:val="22"/>
          <w:szCs w:val="22"/>
          <w:lang w:val="en-PK"/>
        </w:rPr>
        <w:t xml:space="preserve">Norfolk County Council. (2025). </w:t>
      </w:r>
      <w:r w:rsidRPr="00B96925">
        <w:rPr>
          <w:rFonts w:ascii="Arial" w:hAnsi="Arial" w:cs="Arial"/>
          <w:i/>
          <w:iCs/>
          <w:sz w:val="22"/>
          <w:szCs w:val="22"/>
          <w:lang w:val="en-PK"/>
        </w:rPr>
        <w:t>Early Help for Families</w:t>
      </w:r>
      <w:r w:rsidRPr="00B96925">
        <w:rPr>
          <w:rFonts w:ascii="Arial" w:hAnsi="Arial" w:cs="Arial"/>
          <w:sz w:val="22"/>
          <w:szCs w:val="22"/>
          <w:lang w:val="en-PK"/>
        </w:rPr>
        <w:t xml:space="preserve">. Available at: </w:t>
      </w:r>
      <w:hyperlink w:tgtFrame="_new" w:history="1" r:id="rId7">
        <w:r w:rsidRPr="00B96925">
          <w:rPr>
            <w:rStyle w:val="Hyperlink"/>
            <w:rFonts w:ascii="Arial" w:hAnsi="Arial" w:cs="Arial"/>
            <w:sz w:val="22"/>
            <w:szCs w:val="22"/>
            <w:lang w:val="en-PK"/>
          </w:rPr>
          <w:t>https://www.norfolk.gov.uk/</w:t>
        </w:r>
      </w:hyperlink>
      <w:r w:rsidRPr="00B96925">
        <w:rPr>
          <w:rFonts w:ascii="Arial" w:hAnsi="Arial" w:cs="Arial"/>
          <w:sz w:val="22"/>
          <w:szCs w:val="22"/>
          <w:lang w:val="en-PK"/>
        </w:rPr>
        <w:t xml:space="preserve"> [Accessed 5 November 2025].</w:t>
      </w:r>
    </w:p>
    <w:p w:rsidRPr="00B96925" w:rsidR="00B96925" w:rsidP="00B96925" w:rsidRDefault="00B96925" w14:paraId="0F8DBDFD" w14:textId="77777777">
      <w:pPr>
        <w:spacing w:line="360" w:lineRule="auto"/>
        <w:ind w:left="1077" w:hanging="720"/>
        <w:jc w:val="both"/>
        <w:rPr>
          <w:rFonts w:ascii="Arial" w:hAnsi="Arial" w:cs="Arial"/>
          <w:sz w:val="22"/>
          <w:szCs w:val="22"/>
          <w:lang w:val="en-PK"/>
        </w:rPr>
      </w:pPr>
      <w:r w:rsidRPr="00B96925">
        <w:rPr>
          <w:rFonts w:ascii="Arial" w:hAnsi="Arial" w:cs="Arial"/>
          <w:sz w:val="22"/>
          <w:szCs w:val="22"/>
          <w:lang w:val="en-PK"/>
        </w:rPr>
        <w:t xml:space="preserve">Wang, L., Norman, I., Xiao, T., Li, Y. and Leamy, M., 2021. Psychological first aid training: a scoping review of its application, outcomes and implementation. </w:t>
      </w:r>
      <w:r w:rsidRPr="00B96925">
        <w:rPr>
          <w:rFonts w:ascii="Arial" w:hAnsi="Arial" w:cs="Arial"/>
          <w:i/>
          <w:iCs/>
          <w:sz w:val="22"/>
          <w:szCs w:val="22"/>
          <w:lang w:val="en-PK"/>
        </w:rPr>
        <w:t>International Journal of Environmental Research and Public Health</w:t>
      </w:r>
      <w:r w:rsidRPr="00B96925">
        <w:rPr>
          <w:rFonts w:ascii="Arial" w:hAnsi="Arial" w:cs="Arial"/>
          <w:sz w:val="22"/>
          <w:szCs w:val="22"/>
          <w:lang w:val="en-PK"/>
        </w:rPr>
        <w:t xml:space="preserve">, 18(9), p.4594. Available at: </w:t>
      </w:r>
      <w:hyperlink w:tgtFrame="_new" w:history="1" r:id="rId8">
        <w:r w:rsidRPr="00B96925">
          <w:rPr>
            <w:rStyle w:val="Hyperlink"/>
            <w:rFonts w:ascii="Arial" w:hAnsi="Arial" w:cs="Arial"/>
            <w:sz w:val="22"/>
            <w:szCs w:val="22"/>
            <w:lang w:val="en-PK"/>
          </w:rPr>
          <w:t>https://www.mdpi.com/1660-4601/18/9/4594</w:t>
        </w:r>
      </w:hyperlink>
      <w:r w:rsidRPr="00B96925">
        <w:rPr>
          <w:rFonts w:ascii="Arial" w:hAnsi="Arial" w:cs="Arial"/>
          <w:sz w:val="22"/>
          <w:szCs w:val="22"/>
          <w:lang w:val="en-PK"/>
        </w:rPr>
        <w:t xml:space="preserve"> [Accessed 5 November 2025].</w:t>
      </w:r>
    </w:p>
    <w:p w:rsidRPr="00B96925" w:rsidR="00B96925" w:rsidP="00B96925" w:rsidRDefault="00B96925" w14:paraId="4BBE5D50" w14:textId="77777777">
      <w:pPr>
        <w:spacing w:line="360" w:lineRule="auto"/>
        <w:ind w:left="1077" w:hanging="720"/>
        <w:jc w:val="both"/>
        <w:rPr>
          <w:rFonts w:ascii="Arial" w:hAnsi="Arial" w:cs="Arial"/>
          <w:sz w:val="22"/>
          <w:szCs w:val="22"/>
          <w:lang w:val="en-PK"/>
        </w:rPr>
      </w:pPr>
      <w:proofErr w:type="spellStart"/>
      <w:r w:rsidRPr="00B96925">
        <w:rPr>
          <w:rFonts w:ascii="Arial" w:hAnsi="Arial" w:cs="Arial"/>
          <w:sz w:val="22"/>
          <w:szCs w:val="22"/>
          <w:lang w:val="en-PK"/>
        </w:rPr>
        <w:t>Chanen</w:t>
      </w:r>
      <w:proofErr w:type="spellEnd"/>
      <w:r w:rsidRPr="00B96925">
        <w:rPr>
          <w:rFonts w:ascii="Arial" w:hAnsi="Arial" w:cs="Arial"/>
          <w:sz w:val="22"/>
          <w:szCs w:val="22"/>
          <w:lang w:val="en-PK"/>
        </w:rPr>
        <w:t xml:space="preserve">, A.M., Betts, J.K., Jackson, H., Cotton, S.M., Gleeson, J., Davey, C.G., Thompson, K., Perera, S., Rayner, V., Andrewes, H. and McCutcheon, L., 2022. Effect of 3 forms of early intervention for young people with borderline personality disorder: the MOBY randomized clinical trial. </w:t>
      </w:r>
      <w:r w:rsidRPr="00B96925">
        <w:rPr>
          <w:rFonts w:ascii="Arial" w:hAnsi="Arial" w:cs="Arial"/>
          <w:i/>
          <w:iCs/>
          <w:sz w:val="22"/>
          <w:szCs w:val="22"/>
          <w:lang w:val="en-PK"/>
        </w:rPr>
        <w:t>JAMA Psychiatry</w:t>
      </w:r>
      <w:r w:rsidRPr="00B96925">
        <w:rPr>
          <w:rFonts w:ascii="Arial" w:hAnsi="Arial" w:cs="Arial"/>
          <w:sz w:val="22"/>
          <w:szCs w:val="22"/>
          <w:lang w:val="en-PK"/>
        </w:rPr>
        <w:t xml:space="preserve">, 79(2), pp.109-119. Available at: </w:t>
      </w:r>
      <w:hyperlink w:tgtFrame="_new" w:history="1" r:id="rId9">
        <w:r w:rsidRPr="00B96925">
          <w:rPr>
            <w:rStyle w:val="Hyperlink"/>
            <w:rFonts w:ascii="Arial" w:hAnsi="Arial" w:cs="Arial"/>
            <w:sz w:val="22"/>
            <w:szCs w:val="22"/>
            <w:lang w:val="en-PK"/>
          </w:rPr>
          <w:t>https://jamanetwork.com/journals/jamapsychiatry/fullarticle/2787195</w:t>
        </w:r>
      </w:hyperlink>
      <w:r w:rsidRPr="00B96925">
        <w:rPr>
          <w:rFonts w:ascii="Arial" w:hAnsi="Arial" w:cs="Arial"/>
          <w:sz w:val="22"/>
          <w:szCs w:val="22"/>
          <w:lang w:val="en-PK"/>
        </w:rPr>
        <w:t xml:space="preserve"> [Accessed 5 November 2025].</w:t>
      </w:r>
    </w:p>
    <w:p w:rsidRPr="00B96925" w:rsidR="00B96925" w:rsidP="00B96925" w:rsidRDefault="00B96925" w14:paraId="610EAE10" w14:textId="77777777">
      <w:pPr>
        <w:spacing w:line="360" w:lineRule="auto"/>
        <w:ind w:left="1077" w:hanging="720"/>
        <w:jc w:val="both"/>
        <w:rPr>
          <w:rFonts w:ascii="Arial" w:hAnsi="Arial" w:cs="Arial"/>
          <w:sz w:val="22"/>
          <w:szCs w:val="22"/>
          <w:lang w:val="en-PK"/>
        </w:rPr>
      </w:pPr>
      <w:proofErr w:type="spellStart"/>
      <w:r w:rsidRPr="00B96925">
        <w:rPr>
          <w:rFonts w:ascii="Arial" w:hAnsi="Arial" w:cs="Arial"/>
          <w:sz w:val="22"/>
          <w:szCs w:val="22"/>
          <w:lang w:val="en-PK"/>
        </w:rPr>
        <w:t>Forthal</w:t>
      </w:r>
      <w:proofErr w:type="spellEnd"/>
      <w:r w:rsidRPr="00B96925">
        <w:rPr>
          <w:rFonts w:ascii="Arial" w:hAnsi="Arial" w:cs="Arial"/>
          <w:sz w:val="22"/>
          <w:szCs w:val="22"/>
          <w:lang w:val="en-PK"/>
        </w:rPr>
        <w:t xml:space="preserve">, S., Sadowska, K., Pike, K.M., Balachander, M., Jacobsson, K. and Hermosilla, S., 2022. Mental health first aid: A systematic review of trainee behavior and recipient mental health outcomes. </w:t>
      </w:r>
      <w:r w:rsidRPr="00B96925">
        <w:rPr>
          <w:rFonts w:ascii="Arial" w:hAnsi="Arial" w:cs="Arial"/>
          <w:i/>
          <w:iCs/>
          <w:sz w:val="22"/>
          <w:szCs w:val="22"/>
          <w:lang w:val="en-PK"/>
        </w:rPr>
        <w:t>Psychiatric Services</w:t>
      </w:r>
      <w:r w:rsidRPr="00B96925">
        <w:rPr>
          <w:rFonts w:ascii="Arial" w:hAnsi="Arial" w:cs="Arial"/>
          <w:sz w:val="22"/>
          <w:szCs w:val="22"/>
          <w:lang w:val="en-PK"/>
        </w:rPr>
        <w:t xml:space="preserve">, 73(4), pp.439-446. Available at: </w:t>
      </w:r>
      <w:hyperlink w:tgtFrame="_new" w:history="1" r:id="rId10">
        <w:r w:rsidRPr="00B96925">
          <w:rPr>
            <w:rStyle w:val="Hyperlink"/>
            <w:rFonts w:ascii="Arial" w:hAnsi="Arial" w:cs="Arial"/>
            <w:sz w:val="22"/>
            <w:szCs w:val="22"/>
            <w:lang w:val="en-PK"/>
          </w:rPr>
          <w:t>https://psychiatryonline.org/doi/full/10.1176/appi.ps.202100027</w:t>
        </w:r>
      </w:hyperlink>
      <w:r w:rsidRPr="00B96925">
        <w:rPr>
          <w:rFonts w:ascii="Arial" w:hAnsi="Arial" w:cs="Arial"/>
          <w:sz w:val="22"/>
          <w:szCs w:val="22"/>
          <w:lang w:val="en-PK"/>
        </w:rPr>
        <w:t xml:space="preserve"> [Accessed 5 November 2025].</w:t>
      </w:r>
    </w:p>
    <w:p w:rsidRPr="00B96925" w:rsidR="00B96925" w:rsidP="00B96925" w:rsidRDefault="00B96925" w14:paraId="0B387A27" w14:textId="77777777">
      <w:pPr>
        <w:spacing w:line="360" w:lineRule="auto"/>
        <w:ind w:left="1077" w:hanging="720"/>
        <w:jc w:val="both"/>
        <w:rPr>
          <w:rFonts w:ascii="Arial" w:hAnsi="Arial" w:cs="Arial"/>
          <w:sz w:val="22"/>
          <w:szCs w:val="22"/>
          <w:lang w:val="en-PK"/>
        </w:rPr>
      </w:pPr>
      <w:r w:rsidRPr="00B96925">
        <w:rPr>
          <w:rFonts w:ascii="Arial" w:hAnsi="Arial" w:cs="Arial"/>
          <w:sz w:val="22"/>
          <w:szCs w:val="22"/>
          <w:lang w:val="en-PK"/>
        </w:rPr>
        <w:t xml:space="preserve">Esposito, M., Palma, L., Belli, A., Sabbatini, L. and </w:t>
      </w:r>
      <w:proofErr w:type="spellStart"/>
      <w:r w:rsidRPr="00B96925">
        <w:rPr>
          <w:rFonts w:ascii="Arial" w:hAnsi="Arial" w:cs="Arial"/>
          <w:sz w:val="22"/>
          <w:szCs w:val="22"/>
          <w:lang w:val="en-PK"/>
        </w:rPr>
        <w:t>Pierleoni</w:t>
      </w:r>
      <w:proofErr w:type="spellEnd"/>
      <w:r w:rsidRPr="00B96925">
        <w:rPr>
          <w:rFonts w:ascii="Arial" w:hAnsi="Arial" w:cs="Arial"/>
          <w:sz w:val="22"/>
          <w:szCs w:val="22"/>
          <w:lang w:val="en-PK"/>
        </w:rPr>
        <w:t xml:space="preserve">, P., 2022. Recent advances in internet of things solutions for early warning systems: A review. </w:t>
      </w:r>
      <w:r w:rsidRPr="00B96925">
        <w:rPr>
          <w:rFonts w:ascii="Arial" w:hAnsi="Arial" w:cs="Arial"/>
          <w:i/>
          <w:iCs/>
          <w:sz w:val="22"/>
          <w:szCs w:val="22"/>
          <w:lang w:val="en-PK"/>
        </w:rPr>
        <w:t>Sensors</w:t>
      </w:r>
      <w:r w:rsidRPr="00B96925">
        <w:rPr>
          <w:rFonts w:ascii="Arial" w:hAnsi="Arial" w:cs="Arial"/>
          <w:sz w:val="22"/>
          <w:szCs w:val="22"/>
          <w:lang w:val="en-PK"/>
        </w:rPr>
        <w:t xml:space="preserve">, 22(6), p.2124. Available at: </w:t>
      </w:r>
      <w:hyperlink w:tgtFrame="_new" w:history="1" r:id="rId11">
        <w:r w:rsidRPr="00B96925">
          <w:rPr>
            <w:rStyle w:val="Hyperlink"/>
            <w:rFonts w:ascii="Arial" w:hAnsi="Arial" w:cs="Arial"/>
            <w:sz w:val="22"/>
            <w:szCs w:val="22"/>
            <w:lang w:val="en-PK"/>
          </w:rPr>
          <w:t>https://www.mdpi.com/1424-8220/22/6/2124</w:t>
        </w:r>
      </w:hyperlink>
      <w:r w:rsidRPr="00B96925">
        <w:rPr>
          <w:rFonts w:ascii="Arial" w:hAnsi="Arial" w:cs="Arial"/>
          <w:sz w:val="22"/>
          <w:szCs w:val="22"/>
          <w:lang w:val="en-PK"/>
        </w:rPr>
        <w:t xml:space="preserve"> [Accessed 5 November 2025].</w:t>
      </w:r>
    </w:p>
    <w:p w:rsidRPr="00B96925" w:rsidR="00B96925" w:rsidP="00B96925" w:rsidRDefault="00B96925" w14:paraId="10B2D195" w14:textId="77777777">
      <w:pPr>
        <w:spacing w:line="360" w:lineRule="auto"/>
        <w:ind w:left="1077" w:hanging="720"/>
        <w:jc w:val="both"/>
        <w:rPr>
          <w:rFonts w:ascii="Arial" w:hAnsi="Arial" w:cs="Arial"/>
          <w:sz w:val="22"/>
          <w:szCs w:val="22"/>
          <w:lang w:val="en-PK"/>
        </w:rPr>
      </w:pPr>
      <w:proofErr w:type="spellStart"/>
      <w:r w:rsidRPr="00B96925">
        <w:rPr>
          <w:rFonts w:ascii="Arial" w:hAnsi="Arial" w:cs="Arial"/>
          <w:sz w:val="22"/>
          <w:szCs w:val="22"/>
          <w:lang w:val="en-PK"/>
        </w:rPr>
        <w:t>Sapiets</w:t>
      </w:r>
      <w:proofErr w:type="spellEnd"/>
      <w:r w:rsidRPr="00B96925">
        <w:rPr>
          <w:rFonts w:ascii="Arial" w:hAnsi="Arial" w:cs="Arial"/>
          <w:sz w:val="22"/>
          <w:szCs w:val="22"/>
          <w:lang w:val="en-PK"/>
        </w:rPr>
        <w:t xml:space="preserve">, S.J., </w:t>
      </w:r>
      <w:proofErr w:type="spellStart"/>
      <w:r w:rsidRPr="00B96925">
        <w:rPr>
          <w:rFonts w:ascii="Arial" w:hAnsi="Arial" w:cs="Arial"/>
          <w:sz w:val="22"/>
          <w:szCs w:val="22"/>
          <w:lang w:val="en-PK"/>
        </w:rPr>
        <w:t>Totsika</w:t>
      </w:r>
      <w:proofErr w:type="spellEnd"/>
      <w:r w:rsidRPr="00B96925">
        <w:rPr>
          <w:rFonts w:ascii="Arial" w:hAnsi="Arial" w:cs="Arial"/>
          <w:sz w:val="22"/>
          <w:szCs w:val="22"/>
          <w:lang w:val="en-PK"/>
        </w:rPr>
        <w:t xml:space="preserve">, V. and Hastings, R.P., 2021. Factors influencing access to early intervention for families of children with developmental disabilities: A narrative review. </w:t>
      </w:r>
      <w:r w:rsidRPr="00B96925">
        <w:rPr>
          <w:rFonts w:ascii="Arial" w:hAnsi="Arial" w:cs="Arial"/>
          <w:i/>
          <w:iCs/>
          <w:sz w:val="22"/>
          <w:szCs w:val="22"/>
          <w:lang w:val="en-PK"/>
        </w:rPr>
        <w:t>Journal of Applied Research in Intellectual Disabilities</w:t>
      </w:r>
      <w:r w:rsidRPr="00B96925">
        <w:rPr>
          <w:rFonts w:ascii="Arial" w:hAnsi="Arial" w:cs="Arial"/>
          <w:sz w:val="22"/>
          <w:szCs w:val="22"/>
          <w:lang w:val="en-PK"/>
        </w:rPr>
        <w:t xml:space="preserve">, 34(3), pp.695-711. Available at: </w:t>
      </w:r>
      <w:hyperlink w:tgtFrame="_new" w:history="1" r:id="rId12">
        <w:r w:rsidRPr="00B96925">
          <w:rPr>
            <w:rStyle w:val="Hyperlink"/>
            <w:rFonts w:ascii="Arial" w:hAnsi="Arial" w:cs="Arial"/>
            <w:sz w:val="22"/>
            <w:szCs w:val="22"/>
            <w:lang w:val="en-PK"/>
          </w:rPr>
          <w:t>https://onlinelibrary.wiley.com/doi/full/10.1111/jar.12852</w:t>
        </w:r>
      </w:hyperlink>
      <w:r w:rsidRPr="00B96925">
        <w:rPr>
          <w:rFonts w:ascii="Arial" w:hAnsi="Arial" w:cs="Arial"/>
          <w:sz w:val="22"/>
          <w:szCs w:val="22"/>
          <w:lang w:val="en-PK"/>
        </w:rPr>
        <w:t xml:space="preserve"> [Accessed 5 November 2025].</w:t>
      </w:r>
    </w:p>
    <w:p w:rsidRPr="00B96925" w:rsidR="00B96925" w:rsidP="00B96925" w:rsidRDefault="00B96925" w14:paraId="371F0970" w14:textId="77777777">
      <w:pPr>
        <w:spacing w:line="360" w:lineRule="auto"/>
        <w:ind w:left="1077" w:hanging="720"/>
        <w:jc w:val="both"/>
        <w:rPr>
          <w:rFonts w:ascii="Arial" w:hAnsi="Arial" w:cs="Arial"/>
          <w:sz w:val="22"/>
          <w:szCs w:val="22"/>
          <w:lang w:val="en-PK"/>
        </w:rPr>
      </w:pPr>
      <w:r w:rsidRPr="00B96925">
        <w:rPr>
          <w:rFonts w:ascii="Arial" w:hAnsi="Arial" w:cs="Arial"/>
          <w:sz w:val="22"/>
          <w:szCs w:val="22"/>
          <w:lang w:val="en-PK"/>
        </w:rPr>
        <w:t xml:space="preserve">Smythe, T., </w:t>
      </w:r>
      <w:proofErr w:type="spellStart"/>
      <w:r w:rsidRPr="00B96925">
        <w:rPr>
          <w:rFonts w:ascii="Arial" w:hAnsi="Arial" w:cs="Arial"/>
          <w:sz w:val="22"/>
          <w:szCs w:val="22"/>
          <w:lang w:val="en-PK"/>
        </w:rPr>
        <w:t>Zuurmond</w:t>
      </w:r>
      <w:proofErr w:type="spellEnd"/>
      <w:r w:rsidRPr="00B96925">
        <w:rPr>
          <w:rFonts w:ascii="Arial" w:hAnsi="Arial" w:cs="Arial"/>
          <w:sz w:val="22"/>
          <w:szCs w:val="22"/>
          <w:lang w:val="en-PK"/>
        </w:rPr>
        <w:t xml:space="preserve">, M., Tann, C.J., Gladstone, M. and Kuper, H., 2021. Early intervention for children with developmental disabilities in low and middle-income countries–the case for action. </w:t>
      </w:r>
      <w:r w:rsidRPr="00B96925">
        <w:rPr>
          <w:rFonts w:ascii="Arial" w:hAnsi="Arial" w:cs="Arial"/>
          <w:i/>
          <w:iCs/>
          <w:sz w:val="22"/>
          <w:szCs w:val="22"/>
          <w:lang w:val="en-PK"/>
        </w:rPr>
        <w:t>International Health</w:t>
      </w:r>
      <w:r w:rsidRPr="00B96925">
        <w:rPr>
          <w:rFonts w:ascii="Arial" w:hAnsi="Arial" w:cs="Arial"/>
          <w:sz w:val="22"/>
          <w:szCs w:val="22"/>
          <w:lang w:val="en-PK"/>
        </w:rPr>
        <w:t xml:space="preserve">, 13(3), pp.222-231. Available at: </w:t>
      </w:r>
      <w:hyperlink w:tgtFrame="_new" w:history="1" r:id="rId13">
        <w:r w:rsidRPr="00B96925">
          <w:rPr>
            <w:rStyle w:val="Hyperlink"/>
            <w:rFonts w:ascii="Arial" w:hAnsi="Arial" w:cs="Arial"/>
            <w:sz w:val="22"/>
            <w:szCs w:val="22"/>
            <w:lang w:val="en-PK"/>
          </w:rPr>
          <w:t>https://academic.oup.com/inthealth/article/13/3/222/5891235</w:t>
        </w:r>
      </w:hyperlink>
      <w:r w:rsidRPr="00B96925">
        <w:rPr>
          <w:rFonts w:ascii="Arial" w:hAnsi="Arial" w:cs="Arial"/>
          <w:sz w:val="22"/>
          <w:szCs w:val="22"/>
          <w:lang w:val="en-PK"/>
        </w:rPr>
        <w:t xml:space="preserve"> [Accessed 5 November 2025].</w:t>
      </w:r>
    </w:p>
    <w:p w:rsidRPr="00B96925" w:rsidR="00B96925" w:rsidP="00B96925" w:rsidRDefault="00B96925" w14:paraId="3CB9CC07" w14:textId="77777777">
      <w:pPr>
        <w:spacing w:line="360" w:lineRule="auto"/>
        <w:ind w:left="1077" w:hanging="720"/>
        <w:jc w:val="both"/>
        <w:rPr>
          <w:rFonts w:ascii="Arial" w:hAnsi="Arial" w:cs="Arial"/>
          <w:sz w:val="22"/>
          <w:szCs w:val="22"/>
          <w:lang w:val="en-PK"/>
        </w:rPr>
      </w:pPr>
      <w:r w:rsidRPr="00B96925">
        <w:rPr>
          <w:rFonts w:ascii="Arial" w:hAnsi="Arial" w:cs="Arial"/>
          <w:sz w:val="22"/>
          <w:szCs w:val="22"/>
          <w:lang w:val="en-PK"/>
        </w:rPr>
        <w:t xml:space="preserve">Berg, S.H., </w:t>
      </w:r>
      <w:proofErr w:type="spellStart"/>
      <w:r w:rsidRPr="00B96925">
        <w:rPr>
          <w:rFonts w:ascii="Arial" w:hAnsi="Arial" w:cs="Arial"/>
          <w:sz w:val="22"/>
          <w:szCs w:val="22"/>
          <w:lang w:val="en-PK"/>
        </w:rPr>
        <w:t>O’hara</w:t>
      </w:r>
      <w:proofErr w:type="spellEnd"/>
      <w:r w:rsidRPr="00B96925">
        <w:rPr>
          <w:rFonts w:ascii="Arial" w:hAnsi="Arial" w:cs="Arial"/>
          <w:sz w:val="22"/>
          <w:szCs w:val="22"/>
          <w:lang w:val="en-PK"/>
        </w:rPr>
        <w:t xml:space="preserve">, J.K., Shortt, M.T., Thune, H., </w:t>
      </w:r>
      <w:proofErr w:type="spellStart"/>
      <w:r w:rsidRPr="00B96925">
        <w:rPr>
          <w:rFonts w:ascii="Arial" w:hAnsi="Arial" w:cs="Arial"/>
          <w:sz w:val="22"/>
          <w:szCs w:val="22"/>
          <w:lang w:val="en-PK"/>
        </w:rPr>
        <w:t>Brønnick</w:t>
      </w:r>
      <w:proofErr w:type="spellEnd"/>
      <w:r w:rsidRPr="00B96925">
        <w:rPr>
          <w:rFonts w:ascii="Arial" w:hAnsi="Arial" w:cs="Arial"/>
          <w:sz w:val="22"/>
          <w:szCs w:val="22"/>
          <w:lang w:val="en-PK"/>
        </w:rPr>
        <w:t xml:space="preserve">, K.K., Lungu, D.A., </w:t>
      </w:r>
      <w:proofErr w:type="spellStart"/>
      <w:r w:rsidRPr="00B96925">
        <w:rPr>
          <w:rFonts w:ascii="Arial" w:hAnsi="Arial" w:cs="Arial"/>
          <w:sz w:val="22"/>
          <w:szCs w:val="22"/>
          <w:lang w:val="en-PK"/>
        </w:rPr>
        <w:t>Røislien</w:t>
      </w:r>
      <w:proofErr w:type="spellEnd"/>
      <w:r w:rsidRPr="00B96925">
        <w:rPr>
          <w:rFonts w:ascii="Arial" w:hAnsi="Arial" w:cs="Arial"/>
          <w:sz w:val="22"/>
          <w:szCs w:val="22"/>
          <w:lang w:val="en-PK"/>
        </w:rPr>
        <w:t xml:space="preserve">, J. and Wiig, S., 2021. Health authorities’ health risk communication with the public during pandemics: a rapid scoping review. </w:t>
      </w:r>
      <w:r w:rsidRPr="00B96925">
        <w:rPr>
          <w:rFonts w:ascii="Arial" w:hAnsi="Arial" w:cs="Arial"/>
          <w:i/>
          <w:iCs/>
          <w:sz w:val="22"/>
          <w:szCs w:val="22"/>
          <w:lang w:val="en-PK"/>
        </w:rPr>
        <w:t>BMC Public Health</w:t>
      </w:r>
      <w:r w:rsidRPr="00B96925">
        <w:rPr>
          <w:rFonts w:ascii="Arial" w:hAnsi="Arial" w:cs="Arial"/>
          <w:sz w:val="22"/>
          <w:szCs w:val="22"/>
          <w:lang w:val="en-PK"/>
        </w:rPr>
        <w:t xml:space="preserve">, 21(1), p.1401. Available at: </w:t>
      </w:r>
      <w:hyperlink w:tgtFrame="_new" w:history="1" r:id="rId14">
        <w:r w:rsidRPr="00B96925">
          <w:rPr>
            <w:rStyle w:val="Hyperlink"/>
            <w:rFonts w:ascii="Arial" w:hAnsi="Arial" w:cs="Arial"/>
            <w:sz w:val="22"/>
            <w:szCs w:val="22"/>
            <w:lang w:val="en-PK"/>
          </w:rPr>
          <w:t>https://link.springer.com/article/10.1186/s12889-021-11468-3</w:t>
        </w:r>
      </w:hyperlink>
      <w:r w:rsidRPr="00B96925">
        <w:rPr>
          <w:rFonts w:ascii="Arial" w:hAnsi="Arial" w:cs="Arial"/>
          <w:sz w:val="22"/>
          <w:szCs w:val="22"/>
          <w:lang w:val="en-PK"/>
        </w:rPr>
        <w:t xml:space="preserve"> [Accessed 5 November 2025].</w:t>
      </w:r>
    </w:p>
    <w:p w:rsidR="00B96925" w:rsidP="00117BB2" w:rsidRDefault="00B96925" w14:paraId="7794182E" w14:textId="77777777">
      <w:pPr>
        <w:spacing w:line="360" w:lineRule="auto"/>
        <w:ind w:left="360"/>
        <w:jc w:val="both"/>
        <w:rPr>
          <w:rFonts w:ascii="Arial" w:hAnsi="Arial" w:cs="Arial"/>
          <w:sz w:val="22"/>
          <w:szCs w:val="22"/>
          <w:lang w:val="en-PK"/>
        </w:rPr>
      </w:pPr>
    </w:p>
    <w:p w:rsidRPr="00117BB2" w:rsidR="009A7BF9" w:rsidP="00117BB2" w:rsidRDefault="009A7BF9" w14:paraId="23866852" w14:textId="77777777">
      <w:pPr>
        <w:spacing w:line="360" w:lineRule="auto"/>
        <w:ind w:left="360"/>
        <w:jc w:val="both"/>
        <w:rPr>
          <w:rFonts w:ascii="Arial" w:hAnsi="Arial" w:cs="Arial"/>
          <w:sz w:val="22"/>
          <w:szCs w:val="22"/>
          <w:lang w:val="en-PK"/>
        </w:rPr>
      </w:pPr>
    </w:p>
    <w:p w:rsidRPr="00117BB2" w:rsidR="00F54C73" w:rsidP="00117BB2" w:rsidRDefault="00F54C73" w14:paraId="5E4D37DA" w14:textId="77777777">
      <w:pPr>
        <w:spacing w:line="360" w:lineRule="auto"/>
        <w:jc w:val="both"/>
        <w:rPr>
          <w:rFonts w:ascii="Arial" w:hAnsi="Arial" w:cs="Arial"/>
        </w:rPr>
      </w:pPr>
    </w:p>
    <w:sectPr w:rsidRPr="00117BB2" w:rsidR="00F54C73">
      <w:head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3B89" w:rsidP="00B96925" w:rsidRDefault="00E33B89" w14:paraId="773904A9" w14:textId="77777777">
      <w:pPr>
        <w:spacing w:after="0" w:line="240" w:lineRule="auto"/>
      </w:pPr>
      <w:r>
        <w:separator/>
      </w:r>
    </w:p>
  </w:endnote>
  <w:endnote w:type="continuationSeparator" w:id="0">
    <w:p w:rsidR="00E33B89" w:rsidP="00B96925" w:rsidRDefault="00E33B89" w14:paraId="585C27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3B89" w:rsidP="00B96925" w:rsidRDefault="00E33B89" w14:paraId="40A85443" w14:textId="77777777">
      <w:pPr>
        <w:spacing w:after="0" w:line="240" w:lineRule="auto"/>
      </w:pPr>
      <w:r>
        <w:separator/>
      </w:r>
    </w:p>
  </w:footnote>
  <w:footnote w:type="continuationSeparator" w:id="0">
    <w:p w:rsidR="00E33B89" w:rsidP="00B96925" w:rsidRDefault="00E33B89" w14:paraId="0CA732B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517863"/>
      <w:docPartObj>
        <w:docPartGallery w:val="Page Numbers (Top of Page)"/>
        <w:docPartUnique/>
      </w:docPartObj>
    </w:sdtPr>
    <w:sdtEndPr>
      <w:rPr>
        <w:noProof/>
      </w:rPr>
    </w:sdtEndPr>
    <w:sdtContent>
      <w:p w:rsidR="00B96925" w:rsidRDefault="00B96925" w14:paraId="7BAD744F" w14:textId="19272D8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B96925" w:rsidRDefault="00B96925" w14:paraId="6EBE3AC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00AF"/>
    <w:multiLevelType w:val="hybridMultilevel"/>
    <w:tmpl w:val="B83EA028"/>
    <w:lvl w:ilvl="0" w:tplc="20000001">
      <w:start w:val="1"/>
      <w:numFmt w:val="bullet"/>
      <w:lvlText w:val=""/>
      <w:lvlJc w:val="left"/>
      <w:pPr>
        <w:ind w:left="1080" w:hanging="360"/>
      </w:pPr>
      <w:rPr>
        <w:rFonts w:hint="default" w:ascii="Symbol" w:hAnsi="Symbol"/>
      </w:rPr>
    </w:lvl>
    <w:lvl w:ilvl="1" w:tplc="20000003" w:tentative="1">
      <w:start w:val="1"/>
      <w:numFmt w:val="bullet"/>
      <w:lvlText w:val="o"/>
      <w:lvlJc w:val="left"/>
      <w:pPr>
        <w:ind w:left="1800" w:hanging="360"/>
      </w:pPr>
      <w:rPr>
        <w:rFonts w:hint="default" w:ascii="Courier New" w:hAnsi="Courier New" w:cs="Courier New"/>
      </w:rPr>
    </w:lvl>
    <w:lvl w:ilvl="2" w:tplc="20000005" w:tentative="1">
      <w:start w:val="1"/>
      <w:numFmt w:val="bullet"/>
      <w:lvlText w:val=""/>
      <w:lvlJc w:val="left"/>
      <w:pPr>
        <w:ind w:left="2520" w:hanging="360"/>
      </w:pPr>
      <w:rPr>
        <w:rFonts w:hint="default" w:ascii="Wingdings" w:hAnsi="Wingdings"/>
      </w:rPr>
    </w:lvl>
    <w:lvl w:ilvl="3" w:tplc="20000001" w:tentative="1">
      <w:start w:val="1"/>
      <w:numFmt w:val="bullet"/>
      <w:lvlText w:val=""/>
      <w:lvlJc w:val="left"/>
      <w:pPr>
        <w:ind w:left="3240" w:hanging="360"/>
      </w:pPr>
      <w:rPr>
        <w:rFonts w:hint="default" w:ascii="Symbol" w:hAnsi="Symbol"/>
      </w:rPr>
    </w:lvl>
    <w:lvl w:ilvl="4" w:tplc="20000003" w:tentative="1">
      <w:start w:val="1"/>
      <w:numFmt w:val="bullet"/>
      <w:lvlText w:val="o"/>
      <w:lvlJc w:val="left"/>
      <w:pPr>
        <w:ind w:left="3960" w:hanging="360"/>
      </w:pPr>
      <w:rPr>
        <w:rFonts w:hint="default" w:ascii="Courier New" w:hAnsi="Courier New" w:cs="Courier New"/>
      </w:rPr>
    </w:lvl>
    <w:lvl w:ilvl="5" w:tplc="20000005" w:tentative="1">
      <w:start w:val="1"/>
      <w:numFmt w:val="bullet"/>
      <w:lvlText w:val=""/>
      <w:lvlJc w:val="left"/>
      <w:pPr>
        <w:ind w:left="4680" w:hanging="360"/>
      </w:pPr>
      <w:rPr>
        <w:rFonts w:hint="default" w:ascii="Wingdings" w:hAnsi="Wingdings"/>
      </w:rPr>
    </w:lvl>
    <w:lvl w:ilvl="6" w:tplc="20000001" w:tentative="1">
      <w:start w:val="1"/>
      <w:numFmt w:val="bullet"/>
      <w:lvlText w:val=""/>
      <w:lvlJc w:val="left"/>
      <w:pPr>
        <w:ind w:left="5400" w:hanging="360"/>
      </w:pPr>
      <w:rPr>
        <w:rFonts w:hint="default" w:ascii="Symbol" w:hAnsi="Symbol"/>
      </w:rPr>
    </w:lvl>
    <w:lvl w:ilvl="7" w:tplc="20000003" w:tentative="1">
      <w:start w:val="1"/>
      <w:numFmt w:val="bullet"/>
      <w:lvlText w:val="o"/>
      <w:lvlJc w:val="left"/>
      <w:pPr>
        <w:ind w:left="6120" w:hanging="360"/>
      </w:pPr>
      <w:rPr>
        <w:rFonts w:hint="default" w:ascii="Courier New" w:hAnsi="Courier New" w:cs="Courier New"/>
      </w:rPr>
    </w:lvl>
    <w:lvl w:ilvl="8" w:tplc="20000005" w:tentative="1">
      <w:start w:val="1"/>
      <w:numFmt w:val="bullet"/>
      <w:lvlText w:val=""/>
      <w:lvlJc w:val="left"/>
      <w:pPr>
        <w:ind w:left="6840" w:hanging="360"/>
      </w:pPr>
      <w:rPr>
        <w:rFonts w:hint="default" w:ascii="Wingdings" w:hAnsi="Wingdings"/>
      </w:rPr>
    </w:lvl>
  </w:abstractNum>
  <w:abstractNum w:abstractNumId="1" w15:restartNumberingAfterBreak="0">
    <w:nsid w:val="07DA7760"/>
    <w:multiLevelType w:val="multilevel"/>
    <w:tmpl w:val="DAD24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6A27151"/>
    <w:multiLevelType w:val="hybridMultilevel"/>
    <w:tmpl w:val="19866E3C"/>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249A713A"/>
    <w:multiLevelType w:val="multilevel"/>
    <w:tmpl w:val="0EBA65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51E2E7C"/>
    <w:multiLevelType w:val="multilevel"/>
    <w:tmpl w:val="F56CD4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65C57E6"/>
    <w:multiLevelType w:val="multilevel"/>
    <w:tmpl w:val="D57EFD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A78448E"/>
    <w:multiLevelType w:val="hybridMultilevel"/>
    <w:tmpl w:val="711CDCDA"/>
    <w:lvl w:ilvl="0" w:tplc="20000001">
      <w:start w:val="1"/>
      <w:numFmt w:val="bullet"/>
      <w:lvlText w:val=""/>
      <w:lvlJc w:val="left"/>
      <w:pPr>
        <w:ind w:left="1080" w:hanging="360"/>
      </w:pPr>
      <w:rPr>
        <w:rFonts w:hint="default" w:ascii="Symbol" w:hAnsi="Symbol"/>
      </w:rPr>
    </w:lvl>
    <w:lvl w:ilvl="1" w:tplc="20000003" w:tentative="1">
      <w:start w:val="1"/>
      <w:numFmt w:val="bullet"/>
      <w:lvlText w:val="o"/>
      <w:lvlJc w:val="left"/>
      <w:pPr>
        <w:ind w:left="1800" w:hanging="360"/>
      </w:pPr>
      <w:rPr>
        <w:rFonts w:hint="default" w:ascii="Courier New" w:hAnsi="Courier New" w:cs="Courier New"/>
      </w:rPr>
    </w:lvl>
    <w:lvl w:ilvl="2" w:tplc="20000005" w:tentative="1">
      <w:start w:val="1"/>
      <w:numFmt w:val="bullet"/>
      <w:lvlText w:val=""/>
      <w:lvlJc w:val="left"/>
      <w:pPr>
        <w:ind w:left="2520" w:hanging="360"/>
      </w:pPr>
      <w:rPr>
        <w:rFonts w:hint="default" w:ascii="Wingdings" w:hAnsi="Wingdings"/>
      </w:rPr>
    </w:lvl>
    <w:lvl w:ilvl="3" w:tplc="20000001" w:tentative="1">
      <w:start w:val="1"/>
      <w:numFmt w:val="bullet"/>
      <w:lvlText w:val=""/>
      <w:lvlJc w:val="left"/>
      <w:pPr>
        <w:ind w:left="3240" w:hanging="360"/>
      </w:pPr>
      <w:rPr>
        <w:rFonts w:hint="default" w:ascii="Symbol" w:hAnsi="Symbol"/>
      </w:rPr>
    </w:lvl>
    <w:lvl w:ilvl="4" w:tplc="20000003" w:tentative="1">
      <w:start w:val="1"/>
      <w:numFmt w:val="bullet"/>
      <w:lvlText w:val="o"/>
      <w:lvlJc w:val="left"/>
      <w:pPr>
        <w:ind w:left="3960" w:hanging="360"/>
      </w:pPr>
      <w:rPr>
        <w:rFonts w:hint="default" w:ascii="Courier New" w:hAnsi="Courier New" w:cs="Courier New"/>
      </w:rPr>
    </w:lvl>
    <w:lvl w:ilvl="5" w:tplc="20000005" w:tentative="1">
      <w:start w:val="1"/>
      <w:numFmt w:val="bullet"/>
      <w:lvlText w:val=""/>
      <w:lvlJc w:val="left"/>
      <w:pPr>
        <w:ind w:left="4680" w:hanging="360"/>
      </w:pPr>
      <w:rPr>
        <w:rFonts w:hint="default" w:ascii="Wingdings" w:hAnsi="Wingdings"/>
      </w:rPr>
    </w:lvl>
    <w:lvl w:ilvl="6" w:tplc="20000001" w:tentative="1">
      <w:start w:val="1"/>
      <w:numFmt w:val="bullet"/>
      <w:lvlText w:val=""/>
      <w:lvlJc w:val="left"/>
      <w:pPr>
        <w:ind w:left="5400" w:hanging="360"/>
      </w:pPr>
      <w:rPr>
        <w:rFonts w:hint="default" w:ascii="Symbol" w:hAnsi="Symbol"/>
      </w:rPr>
    </w:lvl>
    <w:lvl w:ilvl="7" w:tplc="20000003" w:tentative="1">
      <w:start w:val="1"/>
      <w:numFmt w:val="bullet"/>
      <w:lvlText w:val="o"/>
      <w:lvlJc w:val="left"/>
      <w:pPr>
        <w:ind w:left="6120" w:hanging="360"/>
      </w:pPr>
      <w:rPr>
        <w:rFonts w:hint="default" w:ascii="Courier New" w:hAnsi="Courier New" w:cs="Courier New"/>
      </w:rPr>
    </w:lvl>
    <w:lvl w:ilvl="8" w:tplc="20000005" w:tentative="1">
      <w:start w:val="1"/>
      <w:numFmt w:val="bullet"/>
      <w:lvlText w:val=""/>
      <w:lvlJc w:val="left"/>
      <w:pPr>
        <w:ind w:left="6840" w:hanging="360"/>
      </w:pPr>
      <w:rPr>
        <w:rFonts w:hint="default" w:ascii="Wingdings" w:hAnsi="Wingdings"/>
      </w:rPr>
    </w:lvl>
  </w:abstractNum>
  <w:abstractNum w:abstractNumId="7" w15:restartNumberingAfterBreak="0">
    <w:nsid w:val="3CC1056F"/>
    <w:multiLevelType w:val="hybridMultilevel"/>
    <w:tmpl w:val="3A74C5EC"/>
    <w:lvl w:ilvl="0" w:tplc="20000001">
      <w:start w:val="1"/>
      <w:numFmt w:val="bullet"/>
      <w:lvlText w:val=""/>
      <w:lvlJc w:val="left"/>
      <w:pPr>
        <w:ind w:left="1080" w:hanging="360"/>
      </w:pPr>
      <w:rPr>
        <w:rFonts w:hint="default" w:ascii="Symbol" w:hAnsi="Symbol"/>
      </w:rPr>
    </w:lvl>
    <w:lvl w:ilvl="1" w:tplc="20000003" w:tentative="1">
      <w:start w:val="1"/>
      <w:numFmt w:val="bullet"/>
      <w:lvlText w:val="o"/>
      <w:lvlJc w:val="left"/>
      <w:pPr>
        <w:ind w:left="1800" w:hanging="360"/>
      </w:pPr>
      <w:rPr>
        <w:rFonts w:hint="default" w:ascii="Courier New" w:hAnsi="Courier New" w:cs="Courier New"/>
      </w:rPr>
    </w:lvl>
    <w:lvl w:ilvl="2" w:tplc="20000005" w:tentative="1">
      <w:start w:val="1"/>
      <w:numFmt w:val="bullet"/>
      <w:lvlText w:val=""/>
      <w:lvlJc w:val="left"/>
      <w:pPr>
        <w:ind w:left="2520" w:hanging="360"/>
      </w:pPr>
      <w:rPr>
        <w:rFonts w:hint="default" w:ascii="Wingdings" w:hAnsi="Wingdings"/>
      </w:rPr>
    </w:lvl>
    <w:lvl w:ilvl="3" w:tplc="20000001" w:tentative="1">
      <w:start w:val="1"/>
      <w:numFmt w:val="bullet"/>
      <w:lvlText w:val=""/>
      <w:lvlJc w:val="left"/>
      <w:pPr>
        <w:ind w:left="3240" w:hanging="360"/>
      </w:pPr>
      <w:rPr>
        <w:rFonts w:hint="default" w:ascii="Symbol" w:hAnsi="Symbol"/>
      </w:rPr>
    </w:lvl>
    <w:lvl w:ilvl="4" w:tplc="20000003" w:tentative="1">
      <w:start w:val="1"/>
      <w:numFmt w:val="bullet"/>
      <w:lvlText w:val="o"/>
      <w:lvlJc w:val="left"/>
      <w:pPr>
        <w:ind w:left="3960" w:hanging="360"/>
      </w:pPr>
      <w:rPr>
        <w:rFonts w:hint="default" w:ascii="Courier New" w:hAnsi="Courier New" w:cs="Courier New"/>
      </w:rPr>
    </w:lvl>
    <w:lvl w:ilvl="5" w:tplc="20000005" w:tentative="1">
      <w:start w:val="1"/>
      <w:numFmt w:val="bullet"/>
      <w:lvlText w:val=""/>
      <w:lvlJc w:val="left"/>
      <w:pPr>
        <w:ind w:left="4680" w:hanging="360"/>
      </w:pPr>
      <w:rPr>
        <w:rFonts w:hint="default" w:ascii="Wingdings" w:hAnsi="Wingdings"/>
      </w:rPr>
    </w:lvl>
    <w:lvl w:ilvl="6" w:tplc="20000001" w:tentative="1">
      <w:start w:val="1"/>
      <w:numFmt w:val="bullet"/>
      <w:lvlText w:val=""/>
      <w:lvlJc w:val="left"/>
      <w:pPr>
        <w:ind w:left="5400" w:hanging="360"/>
      </w:pPr>
      <w:rPr>
        <w:rFonts w:hint="default" w:ascii="Symbol" w:hAnsi="Symbol"/>
      </w:rPr>
    </w:lvl>
    <w:lvl w:ilvl="7" w:tplc="20000003" w:tentative="1">
      <w:start w:val="1"/>
      <w:numFmt w:val="bullet"/>
      <w:lvlText w:val="o"/>
      <w:lvlJc w:val="left"/>
      <w:pPr>
        <w:ind w:left="6120" w:hanging="360"/>
      </w:pPr>
      <w:rPr>
        <w:rFonts w:hint="default" w:ascii="Courier New" w:hAnsi="Courier New" w:cs="Courier New"/>
      </w:rPr>
    </w:lvl>
    <w:lvl w:ilvl="8" w:tplc="20000005" w:tentative="1">
      <w:start w:val="1"/>
      <w:numFmt w:val="bullet"/>
      <w:lvlText w:val=""/>
      <w:lvlJc w:val="left"/>
      <w:pPr>
        <w:ind w:left="6840" w:hanging="360"/>
      </w:pPr>
      <w:rPr>
        <w:rFonts w:hint="default" w:ascii="Wingdings" w:hAnsi="Wingdings"/>
      </w:rPr>
    </w:lvl>
  </w:abstractNum>
  <w:abstractNum w:abstractNumId="8" w15:restartNumberingAfterBreak="0">
    <w:nsid w:val="40095C1E"/>
    <w:multiLevelType w:val="multilevel"/>
    <w:tmpl w:val="79D41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3067169"/>
    <w:multiLevelType w:val="hybridMultilevel"/>
    <w:tmpl w:val="2EA03690"/>
    <w:lvl w:ilvl="0" w:tplc="20000001">
      <w:start w:val="1"/>
      <w:numFmt w:val="bullet"/>
      <w:lvlText w:val=""/>
      <w:lvlJc w:val="left"/>
      <w:pPr>
        <w:ind w:left="1080" w:hanging="360"/>
      </w:pPr>
      <w:rPr>
        <w:rFonts w:hint="default" w:ascii="Symbol" w:hAnsi="Symbol"/>
      </w:rPr>
    </w:lvl>
    <w:lvl w:ilvl="1" w:tplc="20000003" w:tentative="1">
      <w:start w:val="1"/>
      <w:numFmt w:val="bullet"/>
      <w:lvlText w:val="o"/>
      <w:lvlJc w:val="left"/>
      <w:pPr>
        <w:ind w:left="1800" w:hanging="360"/>
      </w:pPr>
      <w:rPr>
        <w:rFonts w:hint="default" w:ascii="Courier New" w:hAnsi="Courier New" w:cs="Courier New"/>
      </w:rPr>
    </w:lvl>
    <w:lvl w:ilvl="2" w:tplc="20000005" w:tentative="1">
      <w:start w:val="1"/>
      <w:numFmt w:val="bullet"/>
      <w:lvlText w:val=""/>
      <w:lvlJc w:val="left"/>
      <w:pPr>
        <w:ind w:left="2520" w:hanging="360"/>
      </w:pPr>
      <w:rPr>
        <w:rFonts w:hint="default" w:ascii="Wingdings" w:hAnsi="Wingdings"/>
      </w:rPr>
    </w:lvl>
    <w:lvl w:ilvl="3" w:tplc="20000001" w:tentative="1">
      <w:start w:val="1"/>
      <w:numFmt w:val="bullet"/>
      <w:lvlText w:val=""/>
      <w:lvlJc w:val="left"/>
      <w:pPr>
        <w:ind w:left="3240" w:hanging="360"/>
      </w:pPr>
      <w:rPr>
        <w:rFonts w:hint="default" w:ascii="Symbol" w:hAnsi="Symbol"/>
      </w:rPr>
    </w:lvl>
    <w:lvl w:ilvl="4" w:tplc="20000003" w:tentative="1">
      <w:start w:val="1"/>
      <w:numFmt w:val="bullet"/>
      <w:lvlText w:val="o"/>
      <w:lvlJc w:val="left"/>
      <w:pPr>
        <w:ind w:left="3960" w:hanging="360"/>
      </w:pPr>
      <w:rPr>
        <w:rFonts w:hint="default" w:ascii="Courier New" w:hAnsi="Courier New" w:cs="Courier New"/>
      </w:rPr>
    </w:lvl>
    <w:lvl w:ilvl="5" w:tplc="20000005" w:tentative="1">
      <w:start w:val="1"/>
      <w:numFmt w:val="bullet"/>
      <w:lvlText w:val=""/>
      <w:lvlJc w:val="left"/>
      <w:pPr>
        <w:ind w:left="4680" w:hanging="360"/>
      </w:pPr>
      <w:rPr>
        <w:rFonts w:hint="default" w:ascii="Wingdings" w:hAnsi="Wingdings"/>
      </w:rPr>
    </w:lvl>
    <w:lvl w:ilvl="6" w:tplc="20000001" w:tentative="1">
      <w:start w:val="1"/>
      <w:numFmt w:val="bullet"/>
      <w:lvlText w:val=""/>
      <w:lvlJc w:val="left"/>
      <w:pPr>
        <w:ind w:left="5400" w:hanging="360"/>
      </w:pPr>
      <w:rPr>
        <w:rFonts w:hint="default" w:ascii="Symbol" w:hAnsi="Symbol"/>
      </w:rPr>
    </w:lvl>
    <w:lvl w:ilvl="7" w:tplc="20000003" w:tentative="1">
      <w:start w:val="1"/>
      <w:numFmt w:val="bullet"/>
      <w:lvlText w:val="o"/>
      <w:lvlJc w:val="left"/>
      <w:pPr>
        <w:ind w:left="6120" w:hanging="360"/>
      </w:pPr>
      <w:rPr>
        <w:rFonts w:hint="default" w:ascii="Courier New" w:hAnsi="Courier New" w:cs="Courier New"/>
      </w:rPr>
    </w:lvl>
    <w:lvl w:ilvl="8" w:tplc="20000005" w:tentative="1">
      <w:start w:val="1"/>
      <w:numFmt w:val="bullet"/>
      <w:lvlText w:val=""/>
      <w:lvlJc w:val="left"/>
      <w:pPr>
        <w:ind w:left="6840" w:hanging="360"/>
      </w:pPr>
      <w:rPr>
        <w:rFonts w:hint="default" w:ascii="Wingdings" w:hAnsi="Wingdings"/>
      </w:rPr>
    </w:lvl>
  </w:abstractNum>
  <w:abstractNum w:abstractNumId="10" w15:restartNumberingAfterBreak="0">
    <w:nsid w:val="44662D9A"/>
    <w:multiLevelType w:val="multilevel"/>
    <w:tmpl w:val="5652F7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BE55E1D"/>
    <w:multiLevelType w:val="multilevel"/>
    <w:tmpl w:val="97FA0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74F467C"/>
    <w:multiLevelType w:val="hybridMultilevel"/>
    <w:tmpl w:val="8F787D34"/>
    <w:lvl w:ilvl="0" w:tplc="20000001">
      <w:start w:val="1"/>
      <w:numFmt w:val="bullet"/>
      <w:lvlText w:val=""/>
      <w:lvlJc w:val="left"/>
      <w:pPr>
        <w:ind w:left="1080" w:hanging="360"/>
      </w:pPr>
      <w:rPr>
        <w:rFonts w:hint="default" w:ascii="Symbol" w:hAnsi="Symbol"/>
      </w:rPr>
    </w:lvl>
    <w:lvl w:ilvl="1" w:tplc="20000003" w:tentative="1">
      <w:start w:val="1"/>
      <w:numFmt w:val="bullet"/>
      <w:lvlText w:val="o"/>
      <w:lvlJc w:val="left"/>
      <w:pPr>
        <w:ind w:left="1800" w:hanging="360"/>
      </w:pPr>
      <w:rPr>
        <w:rFonts w:hint="default" w:ascii="Courier New" w:hAnsi="Courier New" w:cs="Courier New"/>
      </w:rPr>
    </w:lvl>
    <w:lvl w:ilvl="2" w:tplc="20000005" w:tentative="1">
      <w:start w:val="1"/>
      <w:numFmt w:val="bullet"/>
      <w:lvlText w:val=""/>
      <w:lvlJc w:val="left"/>
      <w:pPr>
        <w:ind w:left="2520" w:hanging="360"/>
      </w:pPr>
      <w:rPr>
        <w:rFonts w:hint="default" w:ascii="Wingdings" w:hAnsi="Wingdings"/>
      </w:rPr>
    </w:lvl>
    <w:lvl w:ilvl="3" w:tplc="20000001" w:tentative="1">
      <w:start w:val="1"/>
      <w:numFmt w:val="bullet"/>
      <w:lvlText w:val=""/>
      <w:lvlJc w:val="left"/>
      <w:pPr>
        <w:ind w:left="3240" w:hanging="360"/>
      </w:pPr>
      <w:rPr>
        <w:rFonts w:hint="default" w:ascii="Symbol" w:hAnsi="Symbol"/>
      </w:rPr>
    </w:lvl>
    <w:lvl w:ilvl="4" w:tplc="20000003" w:tentative="1">
      <w:start w:val="1"/>
      <w:numFmt w:val="bullet"/>
      <w:lvlText w:val="o"/>
      <w:lvlJc w:val="left"/>
      <w:pPr>
        <w:ind w:left="3960" w:hanging="360"/>
      </w:pPr>
      <w:rPr>
        <w:rFonts w:hint="default" w:ascii="Courier New" w:hAnsi="Courier New" w:cs="Courier New"/>
      </w:rPr>
    </w:lvl>
    <w:lvl w:ilvl="5" w:tplc="20000005" w:tentative="1">
      <w:start w:val="1"/>
      <w:numFmt w:val="bullet"/>
      <w:lvlText w:val=""/>
      <w:lvlJc w:val="left"/>
      <w:pPr>
        <w:ind w:left="4680" w:hanging="360"/>
      </w:pPr>
      <w:rPr>
        <w:rFonts w:hint="default" w:ascii="Wingdings" w:hAnsi="Wingdings"/>
      </w:rPr>
    </w:lvl>
    <w:lvl w:ilvl="6" w:tplc="20000001" w:tentative="1">
      <w:start w:val="1"/>
      <w:numFmt w:val="bullet"/>
      <w:lvlText w:val=""/>
      <w:lvlJc w:val="left"/>
      <w:pPr>
        <w:ind w:left="5400" w:hanging="360"/>
      </w:pPr>
      <w:rPr>
        <w:rFonts w:hint="default" w:ascii="Symbol" w:hAnsi="Symbol"/>
      </w:rPr>
    </w:lvl>
    <w:lvl w:ilvl="7" w:tplc="20000003" w:tentative="1">
      <w:start w:val="1"/>
      <w:numFmt w:val="bullet"/>
      <w:lvlText w:val="o"/>
      <w:lvlJc w:val="left"/>
      <w:pPr>
        <w:ind w:left="6120" w:hanging="360"/>
      </w:pPr>
      <w:rPr>
        <w:rFonts w:hint="default" w:ascii="Courier New" w:hAnsi="Courier New" w:cs="Courier New"/>
      </w:rPr>
    </w:lvl>
    <w:lvl w:ilvl="8" w:tplc="20000005" w:tentative="1">
      <w:start w:val="1"/>
      <w:numFmt w:val="bullet"/>
      <w:lvlText w:val=""/>
      <w:lvlJc w:val="left"/>
      <w:pPr>
        <w:ind w:left="6840" w:hanging="360"/>
      </w:pPr>
      <w:rPr>
        <w:rFonts w:hint="default" w:ascii="Wingdings" w:hAnsi="Wingdings"/>
      </w:rPr>
    </w:lvl>
  </w:abstractNum>
  <w:abstractNum w:abstractNumId="13" w15:restartNumberingAfterBreak="0">
    <w:nsid w:val="66B034A6"/>
    <w:multiLevelType w:val="hybridMultilevel"/>
    <w:tmpl w:val="FAD44E70"/>
    <w:lvl w:ilvl="0" w:tplc="20000001">
      <w:start w:val="1"/>
      <w:numFmt w:val="bullet"/>
      <w:lvlText w:val=""/>
      <w:lvlJc w:val="left"/>
      <w:pPr>
        <w:ind w:left="1080" w:hanging="360"/>
      </w:pPr>
      <w:rPr>
        <w:rFonts w:hint="default" w:ascii="Symbol" w:hAnsi="Symbol"/>
      </w:rPr>
    </w:lvl>
    <w:lvl w:ilvl="1" w:tplc="20000003" w:tentative="1">
      <w:start w:val="1"/>
      <w:numFmt w:val="bullet"/>
      <w:lvlText w:val="o"/>
      <w:lvlJc w:val="left"/>
      <w:pPr>
        <w:ind w:left="1800" w:hanging="360"/>
      </w:pPr>
      <w:rPr>
        <w:rFonts w:hint="default" w:ascii="Courier New" w:hAnsi="Courier New" w:cs="Courier New"/>
      </w:rPr>
    </w:lvl>
    <w:lvl w:ilvl="2" w:tplc="20000005" w:tentative="1">
      <w:start w:val="1"/>
      <w:numFmt w:val="bullet"/>
      <w:lvlText w:val=""/>
      <w:lvlJc w:val="left"/>
      <w:pPr>
        <w:ind w:left="2520" w:hanging="360"/>
      </w:pPr>
      <w:rPr>
        <w:rFonts w:hint="default" w:ascii="Wingdings" w:hAnsi="Wingdings"/>
      </w:rPr>
    </w:lvl>
    <w:lvl w:ilvl="3" w:tplc="20000001" w:tentative="1">
      <w:start w:val="1"/>
      <w:numFmt w:val="bullet"/>
      <w:lvlText w:val=""/>
      <w:lvlJc w:val="left"/>
      <w:pPr>
        <w:ind w:left="3240" w:hanging="360"/>
      </w:pPr>
      <w:rPr>
        <w:rFonts w:hint="default" w:ascii="Symbol" w:hAnsi="Symbol"/>
      </w:rPr>
    </w:lvl>
    <w:lvl w:ilvl="4" w:tplc="20000003" w:tentative="1">
      <w:start w:val="1"/>
      <w:numFmt w:val="bullet"/>
      <w:lvlText w:val="o"/>
      <w:lvlJc w:val="left"/>
      <w:pPr>
        <w:ind w:left="3960" w:hanging="360"/>
      </w:pPr>
      <w:rPr>
        <w:rFonts w:hint="default" w:ascii="Courier New" w:hAnsi="Courier New" w:cs="Courier New"/>
      </w:rPr>
    </w:lvl>
    <w:lvl w:ilvl="5" w:tplc="20000005" w:tentative="1">
      <w:start w:val="1"/>
      <w:numFmt w:val="bullet"/>
      <w:lvlText w:val=""/>
      <w:lvlJc w:val="left"/>
      <w:pPr>
        <w:ind w:left="4680" w:hanging="360"/>
      </w:pPr>
      <w:rPr>
        <w:rFonts w:hint="default" w:ascii="Wingdings" w:hAnsi="Wingdings"/>
      </w:rPr>
    </w:lvl>
    <w:lvl w:ilvl="6" w:tplc="20000001" w:tentative="1">
      <w:start w:val="1"/>
      <w:numFmt w:val="bullet"/>
      <w:lvlText w:val=""/>
      <w:lvlJc w:val="left"/>
      <w:pPr>
        <w:ind w:left="5400" w:hanging="360"/>
      </w:pPr>
      <w:rPr>
        <w:rFonts w:hint="default" w:ascii="Symbol" w:hAnsi="Symbol"/>
      </w:rPr>
    </w:lvl>
    <w:lvl w:ilvl="7" w:tplc="20000003" w:tentative="1">
      <w:start w:val="1"/>
      <w:numFmt w:val="bullet"/>
      <w:lvlText w:val="o"/>
      <w:lvlJc w:val="left"/>
      <w:pPr>
        <w:ind w:left="6120" w:hanging="360"/>
      </w:pPr>
      <w:rPr>
        <w:rFonts w:hint="default" w:ascii="Courier New" w:hAnsi="Courier New" w:cs="Courier New"/>
      </w:rPr>
    </w:lvl>
    <w:lvl w:ilvl="8" w:tplc="20000005" w:tentative="1">
      <w:start w:val="1"/>
      <w:numFmt w:val="bullet"/>
      <w:lvlText w:val=""/>
      <w:lvlJc w:val="left"/>
      <w:pPr>
        <w:ind w:left="6840" w:hanging="360"/>
      </w:pPr>
      <w:rPr>
        <w:rFonts w:hint="default" w:ascii="Wingdings" w:hAnsi="Wingdings"/>
      </w:rPr>
    </w:lvl>
  </w:abstractNum>
  <w:abstractNum w:abstractNumId="14" w15:restartNumberingAfterBreak="0">
    <w:nsid w:val="73B94AE6"/>
    <w:multiLevelType w:val="multilevel"/>
    <w:tmpl w:val="53BCD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004071"/>
    <w:multiLevelType w:val="multilevel"/>
    <w:tmpl w:val="E38E3E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797C686E"/>
    <w:multiLevelType w:val="multilevel"/>
    <w:tmpl w:val="1C485D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04288982">
    <w:abstractNumId w:val="10"/>
  </w:num>
  <w:num w:numId="2" w16cid:durableId="1458252547">
    <w:abstractNumId w:val="1"/>
  </w:num>
  <w:num w:numId="3" w16cid:durableId="468137501">
    <w:abstractNumId w:val="8"/>
  </w:num>
  <w:num w:numId="4" w16cid:durableId="1755201700">
    <w:abstractNumId w:val="4"/>
  </w:num>
  <w:num w:numId="5" w16cid:durableId="497162721">
    <w:abstractNumId w:val="3"/>
  </w:num>
  <w:num w:numId="6" w16cid:durableId="92750540">
    <w:abstractNumId w:val="15"/>
  </w:num>
  <w:num w:numId="7" w16cid:durableId="149636471">
    <w:abstractNumId w:val="11"/>
  </w:num>
  <w:num w:numId="8" w16cid:durableId="2024627889">
    <w:abstractNumId w:val="5"/>
  </w:num>
  <w:num w:numId="9" w16cid:durableId="616765047">
    <w:abstractNumId w:val="14"/>
  </w:num>
  <w:num w:numId="10" w16cid:durableId="1380861781">
    <w:abstractNumId w:val="6"/>
  </w:num>
  <w:num w:numId="11" w16cid:durableId="1177114272">
    <w:abstractNumId w:val="0"/>
  </w:num>
  <w:num w:numId="12" w16cid:durableId="1256478346">
    <w:abstractNumId w:val="9"/>
  </w:num>
  <w:num w:numId="13" w16cid:durableId="413942213">
    <w:abstractNumId w:val="13"/>
  </w:num>
  <w:num w:numId="14" w16cid:durableId="332533755">
    <w:abstractNumId w:val="7"/>
  </w:num>
  <w:num w:numId="15" w16cid:durableId="879708416">
    <w:abstractNumId w:val="12"/>
  </w:num>
  <w:num w:numId="16" w16cid:durableId="75983649">
    <w:abstractNumId w:val="2"/>
  </w:num>
  <w:num w:numId="17" w16cid:durableId="6581193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revisionView w:inkAnnotations="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BB2"/>
    <w:rsid w:val="00027636"/>
    <w:rsid w:val="000E6EC5"/>
    <w:rsid w:val="00117BB2"/>
    <w:rsid w:val="00747AAF"/>
    <w:rsid w:val="00756878"/>
    <w:rsid w:val="009A7BF9"/>
    <w:rsid w:val="00B86638"/>
    <w:rsid w:val="00B96925"/>
    <w:rsid w:val="00E33B89"/>
    <w:rsid w:val="00F54C73"/>
    <w:rsid w:val="023A0D22"/>
    <w:rsid w:val="1333EF62"/>
    <w:rsid w:val="15ECEC82"/>
    <w:rsid w:val="37E14659"/>
    <w:rsid w:val="74A4831F"/>
    <w:rsid w:val="781FC307"/>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A4F35"/>
  <w15:chartTrackingRefBased/>
  <w15:docId w15:val="{A10AFE94-DB43-46BA-AFBE-3EE45177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17BB2"/>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17BB2"/>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17BB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7B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7B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7B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B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B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BB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17BB2"/>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117BB2"/>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117BB2"/>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117BB2"/>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17BB2"/>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17BB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17BB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17BB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17BB2"/>
    <w:rPr>
      <w:rFonts w:eastAsiaTheme="majorEastAsia" w:cstheme="majorBidi"/>
      <w:color w:val="272727" w:themeColor="text1" w:themeTint="D8"/>
    </w:rPr>
  </w:style>
  <w:style w:type="paragraph" w:styleId="Title">
    <w:name w:val="Title"/>
    <w:basedOn w:val="Normal"/>
    <w:next w:val="Normal"/>
    <w:link w:val="TitleChar"/>
    <w:uiPriority w:val="10"/>
    <w:qFormat/>
    <w:rsid w:val="00117BB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17BB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17BB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17B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BB2"/>
    <w:pPr>
      <w:spacing w:before="160"/>
      <w:jc w:val="center"/>
    </w:pPr>
    <w:rPr>
      <w:i/>
      <w:iCs/>
      <w:color w:val="404040" w:themeColor="text1" w:themeTint="BF"/>
    </w:rPr>
  </w:style>
  <w:style w:type="character" w:styleId="QuoteChar" w:customStyle="1">
    <w:name w:val="Quote Char"/>
    <w:basedOn w:val="DefaultParagraphFont"/>
    <w:link w:val="Quote"/>
    <w:uiPriority w:val="29"/>
    <w:rsid w:val="00117BB2"/>
    <w:rPr>
      <w:i/>
      <w:iCs/>
      <w:color w:val="404040" w:themeColor="text1" w:themeTint="BF"/>
    </w:rPr>
  </w:style>
  <w:style w:type="paragraph" w:styleId="ListParagraph">
    <w:name w:val="List Paragraph"/>
    <w:basedOn w:val="Normal"/>
    <w:uiPriority w:val="34"/>
    <w:qFormat/>
    <w:rsid w:val="00117BB2"/>
    <w:pPr>
      <w:ind w:left="720"/>
      <w:contextualSpacing/>
    </w:pPr>
  </w:style>
  <w:style w:type="character" w:styleId="IntenseEmphasis">
    <w:name w:val="Intense Emphasis"/>
    <w:basedOn w:val="DefaultParagraphFont"/>
    <w:uiPriority w:val="21"/>
    <w:qFormat/>
    <w:rsid w:val="00117BB2"/>
    <w:rPr>
      <w:i/>
      <w:iCs/>
      <w:color w:val="2F5496" w:themeColor="accent1" w:themeShade="BF"/>
    </w:rPr>
  </w:style>
  <w:style w:type="paragraph" w:styleId="IntenseQuote">
    <w:name w:val="Intense Quote"/>
    <w:basedOn w:val="Normal"/>
    <w:next w:val="Normal"/>
    <w:link w:val="IntenseQuoteChar"/>
    <w:uiPriority w:val="30"/>
    <w:qFormat/>
    <w:rsid w:val="00117BB2"/>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17BB2"/>
    <w:rPr>
      <w:i/>
      <w:iCs/>
      <w:color w:val="2F5496" w:themeColor="accent1" w:themeShade="BF"/>
    </w:rPr>
  </w:style>
  <w:style w:type="character" w:styleId="IntenseReference">
    <w:name w:val="Intense Reference"/>
    <w:basedOn w:val="DefaultParagraphFont"/>
    <w:uiPriority w:val="32"/>
    <w:qFormat/>
    <w:rsid w:val="00117BB2"/>
    <w:rPr>
      <w:b/>
      <w:bCs/>
      <w:smallCaps/>
      <w:color w:val="2F5496" w:themeColor="accent1" w:themeShade="BF"/>
      <w:spacing w:val="5"/>
    </w:rPr>
  </w:style>
  <w:style w:type="character" w:styleId="Hyperlink">
    <w:name w:val="Hyperlink"/>
    <w:basedOn w:val="DefaultParagraphFont"/>
    <w:uiPriority w:val="99"/>
    <w:unhideWhenUsed/>
    <w:rsid w:val="009A7BF9"/>
    <w:rPr>
      <w:color w:val="0563C1" w:themeColor="hyperlink"/>
      <w:u w:val="single"/>
    </w:rPr>
  </w:style>
  <w:style w:type="character" w:styleId="UnresolvedMention">
    <w:name w:val="Unresolved Mention"/>
    <w:basedOn w:val="DefaultParagraphFont"/>
    <w:uiPriority w:val="99"/>
    <w:semiHidden/>
    <w:unhideWhenUsed/>
    <w:rsid w:val="009A7BF9"/>
    <w:rPr>
      <w:color w:val="605E5C"/>
      <w:shd w:val="clear" w:color="auto" w:fill="E1DFDD"/>
    </w:rPr>
  </w:style>
  <w:style w:type="paragraph" w:styleId="Header">
    <w:name w:val="header"/>
    <w:basedOn w:val="Normal"/>
    <w:link w:val="HeaderChar"/>
    <w:uiPriority w:val="99"/>
    <w:unhideWhenUsed/>
    <w:rsid w:val="00B96925"/>
    <w:pPr>
      <w:tabs>
        <w:tab w:val="center" w:pos="4513"/>
        <w:tab w:val="right" w:pos="9026"/>
      </w:tabs>
      <w:spacing w:after="0" w:line="240" w:lineRule="auto"/>
    </w:pPr>
  </w:style>
  <w:style w:type="character" w:styleId="HeaderChar" w:customStyle="1">
    <w:name w:val="Header Char"/>
    <w:basedOn w:val="DefaultParagraphFont"/>
    <w:link w:val="Header"/>
    <w:uiPriority w:val="99"/>
    <w:rsid w:val="00B96925"/>
  </w:style>
  <w:style w:type="paragraph" w:styleId="Footer">
    <w:name w:val="footer"/>
    <w:basedOn w:val="Normal"/>
    <w:link w:val="FooterChar"/>
    <w:uiPriority w:val="99"/>
    <w:unhideWhenUsed/>
    <w:rsid w:val="00B96925"/>
    <w:pPr>
      <w:tabs>
        <w:tab w:val="center" w:pos="4513"/>
        <w:tab w:val="right" w:pos="9026"/>
      </w:tabs>
      <w:spacing w:after="0" w:line="240" w:lineRule="auto"/>
    </w:pPr>
  </w:style>
  <w:style w:type="character" w:styleId="FooterChar" w:customStyle="1">
    <w:name w:val="Footer Char"/>
    <w:basedOn w:val="DefaultParagraphFont"/>
    <w:link w:val="Footer"/>
    <w:uiPriority w:val="99"/>
    <w:rsid w:val="00B96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dpi.com/1660-4601/18/9/4594" TargetMode="External" Id="rId8" /><Relationship Type="http://schemas.openxmlformats.org/officeDocument/2006/relationships/hyperlink" Target="https://academic.oup.com/inthealth/article/13/3/222/5891235" TargetMode="External" Id="rId13" /><Relationship Type="http://schemas.openxmlformats.org/officeDocument/2006/relationships/settings" Target="settings.xml" Id="rId3" /><Relationship Type="http://schemas.openxmlformats.org/officeDocument/2006/relationships/hyperlink" Target="https://www.norfolk.gov.uk/" TargetMode="External" Id="rId7" /><Relationship Type="http://schemas.openxmlformats.org/officeDocument/2006/relationships/hyperlink" Target="https://onlinelibrary.wiley.com/doi/full/10.1111/jar.12852"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mdpi.com/1424-8220/22/6/2124" TargetMode="External" Id="rId11"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hyperlink" Target="https://psychiatryonline.org/doi/full/10.1176/appi.ps.202100027" TargetMode="External" Id="rId10" /><Relationship Type="http://schemas.openxmlformats.org/officeDocument/2006/relationships/webSettings" Target="webSettings.xml" Id="rId4" /><Relationship Type="http://schemas.openxmlformats.org/officeDocument/2006/relationships/hyperlink" Target="https://jamanetwork.com/journals/jamapsychiatry/fullarticle/2787195" TargetMode="External" Id="rId9" /><Relationship Type="http://schemas.openxmlformats.org/officeDocument/2006/relationships/hyperlink" Target="https://link.springer.com/article/10.1186/s12889-021-11468-3"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2Xi8YKhx4PLhx Malfoy</dc:creator>
  <keywords/>
  <dc:description/>
  <lastModifiedBy>Humaria Alam (2323463)</lastModifiedBy>
  <revision>3</revision>
  <dcterms:created xsi:type="dcterms:W3CDTF">2025-11-05T13:30:00.0000000Z</dcterms:created>
  <dcterms:modified xsi:type="dcterms:W3CDTF">2025-11-14T17:21:02.4983062Z</dcterms:modified>
</coreProperties>
</file>