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heme="minorBidi"/>
          <w:color w:val="auto"/>
          <w:bdr w:val="none" w:sz="0" w:space="0" w:color="auto"/>
          <w:lang w:eastAsia="en-US"/>
          <w14:textOutline w14:w="0" w14:cap="rnd" w14:cmpd="sng" w14:algn="ctr">
            <w14:noFill/>
            <w14:prstDash w14:val="solid"/>
            <w14:bevel/>
          </w14:textOutline>
          <w14:ligatures w14:val="standardContextual"/>
        </w:rPr>
        <w:id w:val="1982187555"/>
        <w:docPartObj>
          <w:docPartGallery w:val="Cover Pages"/>
          <w:docPartUnique/>
        </w:docPartObj>
      </w:sdtPr>
      <w:sdtEndPr>
        <w:rPr>
          <w:rFonts w:ascii="Arial" w:hAnsi="Arial" w:cs="Arial"/>
        </w:rPr>
      </w:sdtEndPr>
      <w:sdtContent>
        <w:p w14:paraId="469D0F9E" w14:textId="77777777" w:rsidR="009C0311" w:rsidRDefault="009C0311" w:rsidP="009C0311">
          <w:pPr>
            <w:pStyle w:val="Body"/>
          </w:pPr>
          <w:r>
            <w:rPr>
              <w:noProof/>
            </w:rPr>
            <w:drawing>
              <wp:inline distT="0" distB="0" distL="0" distR="0" wp14:anchorId="3F4FAE9B" wp14:editId="6EEA4B92">
                <wp:extent cx="3347049" cy="1339785"/>
                <wp:effectExtent l="0" t="0" r="0" b="0"/>
                <wp:docPr id="1073741825" name="officeArt object" descr="UWTSD logo | Discover Dylan Thomas"/>
                <wp:cNvGraphicFramePr/>
                <a:graphic xmlns:a="http://schemas.openxmlformats.org/drawingml/2006/main">
                  <a:graphicData uri="http://schemas.openxmlformats.org/drawingml/2006/picture">
                    <pic:pic xmlns:pic="http://schemas.openxmlformats.org/drawingml/2006/picture">
                      <pic:nvPicPr>
                        <pic:cNvPr id="1073741825" name="UWTSD logo | Discover Dylan Thomas" descr="UWTSD logo | Discover Dylan Thomas"/>
                        <pic:cNvPicPr>
                          <a:picLocks noChangeAspect="1"/>
                        </pic:cNvPicPr>
                      </pic:nvPicPr>
                      <pic:blipFill>
                        <a:blip r:embed="rId7"/>
                        <a:stretch>
                          <a:fillRect/>
                        </a:stretch>
                      </pic:blipFill>
                      <pic:spPr>
                        <a:xfrm>
                          <a:off x="0" y="0"/>
                          <a:ext cx="3347049" cy="1339785"/>
                        </a:xfrm>
                        <a:prstGeom prst="rect">
                          <a:avLst/>
                        </a:prstGeom>
                        <a:ln w="12700" cap="flat">
                          <a:noFill/>
                          <a:miter lim="400000"/>
                        </a:ln>
                        <a:effectLst/>
                      </pic:spPr>
                    </pic:pic>
                  </a:graphicData>
                </a:graphic>
              </wp:inline>
            </w:drawing>
          </w:r>
        </w:p>
        <w:p w14:paraId="126D0568" w14:textId="77777777" w:rsidR="009C0311" w:rsidRDefault="009C0311" w:rsidP="009C0311">
          <w:pPr>
            <w:pStyle w:val="Body"/>
            <w:rPr>
              <w:rFonts w:ascii="Segoe UI" w:eastAsia="Segoe UI" w:hAnsi="Segoe UI" w:cs="Segoe UI"/>
              <w:b/>
              <w:bCs/>
              <w:color w:val="1D2125"/>
              <w:u w:color="1D2125"/>
            </w:rPr>
          </w:pPr>
        </w:p>
        <w:p w14:paraId="7B75148F" w14:textId="77777777" w:rsidR="009C0311" w:rsidRDefault="009C0311" w:rsidP="009C0311">
          <w:pPr>
            <w:pStyle w:val="Body"/>
            <w:rPr>
              <w:rFonts w:ascii="Arial" w:hAnsi="Arial"/>
              <w:b/>
              <w:bCs/>
              <w:color w:val="1D2125"/>
              <w:sz w:val="36"/>
              <w:szCs w:val="36"/>
              <w:u w:color="1D2125"/>
            </w:rPr>
          </w:pPr>
        </w:p>
        <w:p w14:paraId="55A2B17A" w14:textId="77777777" w:rsidR="009C0311" w:rsidRDefault="009C0311" w:rsidP="009C0311">
          <w:pPr>
            <w:pStyle w:val="Body"/>
            <w:jc w:val="center"/>
            <w:rPr>
              <w:rFonts w:ascii="Arial" w:hAnsi="Arial"/>
              <w:b/>
              <w:bCs/>
              <w:color w:val="1D2125"/>
              <w:sz w:val="36"/>
              <w:szCs w:val="36"/>
              <w:u w:color="1D2125"/>
            </w:rPr>
          </w:pPr>
        </w:p>
        <w:p w14:paraId="5D7F7527" w14:textId="77777777" w:rsidR="009C0311" w:rsidRPr="001F3FE6" w:rsidRDefault="009C0311" w:rsidP="009C0311">
          <w:pPr>
            <w:pStyle w:val="Body"/>
            <w:jc w:val="center"/>
            <w:rPr>
              <w:rFonts w:ascii="Arial" w:eastAsia="Arial" w:hAnsi="Arial" w:cs="Arial"/>
              <w:b/>
              <w:bCs/>
              <w:color w:val="1D2125"/>
              <w:sz w:val="36"/>
              <w:szCs w:val="36"/>
              <w:u w:color="1D2125"/>
            </w:rPr>
          </w:pPr>
          <w:r w:rsidRPr="001F3FE6">
            <w:rPr>
              <w:rFonts w:ascii="Arial" w:hAnsi="Arial" w:cs="Arial"/>
              <w:b/>
              <w:bCs/>
              <w:color w:val="1D2125"/>
              <w:sz w:val="36"/>
              <w:szCs w:val="36"/>
              <w:u w:color="1D2125"/>
              <w:lang w:val="en-US"/>
            </w:rPr>
            <w:t>BMHP6029-Psychopathological Classifications and Provisions</w:t>
          </w:r>
        </w:p>
        <w:p w14:paraId="7DBE3F38" w14:textId="77777777" w:rsidR="009C0311" w:rsidRPr="001F3FE6" w:rsidRDefault="009C0311" w:rsidP="009C0311">
          <w:pPr>
            <w:pStyle w:val="Body"/>
            <w:jc w:val="center"/>
            <w:rPr>
              <w:rFonts w:ascii="Arial" w:eastAsia="Arial" w:hAnsi="Arial" w:cs="Arial"/>
              <w:b/>
              <w:bCs/>
              <w:color w:val="1D2125"/>
              <w:sz w:val="36"/>
              <w:szCs w:val="36"/>
              <w:u w:color="1D2125"/>
            </w:rPr>
          </w:pPr>
        </w:p>
        <w:p w14:paraId="068C3052" w14:textId="77777777" w:rsidR="009C0311" w:rsidRPr="001F3FE6" w:rsidRDefault="009C0311" w:rsidP="009C0311">
          <w:pPr>
            <w:pStyle w:val="Body"/>
            <w:jc w:val="center"/>
            <w:rPr>
              <w:rFonts w:ascii="Arial" w:eastAsia="Arial" w:hAnsi="Arial" w:cs="Arial"/>
              <w:b/>
              <w:bCs/>
              <w:color w:val="1D2125"/>
              <w:sz w:val="36"/>
              <w:szCs w:val="36"/>
              <w:u w:color="1D2125"/>
            </w:rPr>
          </w:pPr>
        </w:p>
        <w:p w14:paraId="4B267FB2" w14:textId="77777777" w:rsidR="009C0311" w:rsidRPr="001F3FE6" w:rsidRDefault="009C0311" w:rsidP="009C0311">
          <w:pPr>
            <w:pStyle w:val="Body"/>
            <w:jc w:val="center"/>
            <w:rPr>
              <w:rFonts w:ascii="Arial" w:eastAsia="Arial" w:hAnsi="Arial" w:cs="Arial"/>
              <w:b/>
              <w:bCs/>
              <w:color w:val="1D2125"/>
              <w:sz w:val="36"/>
              <w:szCs w:val="36"/>
              <w:u w:color="1D2125"/>
            </w:rPr>
          </w:pPr>
        </w:p>
        <w:p w14:paraId="07114C5F" w14:textId="05B0D014" w:rsidR="009C0311" w:rsidRPr="001F3FE6" w:rsidRDefault="009C0311" w:rsidP="009C0311">
          <w:pPr>
            <w:pStyle w:val="Body"/>
            <w:rPr>
              <w:rFonts w:ascii="Arial" w:eastAsia="Arial" w:hAnsi="Arial" w:cs="Arial"/>
              <w:b/>
              <w:bCs/>
              <w:color w:val="1D2125"/>
              <w:sz w:val="32"/>
              <w:szCs w:val="32"/>
              <w:u w:color="1D2125"/>
            </w:rPr>
          </w:pPr>
          <w:r w:rsidRPr="001F3FE6">
            <w:rPr>
              <w:rFonts w:ascii="Arial" w:hAnsi="Arial" w:cs="Arial"/>
              <w:b/>
              <w:bCs/>
              <w:color w:val="1D2125"/>
              <w:sz w:val="32"/>
              <w:szCs w:val="32"/>
              <w:u w:color="1D2125"/>
              <w:lang w:val="en-US"/>
            </w:rPr>
            <w:t>Student name Agnieszka Szalek</w:t>
          </w:r>
        </w:p>
        <w:p w14:paraId="759F99E1" w14:textId="2A901BB1" w:rsidR="009C0311" w:rsidRPr="001F3FE6" w:rsidRDefault="009C0311" w:rsidP="009C0311">
          <w:pPr>
            <w:pStyle w:val="Body"/>
            <w:rPr>
              <w:rFonts w:ascii="Arial" w:eastAsia="Arial" w:hAnsi="Arial" w:cs="Arial"/>
              <w:b/>
              <w:bCs/>
              <w:color w:val="1D2125"/>
              <w:sz w:val="32"/>
              <w:szCs w:val="32"/>
              <w:u w:color="1D2125"/>
            </w:rPr>
          </w:pPr>
          <w:r w:rsidRPr="001F3FE6">
            <w:rPr>
              <w:rFonts w:ascii="Arial" w:hAnsi="Arial" w:cs="Arial"/>
              <w:b/>
              <w:bCs/>
              <w:color w:val="1D2125"/>
              <w:sz w:val="32"/>
              <w:szCs w:val="32"/>
              <w:u w:color="1D2125"/>
              <w:lang w:val="en-US"/>
            </w:rPr>
            <w:t>Student number 2326666</w:t>
          </w:r>
        </w:p>
        <w:p w14:paraId="44A5F8C8" w14:textId="4ABC472C" w:rsidR="009C0311" w:rsidRPr="001F3FE6" w:rsidRDefault="009C0311" w:rsidP="009C0311">
          <w:pPr>
            <w:pStyle w:val="Body"/>
            <w:rPr>
              <w:rFonts w:ascii="Arial" w:eastAsia="Arial" w:hAnsi="Arial" w:cs="Arial"/>
              <w:b/>
              <w:bCs/>
              <w:color w:val="1D2125"/>
              <w:sz w:val="32"/>
              <w:szCs w:val="32"/>
              <w:u w:color="1D2125"/>
            </w:rPr>
          </w:pPr>
          <w:r w:rsidRPr="001F3FE6">
            <w:rPr>
              <w:rFonts w:ascii="Arial" w:eastAsia="Arial" w:hAnsi="Arial" w:cs="Arial"/>
              <w:b/>
              <w:bCs/>
              <w:color w:val="1D2125"/>
              <w:sz w:val="32"/>
              <w:szCs w:val="32"/>
              <w:u w:color="1D2125"/>
            </w:rPr>
            <w:t>Lecture’s name Bianca Sanfilippo</w:t>
          </w:r>
        </w:p>
        <w:p w14:paraId="4D92012B" w14:textId="77777777" w:rsidR="009C0311" w:rsidRPr="001F3FE6" w:rsidRDefault="009C0311" w:rsidP="009C0311">
          <w:pPr>
            <w:pStyle w:val="Body"/>
            <w:rPr>
              <w:rFonts w:ascii="Arial" w:eastAsia="Arial" w:hAnsi="Arial" w:cs="Arial"/>
              <w:b/>
              <w:bCs/>
              <w:color w:val="1D2125"/>
              <w:sz w:val="36"/>
              <w:szCs w:val="36"/>
              <w:u w:color="1D2125"/>
            </w:rPr>
          </w:pPr>
        </w:p>
        <w:p w14:paraId="2FCC4B81" w14:textId="77777777" w:rsidR="009C0311" w:rsidRPr="001F3FE6" w:rsidRDefault="009C0311" w:rsidP="009C0311">
          <w:pPr>
            <w:pStyle w:val="Body"/>
            <w:rPr>
              <w:rFonts w:ascii="Arial" w:eastAsia="Arial" w:hAnsi="Arial" w:cs="Arial"/>
              <w:b/>
              <w:bCs/>
              <w:color w:val="1D2125"/>
              <w:sz w:val="36"/>
              <w:szCs w:val="36"/>
              <w:u w:color="1D2125"/>
            </w:rPr>
          </w:pPr>
        </w:p>
        <w:p w14:paraId="0C5E44F9" w14:textId="77777777" w:rsidR="009C0311" w:rsidRPr="001F3FE6" w:rsidRDefault="009C0311" w:rsidP="009C0311">
          <w:pPr>
            <w:pStyle w:val="Body"/>
            <w:rPr>
              <w:rFonts w:ascii="Arial" w:eastAsia="Arial" w:hAnsi="Arial" w:cs="Arial"/>
              <w:b/>
              <w:bCs/>
              <w:color w:val="1D2125"/>
              <w:sz w:val="36"/>
              <w:szCs w:val="36"/>
              <w:u w:color="1D2125"/>
            </w:rPr>
          </w:pPr>
        </w:p>
        <w:p w14:paraId="208B527A" w14:textId="1BE7C713" w:rsidR="009C0311" w:rsidRPr="001F3FE6" w:rsidRDefault="009C0311" w:rsidP="009C0311">
          <w:pPr>
            <w:pStyle w:val="Body"/>
            <w:jc w:val="center"/>
            <w:rPr>
              <w:rFonts w:ascii="Arial" w:eastAsia="Arial" w:hAnsi="Arial" w:cs="Arial"/>
              <w:b/>
              <w:bCs/>
              <w:color w:val="1D2125"/>
              <w:sz w:val="36"/>
              <w:szCs w:val="36"/>
              <w:u w:color="1D2125"/>
            </w:rPr>
          </w:pPr>
          <w:r w:rsidRPr="001F3FE6">
            <w:rPr>
              <w:rFonts w:ascii="Arial" w:eastAsia="Arial" w:hAnsi="Arial" w:cs="Arial"/>
              <w:b/>
              <w:bCs/>
              <w:color w:val="1D2125"/>
              <w:sz w:val="36"/>
              <w:szCs w:val="36"/>
              <w:u w:color="1D2125"/>
            </w:rPr>
            <w:t>Mixed Depressive and Anxiety Disorder ICD-11</w:t>
          </w:r>
        </w:p>
        <w:p w14:paraId="7186CEB2" w14:textId="4B33E2A9" w:rsidR="009C0311" w:rsidRPr="001F3FE6" w:rsidRDefault="009C0311" w:rsidP="009C0311">
          <w:pPr>
            <w:pStyle w:val="Body"/>
            <w:jc w:val="center"/>
            <w:rPr>
              <w:rFonts w:ascii="Arial" w:eastAsia="Arial" w:hAnsi="Arial" w:cs="Arial"/>
              <w:b/>
              <w:bCs/>
              <w:color w:val="1D2125"/>
              <w:sz w:val="36"/>
              <w:szCs w:val="36"/>
              <w:u w:color="1D2125"/>
            </w:rPr>
          </w:pPr>
          <w:r w:rsidRPr="001F3FE6">
            <w:rPr>
              <w:rFonts w:ascii="Arial" w:eastAsia="Arial" w:hAnsi="Arial" w:cs="Arial"/>
              <w:b/>
              <w:bCs/>
              <w:color w:val="1D2125"/>
              <w:sz w:val="36"/>
              <w:szCs w:val="36"/>
              <w:u w:color="1D2125"/>
            </w:rPr>
            <w:t>Cod 6A73</w:t>
          </w:r>
        </w:p>
        <w:p w14:paraId="3ED391DA" w14:textId="77777777" w:rsidR="009C0311" w:rsidRPr="001F3FE6" w:rsidRDefault="009C0311" w:rsidP="009C0311">
          <w:pPr>
            <w:pStyle w:val="Body"/>
            <w:rPr>
              <w:rFonts w:ascii="Arial" w:eastAsia="Arial" w:hAnsi="Arial" w:cs="Arial"/>
              <w:b/>
              <w:bCs/>
              <w:color w:val="1D2125"/>
              <w:sz w:val="32"/>
              <w:szCs w:val="32"/>
              <w:u w:color="1D2125"/>
            </w:rPr>
          </w:pPr>
        </w:p>
        <w:p w14:paraId="6FECE70B" w14:textId="77777777" w:rsidR="009C0311" w:rsidRPr="001F3FE6" w:rsidRDefault="009C0311" w:rsidP="009C0311">
          <w:pPr>
            <w:pStyle w:val="Body"/>
            <w:rPr>
              <w:rFonts w:ascii="Arial" w:eastAsia="Arial" w:hAnsi="Arial" w:cs="Arial"/>
              <w:b/>
              <w:bCs/>
              <w:color w:val="1D2125"/>
              <w:sz w:val="32"/>
              <w:szCs w:val="32"/>
              <w:u w:color="1D2125"/>
            </w:rPr>
          </w:pPr>
        </w:p>
        <w:p w14:paraId="71F5127B" w14:textId="06DF4B12" w:rsidR="009C0311" w:rsidRPr="001F3FE6" w:rsidRDefault="009C0311">
          <w:pPr>
            <w:spacing w:line="240" w:lineRule="auto"/>
            <w:jc w:val="left"/>
            <w:rPr>
              <w:rFonts w:ascii="Arial" w:hAnsi="Arial" w:cs="Arial"/>
            </w:rPr>
          </w:pPr>
        </w:p>
        <w:p w14:paraId="019DC5E4" w14:textId="0BE536EC" w:rsidR="00DA4C96" w:rsidRPr="001F3FE6" w:rsidRDefault="00000000">
          <w:pPr>
            <w:spacing w:line="240" w:lineRule="auto"/>
            <w:jc w:val="left"/>
            <w:rPr>
              <w:rFonts w:ascii="Arial" w:hAnsi="Arial" w:cs="Arial"/>
            </w:rPr>
          </w:pPr>
        </w:p>
      </w:sdtContent>
    </w:sdt>
    <w:sdt>
      <w:sdtPr>
        <w:rPr>
          <w:rFonts w:ascii="Arial" w:eastAsiaTheme="minorHAnsi" w:hAnsi="Arial" w:cs="Arial"/>
          <w:b w:val="0"/>
          <w:bCs w:val="0"/>
          <w:color w:val="auto"/>
          <w:kern w:val="2"/>
          <w:sz w:val="24"/>
          <w:szCs w:val="24"/>
          <w:lang w:val="en-GB"/>
          <w14:ligatures w14:val="standardContextual"/>
        </w:rPr>
        <w:id w:val="84654887"/>
        <w:docPartObj>
          <w:docPartGallery w:val="Table of Contents"/>
          <w:docPartUnique/>
        </w:docPartObj>
      </w:sdtPr>
      <w:sdtEndPr>
        <w:rPr>
          <w:noProof/>
        </w:rPr>
      </w:sdtEndPr>
      <w:sdtContent>
        <w:p w14:paraId="656C5726" w14:textId="175A6948" w:rsidR="00C61CE7" w:rsidRPr="001F3FE6" w:rsidRDefault="00C61CE7">
          <w:pPr>
            <w:pStyle w:val="TOCHeading"/>
            <w:rPr>
              <w:rFonts w:ascii="Arial" w:hAnsi="Arial" w:cs="Arial"/>
            </w:rPr>
          </w:pPr>
          <w:r w:rsidRPr="001F3FE6">
            <w:rPr>
              <w:rFonts w:ascii="Arial" w:hAnsi="Arial" w:cs="Arial"/>
            </w:rPr>
            <w:t>Table of Contents</w:t>
          </w:r>
        </w:p>
        <w:p w14:paraId="74CCCBD9" w14:textId="16B1A503" w:rsidR="00C61CE7" w:rsidRPr="001F3FE6" w:rsidRDefault="00C61CE7">
          <w:pPr>
            <w:pStyle w:val="TOC1"/>
            <w:tabs>
              <w:tab w:val="right" w:leader="dot" w:pos="9016"/>
            </w:tabs>
            <w:rPr>
              <w:rFonts w:ascii="Arial" w:hAnsi="Arial" w:cs="Arial"/>
              <w:noProof/>
            </w:rPr>
          </w:pPr>
          <w:r w:rsidRPr="001F3FE6">
            <w:rPr>
              <w:rFonts w:ascii="Arial" w:hAnsi="Arial" w:cs="Arial"/>
              <w:b w:val="0"/>
              <w:bCs w:val="0"/>
            </w:rPr>
            <w:fldChar w:fldCharType="begin"/>
          </w:r>
          <w:r w:rsidRPr="001F3FE6">
            <w:rPr>
              <w:rFonts w:ascii="Arial" w:hAnsi="Arial" w:cs="Arial"/>
            </w:rPr>
            <w:instrText xml:space="preserve"> TOC \o "1-3" \h \z \u </w:instrText>
          </w:r>
          <w:r w:rsidRPr="001F3FE6">
            <w:rPr>
              <w:rFonts w:ascii="Arial" w:hAnsi="Arial" w:cs="Arial"/>
              <w:b w:val="0"/>
              <w:bCs w:val="0"/>
            </w:rPr>
            <w:fldChar w:fldCharType="separate"/>
          </w:r>
          <w:hyperlink w:anchor="_Toc227648433" w:history="1">
            <w:r w:rsidRPr="001F3FE6">
              <w:rPr>
                <w:rStyle w:val="Hyperlink"/>
                <w:rFonts w:ascii="Arial" w:hAnsi="Arial" w:cs="Arial"/>
                <w:noProof/>
              </w:rPr>
              <w:t>Introduction</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_Toc227648433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2</w:t>
            </w:r>
            <w:r w:rsidRPr="001F3FE6">
              <w:rPr>
                <w:rFonts w:ascii="Arial" w:hAnsi="Arial" w:cs="Arial"/>
                <w:noProof/>
                <w:webHidden/>
              </w:rPr>
              <w:fldChar w:fldCharType="end"/>
            </w:r>
          </w:hyperlink>
        </w:p>
        <w:p w14:paraId="6FB539D7" w14:textId="75CA87FE" w:rsidR="00C61CE7" w:rsidRPr="001F3FE6" w:rsidRDefault="00C61CE7">
          <w:pPr>
            <w:pStyle w:val="TOC1"/>
            <w:tabs>
              <w:tab w:val="right" w:leader="dot" w:pos="9016"/>
            </w:tabs>
            <w:rPr>
              <w:rFonts w:ascii="Arial" w:hAnsi="Arial" w:cs="Arial"/>
              <w:noProof/>
            </w:rPr>
          </w:pPr>
          <w:hyperlink w:anchor="_Toc227648434" w:history="1">
            <w:r w:rsidRPr="001F3FE6">
              <w:rPr>
                <w:rStyle w:val="Hyperlink"/>
                <w:rFonts w:ascii="Arial" w:hAnsi="Arial" w:cs="Arial"/>
                <w:noProof/>
              </w:rPr>
              <w:t>Classification</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_Toc227648434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2</w:t>
            </w:r>
            <w:r w:rsidRPr="001F3FE6">
              <w:rPr>
                <w:rFonts w:ascii="Arial" w:hAnsi="Arial" w:cs="Arial"/>
                <w:noProof/>
                <w:webHidden/>
              </w:rPr>
              <w:fldChar w:fldCharType="end"/>
            </w:r>
          </w:hyperlink>
        </w:p>
        <w:p w14:paraId="1678F09C" w14:textId="4900686B" w:rsidR="00C61CE7" w:rsidRPr="001F3FE6" w:rsidRDefault="00C61CE7">
          <w:pPr>
            <w:pStyle w:val="TOC1"/>
            <w:tabs>
              <w:tab w:val="right" w:leader="dot" w:pos="9016"/>
            </w:tabs>
            <w:rPr>
              <w:rFonts w:ascii="Arial" w:hAnsi="Arial" w:cs="Arial"/>
              <w:noProof/>
            </w:rPr>
          </w:pPr>
          <w:hyperlink w:anchor="_Toc227648435" w:history="1">
            <w:r w:rsidRPr="001F3FE6">
              <w:rPr>
                <w:rStyle w:val="Hyperlink"/>
                <w:rFonts w:ascii="Arial" w:hAnsi="Arial" w:cs="Arial"/>
                <w:noProof/>
              </w:rPr>
              <w:t>Diagnosis</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_Toc227648435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3</w:t>
            </w:r>
            <w:r w:rsidRPr="001F3FE6">
              <w:rPr>
                <w:rFonts w:ascii="Arial" w:hAnsi="Arial" w:cs="Arial"/>
                <w:noProof/>
                <w:webHidden/>
              </w:rPr>
              <w:fldChar w:fldCharType="end"/>
            </w:r>
          </w:hyperlink>
        </w:p>
        <w:p w14:paraId="38B33BC2" w14:textId="74D5D394" w:rsidR="00C61CE7" w:rsidRPr="001F3FE6" w:rsidRDefault="00C61CE7">
          <w:pPr>
            <w:pStyle w:val="TOC1"/>
            <w:tabs>
              <w:tab w:val="right" w:leader="dot" w:pos="9016"/>
            </w:tabs>
            <w:rPr>
              <w:rFonts w:ascii="Arial" w:hAnsi="Arial" w:cs="Arial"/>
              <w:noProof/>
            </w:rPr>
          </w:pPr>
          <w:hyperlink w:anchor="_Toc227648436" w:history="1">
            <w:r w:rsidRPr="001F3FE6">
              <w:rPr>
                <w:rStyle w:val="Hyperlink"/>
                <w:rFonts w:ascii="Arial" w:hAnsi="Arial" w:cs="Arial"/>
                <w:noProof/>
              </w:rPr>
              <w:t>Treatment</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_Toc227648436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3</w:t>
            </w:r>
            <w:r w:rsidRPr="001F3FE6">
              <w:rPr>
                <w:rFonts w:ascii="Arial" w:hAnsi="Arial" w:cs="Arial"/>
                <w:noProof/>
                <w:webHidden/>
              </w:rPr>
              <w:fldChar w:fldCharType="end"/>
            </w:r>
          </w:hyperlink>
        </w:p>
        <w:p w14:paraId="4F0845F6" w14:textId="3459CAF7" w:rsidR="00C61CE7" w:rsidRPr="001F3FE6" w:rsidRDefault="00C61CE7">
          <w:pPr>
            <w:pStyle w:val="TOC1"/>
            <w:tabs>
              <w:tab w:val="right" w:leader="dot" w:pos="9016"/>
            </w:tabs>
            <w:rPr>
              <w:rFonts w:ascii="Arial" w:hAnsi="Arial" w:cs="Arial"/>
              <w:noProof/>
            </w:rPr>
          </w:pPr>
          <w:hyperlink w:anchor="_Toc227648437" w:history="1">
            <w:r w:rsidRPr="001F3FE6">
              <w:rPr>
                <w:rStyle w:val="Hyperlink"/>
                <w:rFonts w:ascii="Arial" w:hAnsi="Arial" w:cs="Arial"/>
                <w:noProof/>
              </w:rPr>
              <w:t>Rehabilitation</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_Toc227648437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4</w:t>
            </w:r>
            <w:r w:rsidRPr="001F3FE6">
              <w:rPr>
                <w:rFonts w:ascii="Arial" w:hAnsi="Arial" w:cs="Arial"/>
                <w:noProof/>
                <w:webHidden/>
              </w:rPr>
              <w:fldChar w:fldCharType="end"/>
            </w:r>
          </w:hyperlink>
        </w:p>
        <w:p w14:paraId="0B70C8F6" w14:textId="7A489CE5" w:rsidR="00C61CE7" w:rsidRPr="001F3FE6" w:rsidRDefault="00C61CE7">
          <w:pPr>
            <w:pStyle w:val="TOC1"/>
            <w:tabs>
              <w:tab w:val="right" w:leader="dot" w:pos="9016"/>
            </w:tabs>
            <w:rPr>
              <w:rFonts w:ascii="Arial" w:hAnsi="Arial" w:cs="Arial"/>
              <w:noProof/>
            </w:rPr>
          </w:pPr>
          <w:hyperlink w:anchor="_Toc227648438" w:history="1">
            <w:r w:rsidRPr="001F3FE6">
              <w:rPr>
                <w:rStyle w:val="Hyperlink"/>
                <w:rFonts w:ascii="Arial" w:hAnsi="Arial" w:cs="Arial"/>
                <w:noProof/>
              </w:rPr>
              <w:t>Effectiveness</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_Toc227648438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5</w:t>
            </w:r>
            <w:r w:rsidRPr="001F3FE6">
              <w:rPr>
                <w:rFonts w:ascii="Arial" w:hAnsi="Arial" w:cs="Arial"/>
                <w:noProof/>
                <w:webHidden/>
              </w:rPr>
              <w:fldChar w:fldCharType="end"/>
            </w:r>
          </w:hyperlink>
        </w:p>
        <w:p w14:paraId="00DA29A3" w14:textId="00DA7BF7" w:rsidR="00C61CE7" w:rsidRPr="001F3FE6" w:rsidRDefault="00C61CE7">
          <w:pPr>
            <w:pStyle w:val="TOC1"/>
            <w:tabs>
              <w:tab w:val="right" w:leader="dot" w:pos="9016"/>
            </w:tabs>
            <w:rPr>
              <w:rFonts w:ascii="Arial" w:hAnsi="Arial" w:cs="Arial"/>
              <w:noProof/>
            </w:rPr>
          </w:pPr>
          <w:hyperlink w:anchor="_Toc227648439" w:history="1">
            <w:r w:rsidRPr="001F3FE6">
              <w:rPr>
                <w:rStyle w:val="Hyperlink"/>
                <w:rFonts w:ascii="Arial" w:hAnsi="Arial" w:cs="Arial"/>
                <w:noProof/>
              </w:rPr>
              <w:t>Debates</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_Toc227648439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5</w:t>
            </w:r>
            <w:r w:rsidRPr="001F3FE6">
              <w:rPr>
                <w:rFonts w:ascii="Arial" w:hAnsi="Arial" w:cs="Arial"/>
                <w:noProof/>
                <w:webHidden/>
              </w:rPr>
              <w:fldChar w:fldCharType="end"/>
            </w:r>
          </w:hyperlink>
        </w:p>
        <w:p w14:paraId="4C7C0265" w14:textId="17E7909D" w:rsidR="00C61CE7" w:rsidRPr="001F3FE6" w:rsidRDefault="00C61CE7">
          <w:pPr>
            <w:pStyle w:val="TOC1"/>
            <w:tabs>
              <w:tab w:val="right" w:leader="dot" w:pos="9016"/>
            </w:tabs>
            <w:rPr>
              <w:rFonts w:ascii="Arial" w:hAnsi="Arial" w:cs="Arial"/>
              <w:noProof/>
            </w:rPr>
          </w:pPr>
          <w:hyperlink w:anchor="_Toc227648440" w:history="1">
            <w:r w:rsidRPr="001F3FE6">
              <w:rPr>
                <w:rStyle w:val="Hyperlink"/>
                <w:rFonts w:ascii="Arial" w:hAnsi="Arial" w:cs="Arial"/>
                <w:noProof/>
              </w:rPr>
              <w:t>Recommendations</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_Toc227648440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6</w:t>
            </w:r>
            <w:r w:rsidRPr="001F3FE6">
              <w:rPr>
                <w:rFonts w:ascii="Arial" w:hAnsi="Arial" w:cs="Arial"/>
                <w:noProof/>
                <w:webHidden/>
              </w:rPr>
              <w:fldChar w:fldCharType="end"/>
            </w:r>
          </w:hyperlink>
        </w:p>
        <w:p w14:paraId="4C74AEAA" w14:textId="0580AD2D" w:rsidR="00C61CE7" w:rsidRPr="001F3FE6" w:rsidRDefault="00C61CE7">
          <w:pPr>
            <w:pStyle w:val="TOC1"/>
            <w:tabs>
              <w:tab w:val="right" w:leader="dot" w:pos="9016"/>
            </w:tabs>
            <w:rPr>
              <w:rFonts w:ascii="Arial" w:hAnsi="Arial" w:cs="Arial"/>
              <w:noProof/>
            </w:rPr>
          </w:pPr>
          <w:hyperlink w:anchor="_Toc227648441" w:history="1">
            <w:r w:rsidRPr="001F3FE6">
              <w:rPr>
                <w:rStyle w:val="Hyperlink"/>
                <w:rFonts w:ascii="Arial" w:hAnsi="Arial" w:cs="Arial"/>
                <w:noProof/>
              </w:rPr>
              <w:t>Conclusion</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_Toc227648441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6</w:t>
            </w:r>
            <w:r w:rsidRPr="001F3FE6">
              <w:rPr>
                <w:rFonts w:ascii="Arial" w:hAnsi="Arial" w:cs="Arial"/>
                <w:noProof/>
                <w:webHidden/>
              </w:rPr>
              <w:fldChar w:fldCharType="end"/>
            </w:r>
          </w:hyperlink>
        </w:p>
        <w:p w14:paraId="335D8A1F" w14:textId="36F76704" w:rsidR="00C61CE7" w:rsidRPr="001F3FE6" w:rsidRDefault="00C61CE7">
          <w:pPr>
            <w:pStyle w:val="TOC1"/>
            <w:tabs>
              <w:tab w:val="right" w:leader="dot" w:pos="9016"/>
            </w:tabs>
            <w:rPr>
              <w:rFonts w:ascii="Arial" w:hAnsi="Arial" w:cs="Arial"/>
              <w:noProof/>
            </w:rPr>
          </w:pPr>
          <w:hyperlink w:anchor="_Toc227648442" w:history="1">
            <w:r w:rsidRPr="001F3FE6">
              <w:rPr>
                <w:rStyle w:val="Hyperlink"/>
                <w:rFonts w:ascii="Arial" w:hAnsi="Arial" w:cs="Arial"/>
                <w:noProof/>
              </w:rPr>
              <w:t>References</w:t>
            </w:r>
            <w:r w:rsidRPr="001F3FE6">
              <w:rPr>
                <w:rFonts w:ascii="Arial" w:hAnsi="Arial" w:cs="Arial"/>
                <w:noProof/>
                <w:webHidden/>
              </w:rPr>
              <w:tab/>
            </w:r>
            <w:r w:rsidRPr="001F3FE6">
              <w:rPr>
                <w:rFonts w:ascii="Arial" w:hAnsi="Arial" w:cs="Arial"/>
                <w:noProof/>
                <w:webHidden/>
              </w:rPr>
              <w:fldChar w:fldCharType="begin"/>
            </w:r>
            <w:r w:rsidRPr="001F3FE6">
              <w:rPr>
                <w:rFonts w:ascii="Arial" w:hAnsi="Arial" w:cs="Arial"/>
                <w:noProof/>
                <w:webHidden/>
              </w:rPr>
              <w:instrText xml:space="preserve"> PAGEREF _Toc227648442 \h </w:instrText>
            </w:r>
            <w:r w:rsidRPr="001F3FE6">
              <w:rPr>
                <w:rFonts w:ascii="Arial" w:hAnsi="Arial" w:cs="Arial"/>
                <w:noProof/>
                <w:webHidden/>
              </w:rPr>
            </w:r>
            <w:r w:rsidRPr="001F3FE6">
              <w:rPr>
                <w:rFonts w:ascii="Arial" w:hAnsi="Arial" w:cs="Arial"/>
                <w:noProof/>
                <w:webHidden/>
              </w:rPr>
              <w:fldChar w:fldCharType="separate"/>
            </w:r>
            <w:r w:rsidRPr="001F3FE6">
              <w:rPr>
                <w:rFonts w:ascii="Arial" w:hAnsi="Arial" w:cs="Arial"/>
                <w:noProof/>
                <w:webHidden/>
              </w:rPr>
              <w:t>8</w:t>
            </w:r>
            <w:r w:rsidRPr="001F3FE6">
              <w:rPr>
                <w:rFonts w:ascii="Arial" w:hAnsi="Arial" w:cs="Arial"/>
                <w:noProof/>
                <w:webHidden/>
              </w:rPr>
              <w:fldChar w:fldCharType="end"/>
            </w:r>
          </w:hyperlink>
        </w:p>
        <w:p w14:paraId="08584837" w14:textId="4C37E509" w:rsidR="00C61CE7" w:rsidRPr="001F3FE6" w:rsidRDefault="00C61CE7">
          <w:pPr>
            <w:rPr>
              <w:rFonts w:ascii="Arial" w:hAnsi="Arial" w:cs="Arial"/>
            </w:rPr>
          </w:pPr>
          <w:r w:rsidRPr="001F3FE6">
            <w:rPr>
              <w:rFonts w:ascii="Arial" w:hAnsi="Arial" w:cs="Arial"/>
              <w:b/>
              <w:bCs/>
              <w:noProof/>
            </w:rPr>
            <w:fldChar w:fldCharType="end"/>
          </w:r>
        </w:p>
      </w:sdtContent>
    </w:sdt>
    <w:p w14:paraId="509809F0" w14:textId="5F5B5571" w:rsidR="004A5391" w:rsidRPr="001F3FE6" w:rsidRDefault="004A5391">
      <w:pPr>
        <w:rPr>
          <w:rFonts w:ascii="Arial" w:hAnsi="Arial" w:cs="Arial"/>
        </w:rPr>
      </w:pPr>
    </w:p>
    <w:p w14:paraId="24106C69" w14:textId="70DDFAB4" w:rsidR="00CF4D69" w:rsidRPr="001F3FE6" w:rsidRDefault="00CF4D69">
      <w:pPr>
        <w:rPr>
          <w:rFonts w:ascii="Arial" w:hAnsi="Arial" w:cs="Arial"/>
        </w:rPr>
      </w:pPr>
    </w:p>
    <w:p w14:paraId="0EE7D124" w14:textId="4E49D86A" w:rsidR="00CF4D69" w:rsidRPr="001F3FE6" w:rsidRDefault="00CF4D69" w:rsidP="009C0311">
      <w:pPr>
        <w:pStyle w:val="NoSpacing"/>
        <w:spacing w:after="120"/>
        <w:rPr>
          <w:rFonts w:ascii="Arial" w:eastAsiaTheme="majorEastAsia" w:hAnsi="Arial" w:cs="Arial"/>
          <w:color w:val="FFFFFF" w:themeColor="background1"/>
          <w:sz w:val="84"/>
          <w:szCs w:val="84"/>
        </w:rPr>
      </w:pPr>
      <w:r w:rsidRPr="001F3FE6">
        <w:rPr>
          <w:rFonts w:ascii="Arial" w:hAnsi="Arial" w:cs="Arial"/>
        </w:rPr>
        <w:br w:type="page"/>
      </w:r>
    </w:p>
    <w:p w14:paraId="2A9D554B" w14:textId="1B3556AC" w:rsidR="00DA4C96" w:rsidRPr="001F3FE6" w:rsidRDefault="00CF4D69" w:rsidP="00CF4D69">
      <w:pPr>
        <w:pStyle w:val="Heading1"/>
        <w:rPr>
          <w:rFonts w:ascii="Arial" w:hAnsi="Arial" w:cs="Arial"/>
        </w:rPr>
      </w:pPr>
      <w:bookmarkStart w:id="0" w:name="_Toc227648433"/>
      <w:r w:rsidRPr="001F3FE6">
        <w:rPr>
          <w:rFonts w:ascii="Arial" w:hAnsi="Arial" w:cs="Arial"/>
        </w:rPr>
        <w:lastRenderedPageBreak/>
        <w:t>Introduction</w:t>
      </w:r>
      <w:bookmarkEnd w:id="0"/>
    </w:p>
    <w:p w14:paraId="20870DD6" w14:textId="7180FBE9" w:rsidR="00CF4D69" w:rsidRPr="001F3FE6" w:rsidRDefault="00CF4D69" w:rsidP="00CF4D69">
      <w:pPr>
        <w:rPr>
          <w:rFonts w:ascii="Arial" w:hAnsi="Arial" w:cs="Arial"/>
        </w:rPr>
      </w:pPr>
      <w:r w:rsidRPr="001F3FE6">
        <w:rPr>
          <w:rFonts w:ascii="Arial" w:hAnsi="Arial" w:cs="Arial"/>
        </w:rPr>
        <w:t>As the World Health Organization (2018) does with other mental health, behavioural and neurodevelopmental conditions, mental health disorders are grouped and categorized in the International Classification of Diseases (ICD-11) system. Shevlin et al. (2022) discuss an example of the system, mixed depressive and anxiety disorder (6A73) indicating a clinically significant condition where there is a dual presentation of anxiety and depression where neither condition alone meets the threshold for a complete diagnosis, yet there is a significant degree of functional impairment. The purpose of the present report is to analyse the classification, diagnosis and treatment of the disorder as well as the current beliefs and practices about the disorder and its relevance to clinical practice and mental health policy and practice.</w:t>
      </w:r>
    </w:p>
    <w:p w14:paraId="3F287706" w14:textId="65533433" w:rsidR="00CF4D69" w:rsidRPr="001F3FE6" w:rsidRDefault="00536F64" w:rsidP="00536F64">
      <w:pPr>
        <w:pStyle w:val="Heading1"/>
        <w:rPr>
          <w:rFonts w:ascii="Arial" w:hAnsi="Arial" w:cs="Arial"/>
        </w:rPr>
      </w:pPr>
      <w:bookmarkStart w:id="1" w:name="_Toc227648434"/>
      <w:r w:rsidRPr="001F3FE6">
        <w:rPr>
          <w:rFonts w:ascii="Arial" w:hAnsi="Arial" w:cs="Arial"/>
        </w:rPr>
        <w:t>Classification</w:t>
      </w:r>
      <w:bookmarkEnd w:id="1"/>
    </w:p>
    <w:p w14:paraId="1D063E69" w14:textId="5DE1069F" w:rsidR="007A55BC" w:rsidRPr="001F3FE6" w:rsidRDefault="007A55BC" w:rsidP="007A55BC">
      <w:pPr>
        <w:rPr>
          <w:rFonts w:ascii="Arial" w:hAnsi="Arial" w:cs="Arial"/>
        </w:rPr>
      </w:pPr>
      <w:r w:rsidRPr="001F3FE6">
        <w:rPr>
          <w:rFonts w:ascii="Arial" w:hAnsi="Arial" w:cs="Arial"/>
        </w:rPr>
        <w:t>Mixed depressive and anxiety disorder (ICD-11 code 6A73), classified in Chapter 6 of ICD under grouping depressive disorders (Block L2-6A7), suggests primary association with mood pathologies as opposed to anxiety disorders (World Health Organization, 2019; Reed et al., 2019). This classification exemplifies the ICD-11 initiative to incorporate symptom overlap while preserving a dominant hierarchical structure that emphasizes depressive affect as a primary organizing feature of classification (First et al., 2021).</w:t>
      </w:r>
    </w:p>
    <w:p w14:paraId="54B98545" w14:textId="33072F84" w:rsidR="007A55BC" w:rsidRPr="001F3FE6" w:rsidRDefault="007A55BC" w:rsidP="007A55BC">
      <w:pPr>
        <w:rPr>
          <w:rFonts w:ascii="Arial" w:hAnsi="Arial" w:cs="Arial"/>
        </w:rPr>
      </w:pPr>
      <w:r w:rsidRPr="001F3FE6">
        <w:rPr>
          <w:rFonts w:ascii="Arial" w:hAnsi="Arial" w:cs="Arial"/>
        </w:rPr>
        <w:t>The ICD-11 characterizes the condition as having depressive and anxiety symptoms more days than not for two weeks, where neither symptom group meets the full criteria for other depressive or anxiety and fear-related disorders (World Health Organization, 2019; Tyrer et al., 2022). This reflects a dimensional model of mental disorders that focuses on the sub-threshold symptom presentation that causes clinically significant distress or impairment addressing the critique on purely categorical models of diagnosis (Maj et al., 2020).</w:t>
      </w:r>
    </w:p>
    <w:p w14:paraId="6C3A82BA" w14:textId="32CB60E7" w:rsidR="007A55BC" w:rsidRPr="001F3FE6" w:rsidRDefault="007A55BC" w:rsidP="007A55BC">
      <w:pPr>
        <w:rPr>
          <w:rFonts w:ascii="Arial" w:hAnsi="Arial" w:cs="Arial"/>
        </w:rPr>
      </w:pPr>
      <w:r w:rsidRPr="001F3FE6">
        <w:rPr>
          <w:rFonts w:ascii="Arial" w:hAnsi="Arial" w:cs="Arial"/>
        </w:rPr>
        <w:t xml:space="preserve">Disorder as opposed to condition or illness is a term that has implications concerning the clinical legitimacy, the right to obtain treatment, the concerns of the potential over medicalisation of mild psychological distress, and so on (Stein et al., 2020; Wakefield, 2016). While ICD-11 officially acknowledges mixed depressive and anxiety disorder, the DSM-5 does not grant a similar standalone diagnosis, treating such cases as part of wider categorizations or using broader specifiers, showing that the nomological </w:t>
      </w:r>
      <w:r w:rsidRPr="001F3FE6">
        <w:rPr>
          <w:rFonts w:ascii="Arial" w:hAnsi="Arial" w:cs="Arial"/>
        </w:rPr>
        <w:lastRenderedPageBreak/>
        <w:t>debate is far from resolved (American Psychiatric Association, 2013; First et al., 2021). This difference reveals a continued debate on the mixed cases of how anxiety and depressive disorders should be classified, whether as a new diagnosis or as a diagnosis that lacks a proper name within the mood and anxiety disorder spectrum (Maj et al., 2020; Stein et al., 2020).</w:t>
      </w:r>
    </w:p>
    <w:p w14:paraId="44C498A3" w14:textId="1D67E687" w:rsidR="00536F64" w:rsidRPr="001F3FE6" w:rsidRDefault="00DF3C1C" w:rsidP="00DF3C1C">
      <w:pPr>
        <w:pStyle w:val="Heading1"/>
        <w:rPr>
          <w:rFonts w:ascii="Arial" w:hAnsi="Arial" w:cs="Arial"/>
        </w:rPr>
      </w:pPr>
      <w:bookmarkStart w:id="2" w:name="_Toc227648435"/>
      <w:r w:rsidRPr="001F3FE6">
        <w:rPr>
          <w:rFonts w:ascii="Arial" w:hAnsi="Arial" w:cs="Arial"/>
        </w:rPr>
        <w:t>Diagnosis</w:t>
      </w:r>
      <w:bookmarkEnd w:id="2"/>
    </w:p>
    <w:p w14:paraId="7C9FE780" w14:textId="20106B3E" w:rsidR="002E59F5" w:rsidRPr="001F3FE6" w:rsidRDefault="002E59F5" w:rsidP="002E59F5">
      <w:pPr>
        <w:rPr>
          <w:rFonts w:ascii="Arial" w:hAnsi="Arial" w:cs="Arial"/>
        </w:rPr>
      </w:pPr>
      <w:r w:rsidRPr="001F3FE6">
        <w:rPr>
          <w:rFonts w:ascii="Arial" w:hAnsi="Arial" w:cs="Arial"/>
        </w:rPr>
        <w:t>Individual Mixed Depression and Anxiety disorder ICD 11: 6A73 is diagnosed when symptoms of depression and anxiety have been present for 2 weeks or more, on most days and neither condition meets criteria for depression, or an anxiety or fear-related disorder (World Health Organization, 2019; Tyrer et al., 2022). While core features of depression include the presence of low mood and loss of interest or pleasure, anxiety includes excessive worry, tension, and uncontrolled board, along with autonomic arousal, which must have an impact on the individual's functioning or cause distress (World Health Organization, 2019; Reed et al., 2019).</w:t>
      </w:r>
    </w:p>
    <w:p w14:paraId="7B487135" w14:textId="11756B7B" w:rsidR="002E59F5" w:rsidRPr="001F3FE6" w:rsidRDefault="002E59F5" w:rsidP="002E59F5">
      <w:pPr>
        <w:rPr>
          <w:rFonts w:ascii="Arial" w:hAnsi="Arial" w:cs="Arial"/>
        </w:rPr>
      </w:pPr>
      <w:r w:rsidRPr="001F3FE6">
        <w:rPr>
          <w:rFonts w:ascii="Arial" w:hAnsi="Arial" w:cs="Arial"/>
        </w:rPr>
        <w:t>In clinical practice, the main diagnostic approach involves structured or semi-structured interviews, and the use of screening tools such as the Patient Health Questionnaire (PHQ-9) and Generalized Anxiety Disorder scale (GAD-7). However, these additional assessment instruments have been shown to impact the analysis of symptoms that are present on an overlapping or subthreshold level (Kroenke et al., 2016; Plummer et al., 2016). Additionally, Clinicians are required to apply exclusion criteria and particularly the absence of a past history of manic, hypomanic, or mixed episodes, which would suggest a diagnosis of bipolar disorder, not depression (World Health Organization, 2019; First et al., 2021).</w:t>
      </w:r>
    </w:p>
    <w:p w14:paraId="252BE582" w14:textId="5F803FED" w:rsidR="002E59F5" w:rsidRPr="001F3FE6" w:rsidRDefault="002E59F5" w:rsidP="002E59F5">
      <w:pPr>
        <w:rPr>
          <w:rFonts w:ascii="Arial" w:hAnsi="Arial" w:cs="Arial"/>
        </w:rPr>
      </w:pPr>
      <w:r w:rsidRPr="001F3FE6">
        <w:rPr>
          <w:rFonts w:ascii="Arial" w:hAnsi="Arial" w:cs="Arial"/>
        </w:rPr>
        <w:t xml:space="preserve">Challenges with diagnosis are considerable and stem predominantly from considerable symptom overlap with anxiety and depressive disorders and possible misclassification or failure to recognize mixed presentations as relevant (Maj et al., 2020; Tyrer et al., 2022). Additionally, the influence of diverse cultures and their unique ways of demonstrating symptoms and requesting assistance can affect the precision of the diagnoses and demonstrate the importance of assessment methods that are more flexible than strict categorical cuts </w:t>
      </w:r>
      <w:r w:rsidR="00F70209" w:rsidRPr="001F3FE6">
        <w:rPr>
          <w:rFonts w:ascii="Arial" w:hAnsi="Arial" w:cs="Arial"/>
        </w:rPr>
        <w:t>to</w:t>
      </w:r>
      <w:r w:rsidRPr="001F3FE6">
        <w:rPr>
          <w:rFonts w:ascii="Arial" w:hAnsi="Arial" w:cs="Arial"/>
        </w:rPr>
        <w:t xml:space="preserve"> consider different contexts (Stein et al., 2020; Maj et al., 2020).</w:t>
      </w:r>
    </w:p>
    <w:p w14:paraId="4239848B" w14:textId="7D9CEC77" w:rsidR="00DF3C1C" w:rsidRPr="001F3FE6" w:rsidRDefault="00511774" w:rsidP="00511774">
      <w:pPr>
        <w:pStyle w:val="Heading1"/>
        <w:rPr>
          <w:rFonts w:ascii="Arial" w:hAnsi="Arial" w:cs="Arial"/>
        </w:rPr>
      </w:pPr>
      <w:bookmarkStart w:id="3" w:name="_Toc227648436"/>
      <w:r w:rsidRPr="001F3FE6">
        <w:rPr>
          <w:rFonts w:ascii="Arial" w:hAnsi="Arial" w:cs="Arial"/>
        </w:rPr>
        <w:lastRenderedPageBreak/>
        <w:t>Treatment</w:t>
      </w:r>
      <w:bookmarkEnd w:id="3"/>
    </w:p>
    <w:p w14:paraId="6F93AF35" w14:textId="26E3068B" w:rsidR="00301C2C" w:rsidRPr="001F3FE6" w:rsidRDefault="00301C2C" w:rsidP="00301C2C">
      <w:pPr>
        <w:rPr>
          <w:rFonts w:ascii="Arial" w:hAnsi="Arial" w:cs="Arial"/>
        </w:rPr>
      </w:pPr>
      <w:r w:rsidRPr="001F3FE6">
        <w:rPr>
          <w:rFonts w:ascii="Arial" w:hAnsi="Arial" w:cs="Arial"/>
        </w:rPr>
        <w:t>The combination of pharmacological and psychological treatment is common in managing mixed depressive and anxiety disorder (ICD-11: 6A73) because of the dual nature of symptoms. It also demonstrates the flexible and transdiagnostic approaches in treatment (National Institute for Health and Care Excellence, 2022; Cuijpers et al., 2020). Among the pharmacological treatment, most practitioners administer SSRIs in primary care because of their effectiveness in treating depressive and anxiety symptoms (Bandelow et al., 2017; Baldwin et al., 2016). However, mixed and subthreshold conditions may show the benefits of these medications to be significantly lesser. In addition, in the clinical field, side effects and treatment adherence pose significant concerns (Cuijpers et al., 2020; NICE, 2022).</w:t>
      </w:r>
    </w:p>
    <w:p w14:paraId="3E43354F" w14:textId="52E09C01" w:rsidR="00301C2C" w:rsidRPr="001F3FE6" w:rsidRDefault="00301C2C" w:rsidP="00301C2C">
      <w:pPr>
        <w:rPr>
          <w:rFonts w:ascii="Arial" w:hAnsi="Arial" w:cs="Arial"/>
        </w:rPr>
      </w:pPr>
      <w:r w:rsidRPr="001F3FE6">
        <w:rPr>
          <w:rFonts w:ascii="Arial" w:hAnsi="Arial" w:cs="Arial"/>
        </w:rPr>
        <w:t>Psychological treatment, mainly the use of CBT, is the most predominant form of treatment. It employs various skills that address symptomatology in either of the domains of anxiety and depressive symptoms. The effectiveness of CBT for the co-morbid conditions is well documented (Hofmann et al., 2017; Cuijpers et al., 2016). Because of its focus on emotional dysregulation and cognitive bias as a mechanism in various disorder as opposed to targeting symptoms that are specific to the disorders, transdiagnostic therapy such as the Unified Protocol (Barlow et al., 2017; Newby et al., 2018). Mindfulness-based therapy is also effective in prevention of relapse as well as in emotional regulation and awareness (Goldberg et al., 2018; Hofmann and Gomez, 2017).</w:t>
      </w:r>
    </w:p>
    <w:p w14:paraId="3360E2A1" w14:textId="77777777" w:rsidR="00301C2C" w:rsidRPr="001F3FE6" w:rsidRDefault="00301C2C" w:rsidP="00301C2C">
      <w:pPr>
        <w:rPr>
          <w:rFonts w:ascii="Arial" w:hAnsi="Arial" w:cs="Arial"/>
        </w:rPr>
      </w:pPr>
      <w:r w:rsidRPr="001F3FE6">
        <w:rPr>
          <w:rFonts w:ascii="Arial" w:hAnsi="Arial" w:cs="Arial"/>
        </w:rPr>
        <w:t>Guided self-help and digital therapies, for example, low-intensity interventions, can be provided initially, with the option to escalate to more intensive treatments as required (NICE, 2022; Richards et al., 2020), which is the great advantage of integrated and stepped-care models and is particularly applicable to this condition. Mixed presentations are often of moderate severity and to prevent the worsening of depressive or anxiety disorders, early interventions are important (Cuijpers et al., 2020; Richards et al., 2020).</w:t>
      </w:r>
    </w:p>
    <w:p w14:paraId="1793DEBF" w14:textId="0DFB434C" w:rsidR="00511774" w:rsidRPr="001F3FE6" w:rsidRDefault="00397121" w:rsidP="00397121">
      <w:pPr>
        <w:pStyle w:val="Heading1"/>
        <w:rPr>
          <w:rFonts w:ascii="Arial" w:hAnsi="Arial" w:cs="Arial"/>
        </w:rPr>
      </w:pPr>
      <w:bookmarkStart w:id="4" w:name="_Toc227648437"/>
      <w:r w:rsidRPr="001F3FE6">
        <w:rPr>
          <w:rFonts w:ascii="Arial" w:hAnsi="Arial" w:cs="Arial"/>
        </w:rPr>
        <w:t>Rehabilitation</w:t>
      </w:r>
      <w:bookmarkEnd w:id="4"/>
    </w:p>
    <w:p w14:paraId="0F9EB384" w14:textId="369D2148" w:rsidR="00DC198C" w:rsidRPr="001F3FE6" w:rsidRDefault="00DC198C" w:rsidP="00DC198C">
      <w:pPr>
        <w:rPr>
          <w:rFonts w:ascii="Arial" w:hAnsi="Arial" w:cs="Arial"/>
        </w:rPr>
      </w:pPr>
      <w:r w:rsidRPr="001F3FE6">
        <w:rPr>
          <w:rFonts w:ascii="Arial" w:hAnsi="Arial" w:cs="Arial"/>
        </w:rPr>
        <w:t xml:space="preserve">The goal of rehabilitation for the Mixed Depressive and Anxiety Disorder (ICD 11 6A73) is to restore patient functional capacity, improve their quality of life, and for the most part, to prevent deterioration of the mental health condition that is present, through </w:t>
      </w:r>
      <w:r w:rsidRPr="001F3FE6">
        <w:rPr>
          <w:rFonts w:ascii="Arial" w:hAnsi="Arial" w:cs="Arial"/>
        </w:rPr>
        <w:lastRenderedPageBreak/>
        <w:t>psychosocial support that is sustained over time (World Health Organization 2019, Firth et al 2019). For the subthreshold and impeding condition of concern, the focus of rehabilitation is on the holistic, person-centred nature of psychosocial, occupational, and functional level domains in addition to symptom control (Firth et al., 2019, NICE 2022).</w:t>
      </w:r>
    </w:p>
    <w:p w14:paraId="44FE6FD6" w14:textId="3398D83A" w:rsidR="00DC198C" w:rsidRPr="001F3FE6" w:rsidRDefault="00DC198C" w:rsidP="00DC198C">
      <w:pPr>
        <w:rPr>
          <w:rFonts w:ascii="Arial" w:hAnsi="Arial" w:cs="Arial"/>
        </w:rPr>
      </w:pPr>
      <w:r w:rsidRPr="001F3FE6">
        <w:rPr>
          <w:rFonts w:ascii="Arial" w:hAnsi="Arial" w:cs="Arial"/>
        </w:rPr>
        <w:t>A major component of psychosocial support includes low mood and anxiety that is persistent, and therefore psychosocial support includes the interpersonal, occupational, and daily life, all of which may be affected by the support, structure, and functional deficits (Druss et al., 2018, NICE 2022). Supported employment and rehabilitation in the workplace have a positive impact on mental disorders and have a positive impact on productivity and confidence and reduce the disorder’s impact on productivity (Druss et al., 2018, Modini et al.</w:t>
      </w:r>
      <w:r w:rsidR="002C2EA7" w:rsidRPr="001F3FE6">
        <w:rPr>
          <w:rFonts w:ascii="Arial" w:hAnsi="Arial" w:cs="Arial"/>
        </w:rPr>
        <w:t>,</w:t>
      </w:r>
      <w:r w:rsidRPr="001F3FE6">
        <w:rPr>
          <w:rFonts w:ascii="Arial" w:hAnsi="Arial" w:cs="Arial"/>
        </w:rPr>
        <w:t xml:space="preserve"> 2016)  Mood and anxiety have shown positive improvement through lifestyle changes that include regular exercise, better sleep patterns, and improved stress and anxiety management strategies (Firth et al.</w:t>
      </w:r>
      <w:r w:rsidR="002C2EA7" w:rsidRPr="001F3FE6">
        <w:rPr>
          <w:rFonts w:ascii="Arial" w:hAnsi="Arial" w:cs="Arial"/>
        </w:rPr>
        <w:t>,</w:t>
      </w:r>
      <w:r w:rsidRPr="001F3FE6">
        <w:rPr>
          <w:rFonts w:ascii="Arial" w:hAnsi="Arial" w:cs="Arial"/>
        </w:rPr>
        <w:t xml:space="preserve"> 2019, Stubbs et al.</w:t>
      </w:r>
      <w:r w:rsidR="002C2EA7" w:rsidRPr="001F3FE6">
        <w:rPr>
          <w:rFonts w:ascii="Arial" w:hAnsi="Arial" w:cs="Arial"/>
        </w:rPr>
        <w:t>,</w:t>
      </w:r>
      <w:r w:rsidRPr="001F3FE6">
        <w:rPr>
          <w:rFonts w:ascii="Arial" w:hAnsi="Arial" w:cs="Arial"/>
        </w:rPr>
        <w:t xml:space="preserve"> 2017)</w:t>
      </w:r>
    </w:p>
    <w:p w14:paraId="7015471F" w14:textId="159E8C9F" w:rsidR="00DC198C" w:rsidRPr="001F3FE6" w:rsidRDefault="00DC198C" w:rsidP="00DC198C">
      <w:pPr>
        <w:rPr>
          <w:rFonts w:ascii="Arial" w:hAnsi="Arial" w:cs="Arial"/>
        </w:rPr>
      </w:pPr>
      <w:r w:rsidRPr="001F3FE6">
        <w:rPr>
          <w:rFonts w:ascii="Arial" w:hAnsi="Arial" w:cs="Arial"/>
        </w:rPr>
        <w:t xml:space="preserve">In therapeutic management it is important that there is provision for monitoring and self-management where the person </w:t>
      </w:r>
      <w:r w:rsidR="009E56DC" w:rsidRPr="001F3FE6">
        <w:rPr>
          <w:rFonts w:ascii="Arial" w:hAnsi="Arial" w:cs="Arial"/>
        </w:rPr>
        <w:t>can</w:t>
      </w:r>
      <w:r w:rsidRPr="001F3FE6">
        <w:rPr>
          <w:rFonts w:ascii="Arial" w:hAnsi="Arial" w:cs="Arial"/>
        </w:rPr>
        <w:t xml:space="preserve"> manage their mental health and emotional </w:t>
      </w:r>
      <w:r w:rsidR="002C2EA7" w:rsidRPr="001F3FE6">
        <w:rPr>
          <w:rFonts w:ascii="Arial" w:hAnsi="Arial" w:cs="Arial"/>
        </w:rPr>
        <w:t>well-being</w:t>
      </w:r>
      <w:r w:rsidRPr="001F3FE6">
        <w:rPr>
          <w:rFonts w:ascii="Arial" w:hAnsi="Arial" w:cs="Arial"/>
        </w:rPr>
        <w:t>, which is contained in self-management strategies. The major difficulty throughout rehabilitation is in access to services and equitable distribution of health and social services, which is something that most rehabilitation services are less developed in the community (Druss et al.</w:t>
      </w:r>
      <w:r w:rsidR="002C2EA7" w:rsidRPr="001F3FE6">
        <w:rPr>
          <w:rFonts w:ascii="Arial" w:hAnsi="Arial" w:cs="Arial"/>
        </w:rPr>
        <w:t>,</w:t>
      </w:r>
      <w:r w:rsidRPr="001F3FE6">
        <w:rPr>
          <w:rFonts w:ascii="Arial" w:hAnsi="Arial" w:cs="Arial"/>
        </w:rPr>
        <w:t xml:space="preserve"> 2018, Modini et al.</w:t>
      </w:r>
      <w:r w:rsidR="002C2EA7" w:rsidRPr="001F3FE6">
        <w:rPr>
          <w:rFonts w:ascii="Arial" w:hAnsi="Arial" w:cs="Arial"/>
        </w:rPr>
        <w:t>,</w:t>
      </w:r>
      <w:r w:rsidRPr="001F3FE6">
        <w:rPr>
          <w:rFonts w:ascii="Arial" w:hAnsi="Arial" w:cs="Arial"/>
        </w:rPr>
        <w:t xml:space="preserve"> 2016)</w:t>
      </w:r>
    </w:p>
    <w:p w14:paraId="7D273D1A" w14:textId="413AD7B0" w:rsidR="00397121" w:rsidRPr="001F3FE6" w:rsidRDefault="00893A05" w:rsidP="00893A05">
      <w:pPr>
        <w:pStyle w:val="Heading1"/>
        <w:rPr>
          <w:rFonts w:ascii="Arial" w:hAnsi="Arial" w:cs="Arial"/>
        </w:rPr>
      </w:pPr>
      <w:bookmarkStart w:id="5" w:name="_Toc227648438"/>
      <w:r w:rsidRPr="001F3FE6">
        <w:rPr>
          <w:rFonts w:ascii="Arial" w:hAnsi="Arial" w:cs="Arial"/>
        </w:rPr>
        <w:t>Effectiveness</w:t>
      </w:r>
      <w:bookmarkEnd w:id="5"/>
    </w:p>
    <w:p w14:paraId="00F6F45E" w14:textId="66526612" w:rsidR="00E17414" w:rsidRPr="001F3FE6" w:rsidRDefault="00E17414" w:rsidP="00E17414">
      <w:pPr>
        <w:rPr>
          <w:rFonts w:ascii="Arial" w:hAnsi="Arial" w:cs="Arial"/>
        </w:rPr>
      </w:pPr>
      <w:r w:rsidRPr="001F3FE6">
        <w:rPr>
          <w:rFonts w:ascii="Arial" w:hAnsi="Arial" w:cs="Arial"/>
        </w:rPr>
        <w:t xml:space="preserve">Evidence shows that both pharmacological and psychological treatments have been shown to decrease severity and improve functionality to some degree, though there is variability in response on a case-by-case basis, for treating mixed depressive and anxiety disorder (ICD-11: 6A73) (Cuijpers et al., 2020; Hofmann et al., 2017). Of the psychological treatments, Cognitive Behavioural Therapy (CBT) and similar transdiagnostic treatments, that is, treatments developed to be indeterminate as to which psychological disorder, have been shown to improve both depressive and anxiety symptoms (Newby et al., 2018; Barlow et al., 2017). Of the pharmacological treatments, antidepressant medications, primarily SSRIs, have been shown to improve both the anxiety and depression symptoms, although the degree of benefit is </w:t>
      </w:r>
      <w:r w:rsidRPr="001F3FE6">
        <w:rPr>
          <w:rFonts w:ascii="Arial" w:hAnsi="Arial" w:cs="Arial"/>
        </w:rPr>
        <w:lastRenderedPageBreak/>
        <w:t>less for the depressive symptoms for low-level anxiety (Bandelow et al., 2017; Cuijpers et al., 2020).</w:t>
      </w:r>
    </w:p>
    <w:p w14:paraId="1D095EB7" w14:textId="1C534226" w:rsidR="00E17414" w:rsidRPr="001F3FE6" w:rsidRDefault="00E17414" w:rsidP="00E17414">
      <w:pPr>
        <w:rPr>
          <w:rFonts w:ascii="Arial" w:hAnsi="Arial" w:cs="Arial"/>
        </w:rPr>
      </w:pPr>
      <w:r w:rsidRPr="001F3FE6">
        <w:rPr>
          <w:rFonts w:ascii="Arial" w:hAnsi="Arial" w:cs="Arial"/>
        </w:rPr>
        <w:t>Despite the, there are significant limitations in treating individual patients. The aforementioned factors demonstrate the scattershot, disorder-specific approach that is lacking in neither adequate documentation concerning disorder-specific research, nor concerning the overmedicalization of psychological distress. (Maj et al., 2020; Stein et al., 2020). Due to these factors, there is a need for adapted evidence-based treatments that target mixed presentations specifically (Cuijpers et al., 2020; Maj et al., 2020).</w:t>
      </w:r>
    </w:p>
    <w:p w14:paraId="5924E69D" w14:textId="74C2D81A" w:rsidR="00893A05" w:rsidRPr="001F3FE6" w:rsidRDefault="004F3868" w:rsidP="004F3868">
      <w:pPr>
        <w:pStyle w:val="Heading1"/>
        <w:rPr>
          <w:rFonts w:ascii="Arial" w:hAnsi="Arial" w:cs="Arial"/>
        </w:rPr>
      </w:pPr>
      <w:bookmarkStart w:id="6" w:name="_Toc227648439"/>
      <w:r w:rsidRPr="001F3FE6">
        <w:rPr>
          <w:rFonts w:ascii="Arial" w:hAnsi="Arial" w:cs="Arial"/>
        </w:rPr>
        <w:t>Debates</w:t>
      </w:r>
      <w:bookmarkEnd w:id="6"/>
    </w:p>
    <w:p w14:paraId="6051798A" w14:textId="77777777" w:rsidR="004F3868" w:rsidRPr="001F3FE6" w:rsidRDefault="004F3868" w:rsidP="004F3868">
      <w:pPr>
        <w:rPr>
          <w:rFonts w:ascii="Arial" w:hAnsi="Arial" w:cs="Arial"/>
        </w:rPr>
      </w:pPr>
      <w:r w:rsidRPr="001F3FE6">
        <w:rPr>
          <w:rFonts w:ascii="Arial" w:hAnsi="Arial" w:cs="Arial"/>
        </w:rPr>
        <w:t>Debate regarding the mixed depressive and anxiety disorder (ICD-11: 6A73) continues to evolve, focusing on the disorder's diagnostic and clinical aspects. While some investigators contend that the disorder should be considered on its own, others maintain that it is merely some sort of residual or transitional formulation along the mood and anxiety disorder spectrum (Maj et al., 2020; Tyrer et al., 2022). Non-ICD-11 Mixed anxiety and depression diagnostic categories may lead to overdiagnosis or the medicalization of simple emotional responses to distress, especially considering the subthreshold nature of it (Wakefield, 2016; Stein et al., 2020). Furthermore, the divergence in classification between ICD-11 and DSM-5 continues to demonstrate some of the existing classification system uncertainty, which raises further questions regarding diagnostic consistency and its impact on research, treatment, mental health, and public policy (First et al., 2021; Maj et al., 2020).</w:t>
      </w:r>
    </w:p>
    <w:p w14:paraId="1F9DE7C8" w14:textId="7DD141DB" w:rsidR="004F3868" w:rsidRPr="001F3FE6" w:rsidRDefault="00FE66C2" w:rsidP="00FE66C2">
      <w:pPr>
        <w:pStyle w:val="Heading1"/>
        <w:rPr>
          <w:rFonts w:ascii="Arial" w:hAnsi="Arial" w:cs="Arial"/>
        </w:rPr>
      </w:pPr>
      <w:bookmarkStart w:id="7" w:name="_Toc227648440"/>
      <w:r w:rsidRPr="001F3FE6">
        <w:rPr>
          <w:rFonts w:ascii="Arial" w:hAnsi="Arial" w:cs="Arial"/>
        </w:rPr>
        <w:t>Recommendations</w:t>
      </w:r>
      <w:bookmarkEnd w:id="7"/>
    </w:p>
    <w:p w14:paraId="590590A4" w14:textId="4F8B0F21" w:rsidR="00FE66C2" w:rsidRPr="001F3FE6" w:rsidRDefault="00FE66C2" w:rsidP="00FE66C2">
      <w:pPr>
        <w:rPr>
          <w:rFonts w:ascii="Arial" w:hAnsi="Arial" w:cs="Arial"/>
        </w:rPr>
      </w:pPr>
      <w:r w:rsidRPr="001F3FE6">
        <w:rPr>
          <w:rFonts w:ascii="Arial" w:hAnsi="Arial" w:cs="Arial"/>
        </w:rPr>
        <w:t xml:space="preserve">Enhancing the understandings and the management of Mixed Anxiety and Depressive Disorders (ICD-11: 6A73) hinges on refinements to the accuracy of the diagnoses made, the extent of the evidence, and the availability of relevant treatments (Maj et al., 2020; Tyrer et al., 2022). Diagnoses made should not be based on categorical thresholds but should be on an emphasis of the severity of overlapping symptoms to align more closely to the clinical reality (Stein et al., 2020; First et al., 2021). Research focused on assessing the transdiagnostic approaches and the long-term impact of </w:t>
      </w:r>
      <w:r w:rsidRPr="001F3FE6">
        <w:rPr>
          <w:rFonts w:ascii="Arial" w:hAnsi="Arial" w:cs="Arial"/>
        </w:rPr>
        <w:lastRenderedPageBreak/>
        <w:t>disorder-specific treatments on various populations is still needed (Cuijpers et al., 2020; Newby et al., 2018).</w:t>
      </w:r>
    </w:p>
    <w:p w14:paraId="458AB879" w14:textId="77777777" w:rsidR="00FE66C2" w:rsidRPr="001F3FE6" w:rsidRDefault="00FE66C2" w:rsidP="00FE66C2">
      <w:pPr>
        <w:rPr>
          <w:rFonts w:ascii="Arial" w:hAnsi="Arial" w:cs="Arial"/>
        </w:rPr>
      </w:pPr>
      <w:r w:rsidRPr="001F3FE6">
        <w:rPr>
          <w:rFonts w:ascii="Arial" w:hAnsi="Arial" w:cs="Arial"/>
        </w:rPr>
        <w:t>From the point of view of service delivery, mental health integration in primary health, coupled with the availability of self-help, guided digital therapy, and other low-intensity early interventions will reduce the strain on the health service and improve the mental health of the population (NICE, 2022; Richards et al., 2020). Improving mental health literacy and reducing stigma around mental health will increase the likelihood of treatment engagement (Firth et al., 2019; Stein et al., 2020).</w:t>
      </w:r>
    </w:p>
    <w:p w14:paraId="0E2F143B" w14:textId="469FD9DA" w:rsidR="00FE66C2" w:rsidRPr="001F3FE6" w:rsidRDefault="00E85B3A" w:rsidP="00E85B3A">
      <w:pPr>
        <w:pStyle w:val="Heading1"/>
        <w:rPr>
          <w:rFonts w:ascii="Arial" w:hAnsi="Arial" w:cs="Arial"/>
        </w:rPr>
      </w:pPr>
      <w:bookmarkStart w:id="8" w:name="_Toc227648441"/>
      <w:r w:rsidRPr="001F3FE6">
        <w:rPr>
          <w:rFonts w:ascii="Arial" w:hAnsi="Arial" w:cs="Arial"/>
        </w:rPr>
        <w:t>Conclusion</w:t>
      </w:r>
      <w:bookmarkEnd w:id="8"/>
    </w:p>
    <w:p w14:paraId="705C54AF" w14:textId="77777777" w:rsidR="00E85B3A" w:rsidRPr="001F3FE6" w:rsidRDefault="00E85B3A" w:rsidP="00E85B3A">
      <w:pPr>
        <w:rPr>
          <w:rFonts w:ascii="Arial" w:hAnsi="Arial" w:cs="Arial"/>
        </w:rPr>
      </w:pPr>
      <w:r w:rsidRPr="001F3FE6">
        <w:rPr>
          <w:rFonts w:ascii="Arial" w:hAnsi="Arial" w:cs="Arial"/>
        </w:rPr>
        <w:t>Mixed depressive and anxiety disorder (ICD-11: 6A73) is clinically significant and shows the intricacies and overlaps with major types of mental disorders (World Health Organization, 2019; Maj et al., 2020). The diagnosis is an example of the recognition for subthreshold and definable impairment symptom presentations, despite definitional concerns, lack of treatment solutions, overmedicalization, and the issues that diagnosis presents (Tyrer et al., 2022; Stein et al., 2020). It is vital that new models of collaborative and inter-transdiagnostic early access innovations are developed to address the disorder. In addition, further research and development of diagnostic systems is crucial to provide understanding and appropriate care and to direct mental health policy and practice (First et al., 2021; Maj et al., 2020).</w:t>
      </w:r>
    </w:p>
    <w:p w14:paraId="702398E3" w14:textId="5AA624CF" w:rsidR="00B1492C" w:rsidRPr="001F3FE6" w:rsidRDefault="00B1492C" w:rsidP="00E85B3A">
      <w:pPr>
        <w:rPr>
          <w:rFonts w:ascii="Arial" w:hAnsi="Arial" w:cs="Arial"/>
        </w:rPr>
      </w:pPr>
    </w:p>
    <w:p w14:paraId="32DF0087" w14:textId="77777777" w:rsidR="00B1492C" w:rsidRPr="001F3FE6" w:rsidRDefault="00B1492C">
      <w:pPr>
        <w:spacing w:line="240" w:lineRule="auto"/>
        <w:jc w:val="left"/>
        <w:rPr>
          <w:rFonts w:ascii="Arial" w:hAnsi="Arial" w:cs="Arial"/>
        </w:rPr>
      </w:pPr>
      <w:r w:rsidRPr="001F3FE6">
        <w:rPr>
          <w:rFonts w:ascii="Arial" w:hAnsi="Arial" w:cs="Arial"/>
        </w:rPr>
        <w:br w:type="page"/>
      </w:r>
    </w:p>
    <w:p w14:paraId="31BDD521" w14:textId="5ED20D0B" w:rsidR="00B1492C" w:rsidRPr="001F3FE6" w:rsidRDefault="00B1492C" w:rsidP="00B1492C">
      <w:pPr>
        <w:pStyle w:val="Heading1"/>
        <w:rPr>
          <w:rFonts w:ascii="Arial" w:hAnsi="Arial" w:cs="Arial"/>
        </w:rPr>
      </w:pPr>
      <w:bookmarkStart w:id="9" w:name="_Toc227648442"/>
      <w:r w:rsidRPr="001F3FE6">
        <w:rPr>
          <w:rFonts w:ascii="Arial" w:hAnsi="Arial" w:cs="Arial"/>
        </w:rPr>
        <w:lastRenderedPageBreak/>
        <w:t>References</w:t>
      </w:r>
      <w:bookmarkEnd w:id="9"/>
    </w:p>
    <w:p w14:paraId="20AAE852"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American Psychiatric Association (2013) </w:t>
      </w:r>
      <w:r w:rsidRPr="001F3FE6">
        <w:rPr>
          <w:rStyle w:val="Emphasis"/>
          <w:rFonts w:ascii="Arial" w:hAnsi="Arial" w:cs="Arial"/>
        </w:rPr>
        <w:t>Diagnostic and statistical manual of mental disorders: DSM-5</w:t>
      </w:r>
      <w:r w:rsidRPr="001F3FE6">
        <w:rPr>
          <w:rFonts w:ascii="Arial" w:hAnsi="Arial" w:cs="Arial"/>
        </w:rPr>
        <w:t xml:space="preserve">. 5th </w:t>
      </w:r>
      <w:proofErr w:type="spellStart"/>
      <w:r w:rsidRPr="001F3FE6">
        <w:rPr>
          <w:rFonts w:ascii="Arial" w:hAnsi="Arial" w:cs="Arial"/>
        </w:rPr>
        <w:t>edn</w:t>
      </w:r>
      <w:proofErr w:type="spellEnd"/>
      <w:r w:rsidRPr="001F3FE6">
        <w:rPr>
          <w:rFonts w:ascii="Arial" w:hAnsi="Arial" w:cs="Arial"/>
        </w:rPr>
        <w:t>. Washington, DC: APA Publishing.</w:t>
      </w:r>
    </w:p>
    <w:p w14:paraId="579F5BAB"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Baldwin, D.S., Anderson, I.M., Nutt, D.J., </w:t>
      </w:r>
      <w:proofErr w:type="spellStart"/>
      <w:r w:rsidRPr="001F3FE6">
        <w:rPr>
          <w:rFonts w:ascii="Arial" w:hAnsi="Arial" w:cs="Arial"/>
        </w:rPr>
        <w:t>Allgulander</w:t>
      </w:r>
      <w:proofErr w:type="spellEnd"/>
      <w:r w:rsidRPr="001F3FE6">
        <w:rPr>
          <w:rFonts w:ascii="Arial" w:hAnsi="Arial" w:cs="Arial"/>
        </w:rPr>
        <w:t xml:space="preserve">, C., Bandelow, B., den Boer, J.A., Christmas, D.M., Davies, S., Fineberg, N.A., </w:t>
      </w:r>
      <w:proofErr w:type="spellStart"/>
      <w:r w:rsidRPr="001F3FE6">
        <w:rPr>
          <w:rFonts w:ascii="Arial" w:hAnsi="Arial" w:cs="Arial"/>
        </w:rPr>
        <w:t>Lidbetter</w:t>
      </w:r>
      <w:proofErr w:type="spellEnd"/>
      <w:r w:rsidRPr="001F3FE6">
        <w:rPr>
          <w:rFonts w:ascii="Arial" w:hAnsi="Arial" w:cs="Arial"/>
        </w:rPr>
        <w:t xml:space="preserve">, N. and Wittchen, H.-U. (2016) ‘Evidence-based pharmacological treatment of anxiety disorders, post-traumatic stress disorder and obsessive–compulsive disorder: A revision of the 2005 guidelines’, </w:t>
      </w:r>
      <w:r w:rsidRPr="001F3FE6">
        <w:rPr>
          <w:rStyle w:val="Emphasis"/>
          <w:rFonts w:ascii="Arial" w:hAnsi="Arial" w:cs="Arial"/>
        </w:rPr>
        <w:t>Journal of Psychopharmacology</w:t>
      </w:r>
      <w:r w:rsidRPr="001F3FE6">
        <w:rPr>
          <w:rFonts w:ascii="Arial" w:hAnsi="Arial" w:cs="Arial"/>
        </w:rPr>
        <w:t>, 30(6), pp. 403–439.</w:t>
      </w:r>
    </w:p>
    <w:p w14:paraId="178C8CB6"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Bandelow, B., Michaelis, S. and Wedekind, D. (2017) ‘Treatment of anxiety disorders’, </w:t>
      </w:r>
      <w:r w:rsidRPr="001F3FE6">
        <w:rPr>
          <w:rStyle w:val="Emphasis"/>
          <w:rFonts w:ascii="Arial" w:hAnsi="Arial" w:cs="Arial"/>
        </w:rPr>
        <w:t>Dialogues in Clinical Neuroscience</w:t>
      </w:r>
      <w:r w:rsidRPr="001F3FE6">
        <w:rPr>
          <w:rFonts w:ascii="Arial" w:hAnsi="Arial" w:cs="Arial"/>
        </w:rPr>
        <w:t>, 19(2), pp. 93–107.</w:t>
      </w:r>
    </w:p>
    <w:p w14:paraId="05FED094"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Barlow, D.H., Farchione, T.J., Bullis, J.R., Gallagher, M.W., Murray-Latin, H., Sauer-Zavala, S., Bentley, K.H., Thompson-Hollands, J., Conklin, L.R. and Boswell, J.F. (2017) ‘The unified protocol for transdiagnostic treatment of emotional disorders compared with diagnosis-specific protocols’, </w:t>
      </w:r>
      <w:r w:rsidRPr="001F3FE6">
        <w:rPr>
          <w:rStyle w:val="Emphasis"/>
          <w:rFonts w:ascii="Arial" w:hAnsi="Arial" w:cs="Arial"/>
        </w:rPr>
        <w:t>JAMA Psychiatry</w:t>
      </w:r>
      <w:r w:rsidRPr="001F3FE6">
        <w:rPr>
          <w:rFonts w:ascii="Arial" w:hAnsi="Arial" w:cs="Arial"/>
        </w:rPr>
        <w:t>, 74(9), pp. 875–884.</w:t>
      </w:r>
    </w:p>
    <w:p w14:paraId="1B94628F"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Cuijpers, P., Cristea, I.A., </w:t>
      </w:r>
      <w:proofErr w:type="spellStart"/>
      <w:r w:rsidRPr="001F3FE6">
        <w:rPr>
          <w:rFonts w:ascii="Arial" w:hAnsi="Arial" w:cs="Arial"/>
        </w:rPr>
        <w:t>Karyotaki</w:t>
      </w:r>
      <w:proofErr w:type="spellEnd"/>
      <w:r w:rsidRPr="001F3FE6">
        <w:rPr>
          <w:rFonts w:ascii="Arial" w:hAnsi="Arial" w:cs="Arial"/>
        </w:rPr>
        <w:t xml:space="preserve">, E., Reijnders, M. and Huibers, M.J.H. (2016) ‘How effective are cognitive </w:t>
      </w:r>
      <w:proofErr w:type="spellStart"/>
      <w:r w:rsidRPr="001F3FE6">
        <w:rPr>
          <w:rFonts w:ascii="Arial" w:hAnsi="Arial" w:cs="Arial"/>
        </w:rPr>
        <w:t>behavior</w:t>
      </w:r>
      <w:proofErr w:type="spellEnd"/>
      <w:r w:rsidRPr="001F3FE6">
        <w:rPr>
          <w:rFonts w:ascii="Arial" w:hAnsi="Arial" w:cs="Arial"/>
        </w:rPr>
        <w:t xml:space="preserve"> therapies for major depression and anxiety disorders? A meta-analytic update’, </w:t>
      </w:r>
      <w:r w:rsidRPr="001F3FE6">
        <w:rPr>
          <w:rStyle w:val="Emphasis"/>
          <w:rFonts w:ascii="Arial" w:hAnsi="Arial" w:cs="Arial"/>
        </w:rPr>
        <w:t>World Psychiatry</w:t>
      </w:r>
      <w:r w:rsidRPr="001F3FE6">
        <w:rPr>
          <w:rFonts w:ascii="Arial" w:hAnsi="Arial" w:cs="Arial"/>
        </w:rPr>
        <w:t>, 15(3), pp. 245–258.</w:t>
      </w:r>
    </w:p>
    <w:p w14:paraId="2695C28C"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Cuijpers, P., </w:t>
      </w:r>
      <w:proofErr w:type="spellStart"/>
      <w:r w:rsidRPr="001F3FE6">
        <w:rPr>
          <w:rFonts w:ascii="Arial" w:hAnsi="Arial" w:cs="Arial"/>
        </w:rPr>
        <w:t>Stringaris</w:t>
      </w:r>
      <w:proofErr w:type="spellEnd"/>
      <w:r w:rsidRPr="001F3FE6">
        <w:rPr>
          <w:rFonts w:ascii="Arial" w:hAnsi="Arial" w:cs="Arial"/>
        </w:rPr>
        <w:t xml:space="preserve">, A. and Wolpert, M. (2020) ‘Treatment outcomes for depression: Challenges and opportunities’, </w:t>
      </w:r>
      <w:r w:rsidRPr="001F3FE6">
        <w:rPr>
          <w:rStyle w:val="Emphasis"/>
          <w:rFonts w:ascii="Arial" w:hAnsi="Arial" w:cs="Arial"/>
        </w:rPr>
        <w:t>The Lancet Psychiatry</w:t>
      </w:r>
      <w:r w:rsidRPr="001F3FE6">
        <w:rPr>
          <w:rFonts w:ascii="Arial" w:hAnsi="Arial" w:cs="Arial"/>
        </w:rPr>
        <w:t>, 7(11), pp. 925–927.</w:t>
      </w:r>
    </w:p>
    <w:p w14:paraId="5A5529FB"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Druss, B.G., Zhao, L., Von Esenwein, S., </w:t>
      </w:r>
      <w:proofErr w:type="spellStart"/>
      <w:r w:rsidRPr="001F3FE6">
        <w:rPr>
          <w:rFonts w:ascii="Arial" w:hAnsi="Arial" w:cs="Arial"/>
        </w:rPr>
        <w:t>Morrato</w:t>
      </w:r>
      <w:proofErr w:type="spellEnd"/>
      <w:r w:rsidRPr="001F3FE6">
        <w:rPr>
          <w:rFonts w:ascii="Arial" w:hAnsi="Arial" w:cs="Arial"/>
        </w:rPr>
        <w:t xml:space="preserve">, E.H. and Marcus, S.C. (2018) ‘Understanding excess mortality in persons with mental illness’, </w:t>
      </w:r>
      <w:r w:rsidRPr="001F3FE6">
        <w:rPr>
          <w:rStyle w:val="Emphasis"/>
          <w:rFonts w:ascii="Arial" w:hAnsi="Arial" w:cs="Arial"/>
        </w:rPr>
        <w:t>Medical Care</w:t>
      </w:r>
      <w:r w:rsidRPr="001F3FE6">
        <w:rPr>
          <w:rFonts w:ascii="Arial" w:hAnsi="Arial" w:cs="Arial"/>
        </w:rPr>
        <w:t>, 56(3), pp. 213–219.</w:t>
      </w:r>
    </w:p>
    <w:p w14:paraId="10387A12"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First, M.B., Reed, G.M., Hyman, S.E. and Saxena, S. (2021) ‘The development of the ICD-11 clinical descriptions and diagnostic guidelines for mental and behavioural disorders’, </w:t>
      </w:r>
      <w:r w:rsidRPr="001F3FE6">
        <w:rPr>
          <w:rStyle w:val="Emphasis"/>
          <w:rFonts w:ascii="Arial" w:hAnsi="Arial" w:cs="Arial"/>
        </w:rPr>
        <w:t>World Psychiatry</w:t>
      </w:r>
      <w:r w:rsidRPr="001F3FE6">
        <w:rPr>
          <w:rFonts w:ascii="Arial" w:hAnsi="Arial" w:cs="Arial"/>
        </w:rPr>
        <w:t>, 20(1), pp. 82–90.</w:t>
      </w:r>
    </w:p>
    <w:p w14:paraId="61AFCFFD"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Firth, J., Siddiqi, N., Koyanagi, A., Siskind, D., Rosenbaum, S., Galletly, C., Allan, S., Caneo, C., Carney, R., Carvalho, A.F. and Stubbs, B. (2019) ‘The Lancet Psychiatry Commission: A blueprint for protecting physical health in people with mental illness’, </w:t>
      </w:r>
      <w:r w:rsidRPr="001F3FE6">
        <w:rPr>
          <w:rStyle w:val="Emphasis"/>
          <w:rFonts w:ascii="Arial" w:hAnsi="Arial" w:cs="Arial"/>
        </w:rPr>
        <w:t>The Lancet Psychiatry</w:t>
      </w:r>
      <w:r w:rsidRPr="001F3FE6">
        <w:rPr>
          <w:rFonts w:ascii="Arial" w:hAnsi="Arial" w:cs="Arial"/>
        </w:rPr>
        <w:t>, 6(8), pp. 675–712.</w:t>
      </w:r>
    </w:p>
    <w:p w14:paraId="30CB19BE"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Goldberg, S.B., Tucker, R.P., Greene, P.A., Simpson, T.L., Kearney, D.J. and Davidson, R.J. (2018) ‘Mindfulness-based interventions for psychiatric disorders: A systematic review and meta-analysis’, </w:t>
      </w:r>
      <w:r w:rsidRPr="001F3FE6">
        <w:rPr>
          <w:rStyle w:val="Emphasis"/>
          <w:rFonts w:ascii="Arial" w:hAnsi="Arial" w:cs="Arial"/>
        </w:rPr>
        <w:t>Clinical Psychology Review</w:t>
      </w:r>
      <w:r w:rsidRPr="001F3FE6">
        <w:rPr>
          <w:rFonts w:ascii="Arial" w:hAnsi="Arial" w:cs="Arial"/>
        </w:rPr>
        <w:t>, 59, pp. 52–60.</w:t>
      </w:r>
    </w:p>
    <w:p w14:paraId="7AA75906"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Hofmann, S.G., </w:t>
      </w:r>
      <w:proofErr w:type="spellStart"/>
      <w:r w:rsidRPr="001F3FE6">
        <w:rPr>
          <w:rFonts w:ascii="Arial" w:hAnsi="Arial" w:cs="Arial"/>
        </w:rPr>
        <w:t>Asnaani</w:t>
      </w:r>
      <w:proofErr w:type="spellEnd"/>
      <w:r w:rsidRPr="001F3FE6">
        <w:rPr>
          <w:rFonts w:ascii="Arial" w:hAnsi="Arial" w:cs="Arial"/>
        </w:rPr>
        <w:t xml:space="preserve">, A., Vonk, I.J.J., Sawyer, A.T. and Fang, A. (2017) ‘The efficacy of cognitive </w:t>
      </w:r>
      <w:proofErr w:type="spellStart"/>
      <w:r w:rsidRPr="001F3FE6">
        <w:rPr>
          <w:rFonts w:ascii="Arial" w:hAnsi="Arial" w:cs="Arial"/>
        </w:rPr>
        <w:t>behavioral</w:t>
      </w:r>
      <w:proofErr w:type="spellEnd"/>
      <w:r w:rsidRPr="001F3FE6">
        <w:rPr>
          <w:rFonts w:ascii="Arial" w:hAnsi="Arial" w:cs="Arial"/>
        </w:rPr>
        <w:t xml:space="preserve"> therapy: A review of meta-analyses’, </w:t>
      </w:r>
      <w:r w:rsidRPr="001F3FE6">
        <w:rPr>
          <w:rStyle w:val="Emphasis"/>
          <w:rFonts w:ascii="Arial" w:hAnsi="Arial" w:cs="Arial"/>
        </w:rPr>
        <w:t>Cognitive Therapy and Research</w:t>
      </w:r>
      <w:r w:rsidRPr="001F3FE6">
        <w:rPr>
          <w:rFonts w:ascii="Arial" w:hAnsi="Arial" w:cs="Arial"/>
        </w:rPr>
        <w:t>, 41(3), pp. 427–440.</w:t>
      </w:r>
    </w:p>
    <w:p w14:paraId="010F3491" w14:textId="77777777" w:rsidR="00A324D4" w:rsidRPr="001F3FE6" w:rsidRDefault="00A324D4" w:rsidP="00A324D4">
      <w:pPr>
        <w:spacing w:after="240" w:line="276" w:lineRule="auto"/>
        <w:rPr>
          <w:rFonts w:ascii="Arial" w:hAnsi="Arial" w:cs="Arial"/>
        </w:rPr>
      </w:pPr>
      <w:r w:rsidRPr="001F3FE6">
        <w:rPr>
          <w:rFonts w:ascii="Arial" w:hAnsi="Arial" w:cs="Arial"/>
        </w:rPr>
        <w:lastRenderedPageBreak/>
        <w:t xml:space="preserve">Hofmann, S.G. and Gómez, A.F. (2017) ‘Mindfulness-based interventions for anxiety and depression’, </w:t>
      </w:r>
      <w:r w:rsidRPr="001F3FE6">
        <w:rPr>
          <w:rStyle w:val="Emphasis"/>
          <w:rFonts w:ascii="Arial" w:hAnsi="Arial" w:cs="Arial"/>
        </w:rPr>
        <w:t>Psychiatric Clinics of North America</w:t>
      </w:r>
      <w:r w:rsidRPr="001F3FE6">
        <w:rPr>
          <w:rFonts w:ascii="Arial" w:hAnsi="Arial" w:cs="Arial"/>
        </w:rPr>
        <w:t>, 40(4), pp. 739–749.</w:t>
      </w:r>
    </w:p>
    <w:p w14:paraId="3F605C0B"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Kroenke, K., Spitzer, R.L. and Williams, J.B.W. (2016) ‘The PHQ-9: Validity of a brief depression severity measure’, </w:t>
      </w:r>
      <w:r w:rsidRPr="001F3FE6">
        <w:rPr>
          <w:rStyle w:val="Emphasis"/>
          <w:rFonts w:ascii="Arial" w:hAnsi="Arial" w:cs="Arial"/>
        </w:rPr>
        <w:t>Journal of General Internal Medicine</w:t>
      </w:r>
      <w:r w:rsidRPr="001F3FE6">
        <w:rPr>
          <w:rFonts w:ascii="Arial" w:hAnsi="Arial" w:cs="Arial"/>
        </w:rPr>
        <w:t>, 16(9), pp. 606–613.</w:t>
      </w:r>
    </w:p>
    <w:p w14:paraId="6EB7E2C4"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Maj, M., Stein, D.J., Parker, G., Zimmerman, M., Fava, G.A. and De Hert, M. (2020) ‘The clinical characterization of the adult patient with depression aimed at personalization of management’, </w:t>
      </w:r>
      <w:r w:rsidRPr="001F3FE6">
        <w:rPr>
          <w:rStyle w:val="Emphasis"/>
          <w:rFonts w:ascii="Arial" w:hAnsi="Arial" w:cs="Arial"/>
        </w:rPr>
        <w:t>World Psychiatry</w:t>
      </w:r>
      <w:r w:rsidRPr="001F3FE6">
        <w:rPr>
          <w:rFonts w:ascii="Arial" w:hAnsi="Arial" w:cs="Arial"/>
        </w:rPr>
        <w:t>, 19(3), pp. 269–293.</w:t>
      </w:r>
    </w:p>
    <w:p w14:paraId="1F837D87"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Modini, M., Joyce, S., </w:t>
      </w:r>
      <w:proofErr w:type="spellStart"/>
      <w:r w:rsidRPr="001F3FE6">
        <w:rPr>
          <w:rFonts w:ascii="Arial" w:hAnsi="Arial" w:cs="Arial"/>
        </w:rPr>
        <w:t>Mykletun</w:t>
      </w:r>
      <w:proofErr w:type="spellEnd"/>
      <w:r w:rsidRPr="001F3FE6">
        <w:rPr>
          <w:rFonts w:ascii="Arial" w:hAnsi="Arial" w:cs="Arial"/>
        </w:rPr>
        <w:t xml:space="preserve">, A., Christensen, H., Bryant, R.A. and Mitchell, P.B. (2016) ‘The mental health benefits of employment: Results of a systematic meta-review’, </w:t>
      </w:r>
      <w:r w:rsidRPr="001F3FE6">
        <w:rPr>
          <w:rStyle w:val="Emphasis"/>
          <w:rFonts w:ascii="Arial" w:hAnsi="Arial" w:cs="Arial"/>
        </w:rPr>
        <w:t>Australasian Psychiatry</w:t>
      </w:r>
      <w:r w:rsidRPr="001F3FE6">
        <w:rPr>
          <w:rFonts w:ascii="Arial" w:hAnsi="Arial" w:cs="Arial"/>
        </w:rPr>
        <w:t>, 24(4), pp. 331–336.</w:t>
      </w:r>
    </w:p>
    <w:p w14:paraId="6B398C92"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Newby, J.M., McKinnon, A., </w:t>
      </w:r>
      <w:proofErr w:type="spellStart"/>
      <w:r w:rsidRPr="001F3FE6">
        <w:rPr>
          <w:rFonts w:ascii="Arial" w:hAnsi="Arial" w:cs="Arial"/>
        </w:rPr>
        <w:t>Kuyken</w:t>
      </w:r>
      <w:proofErr w:type="spellEnd"/>
      <w:r w:rsidRPr="001F3FE6">
        <w:rPr>
          <w:rFonts w:ascii="Arial" w:hAnsi="Arial" w:cs="Arial"/>
        </w:rPr>
        <w:t xml:space="preserve">, W., Gilbody, S. and Dalgleish, T. (2018) ‘Systematic review and meta-analysis of transdiagnostic psychological treatments for anxiety and depressive disorders’, </w:t>
      </w:r>
      <w:r w:rsidRPr="001F3FE6">
        <w:rPr>
          <w:rStyle w:val="Emphasis"/>
          <w:rFonts w:ascii="Arial" w:hAnsi="Arial" w:cs="Arial"/>
        </w:rPr>
        <w:t>Journal of Affective Disorders</w:t>
      </w:r>
      <w:r w:rsidRPr="001F3FE6">
        <w:rPr>
          <w:rFonts w:ascii="Arial" w:hAnsi="Arial" w:cs="Arial"/>
        </w:rPr>
        <w:t>, 227, pp. 136–146.</w:t>
      </w:r>
    </w:p>
    <w:p w14:paraId="19D2BFCB"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Plummer, F., Manea, L., </w:t>
      </w:r>
      <w:proofErr w:type="spellStart"/>
      <w:r w:rsidRPr="001F3FE6">
        <w:rPr>
          <w:rFonts w:ascii="Arial" w:hAnsi="Arial" w:cs="Arial"/>
        </w:rPr>
        <w:t>Trepel</w:t>
      </w:r>
      <w:proofErr w:type="spellEnd"/>
      <w:r w:rsidRPr="001F3FE6">
        <w:rPr>
          <w:rFonts w:ascii="Arial" w:hAnsi="Arial" w:cs="Arial"/>
        </w:rPr>
        <w:t xml:space="preserve">, D. and McMillan, D. (2016) ‘Screening for anxiety disorders with the GAD-7 and GAD-2: A systematic review and diagnostic meta-analysis’, </w:t>
      </w:r>
      <w:r w:rsidRPr="001F3FE6">
        <w:rPr>
          <w:rStyle w:val="Emphasis"/>
          <w:rFonts w:ascii="Arial" w:hAnsi="Arial" w:cs="Arial"/>
        </w:rPr>
        <w:t>General Hospital Psychiatry</w:t>
      </w:r>
      <w:r w:rsidRPr="001F3FE6">
        <w:rPr>
          <w:rFonts w:ascii="Arial" w:hAnsi="Arial" w:cs="Arial"/>
        </w:rPr>
        <w:t>, 39, pp. 24–31.</w:t>
      </w:r>
    </w:p>
    <w:p w14:paraId="451480E0"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Reed, G.M., First, M.B., Kogan, C.S., Hyman, S.E., Gureje, O., Gaebel, W., Maj, M., Stein, D.J., </w:t>
      </w:r>
      <w:proofErr w:type="spellStart"/>
      <w:r w:rsidRPr="001F3FE6">
        <w:rPr>
          <w:rFonts w:ascii="Arial" w:hAnsi="Arial" w:cs="Arial"/>
        </w:rPr>
        <w:t>Maercker</w:t>
      </w:r>
      <w:proofErr w:type="spellEnd"/>
      <w:r w:rsidRPr="001F3FE6">
        <w:rPr>
          <w:rFonts w:ascii="Arial" w:hAnsi="Arial" w:cs="Arial"/>
        </w:rPr>
        <w:t xml:space="preserve">, A. and Tyrer, P. (2019) ‘Innovations and changes in the ICD-11 classification of mental, behavioural and neurodevelopmental disorders’, </w:t>
      </w:r>
      <w:r w:rsidRPr="001F3FE6">
        <w:rPr>
          <w:rStyle w:val="Emphasis"/>
          <w:rFonts w:ascii="Arial" w:hAnsi="Arial" w:cs="Arial"/>
        </w:rPr>
        <w:t>World Psychiatry</w:t>
      </w:r>
      <w:r w:rsidRPr="001F3FE6">
        <w:rPr>
          <w:rFonts w:ascii="Arial" w:hAnsi="Arial" w:cs="Arial"/>
        </w:rPr>
        <w:t>, 18(1), pp. 3–19.</w:t>
      </w:r>
    </w:p>
    <w:p w14:paraId="3EA0D8B5"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Richards, D.A., Bower, P., Pagel, C., Weaver, A., Utley, M., Cape, J., Pilling, S., Lovell, K., Gilbody, S. and Leibowitz, J. (2020) ‘Delivering stepped care: An analysis of implementation in routine practice’, </w:t>
      </w:r>
      <w:r w:rsidRPr="001F3FE6">
        <w:rPr>
          <w:rStyle w:val="Emphasis"/>
          <w:rFonts w:ascii="Arial" w:hAnsi="Arial" w:cs="Arial"/>
        </w:rPr>
        <w:t>Implementation Science</w:t>
      </w:r>
      <w:r w:rsidRPr="001F3FE6">
        <w:rPr>
          <w:rFonts w:ascii="Arial" w:hAnsi="Arial" w:cs="Arial"/>
        </w:rPr>
        <w:t>, 15(1), pp. 1–12.</w:t>
      </w:r>
    </w:p>
    <w:p w14:paraId="3BA66E99"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Stein, D.J., Phillips, K.A., Bolton, D., Fulford, K.W.M., Sadler, J.Z. and Kendler, K.S. (2020) ‘What is a mental/psychiatric disorder? From DSM-IV to DSM-5’, </w:t>
      </w:r>
      <w:r w:rsidRPr="001F3FE6">
        <w:rPr>
          <w:rStyle w:val="Emphasis"/>
          <w:rFonts w:ascii="Arial" w:hAnsi="Arial" w:cs="Arial"/>
        </w:rPr>
        <w:t>Psychological Medicine</w:t>
      </w:r>
      <w:r w:rsidRPr="001F3FE6">
        <w:rPr>
          <w:rFonts w:ascii="Arial" w:hAnsi="Arial" w:cs="Arial"/>
        </w:rPr>
        <w:t>, 50(11), pp. 1753–1763.</w:t>
      </w:r>
    </w:p>
    <w:p w14:paraId="7AEDAB0F"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Stubbs, B., </w:t>
      </w:r>
      <w:proofErr w:type="spellStart"/>
      <w:r w:rsidRPr="001F3FE6">
        <w:rPr>
          <w:rFonts w:ascii="Arial" w:hAnsi="Arial" w:cs="Arial"/>
        </w:rPr>
        <w:t>Vancampfort</w:t>
      </w:r>
      <w:proofErr w:type="spellEnd"/>
      <w:r w:rsidRPr="001F3FE6">
        <w:rPr>
          <w:rFonts w:ascii="Arial" w:hAnsi="Arial" w:cs="Arial"/>
        </w:rPr>
        <w:t xml:space="preserve">, D., Hallgren, M., Firth, J., Veronese, N., </w:t>
      </w:r>
      <w:proofErr w:type="spellStart"/>
      <w:r w:rsidRPr="001F3FE6">
        <w:rPr>
          <w:rFonts w:ascii="Arial" w:hAnsi="Arial" w:cs="Arial"/>
        </w:rPr>
        <w:t>Solmi</w:t>
      </w:r>
      <w:proofErr w:type="spellEnd"/>
      <w:r w:rsidRPr="001F3FE6">
        <w:rPr>
          <w:rFonts w:ascii="Arial" w:hAnsi="Arial" w:cs="Arial"/>
        </w:rPr>
        <w:t xml:space="preserve">, M., Brand, S., Cordes, J., Malchow, B., Gerber, M. and Schuch, F. (2017) ‘EPA guidance on physical activity as a treatment for severe mental illness’, </w:t>
      </w:r>
      <w:r w:rsidRPr="001F3FE6">
        <w:rPr>
          <w:rStyle w:val="Emphasis"/>
          <w:rFonts w:ascii="Arial" w:hAnsi="Arial" w:cs="Arial"/>
        </w:rPr>
        <w:t>European Psychiatry</w:t>
      </w:r>
      <w:r w:rsidRPr="001F3FE6">
        <w:rPr>
          <w:rFonts w:ascii="Arial" w:hAnsi="Arial" w:cs="Arial"/>
        </w:rPr>
        <w:t>, 54, pp. 124–144.</w:t>
      </w:r>
    </w:p>
    <w:p w14:paraId="0AC86998" w14:textId="77777777" w:rsidR="00A324D4" w:rsidRPr="001F3FE6" w:rsidRDefault="00A324D4" w:rsidP="00A324D4">
      <w:pPr>
        <w:spacing w:after="240" w:line="276" w:lineRule="auto"/>
        <w:rPr>
          <w:rFonts w:ascii="Arial" w:hAnsi="Arial" w:cs="Arial"/>
        </w:rPr>
      </w:pPr>
      <w:r w:rsidRPr="001F3FE6">
        <w:rPr>
          <w:rFonts w:ascii="Arial" w:hAnsi="Arial" w:cs="Arial"/>
        </w:rPr>
        <w:t xml:space="preserve">Tyrer, P., Reed, G.M. and Crawford, M.J. (2022) ‘Classification, assessment, prevalence, and effect of personality disorder’, </w:t>
      </w:r>
      <w:r w:rsidRPr="001F3FE6">
        <w:rPr>
          <w:rStyle w:val="Emphasis"/>
          <w:rFonts w:ascii="Arial" w:hAnsi="Arial" w:cs="Arial"/>
        </w:rPr>
        <w:t>The Lancet</w:t>
      </w:r>
      <w:r w:rsidRPr="001F3FE6">
        <w:rPr>
          <w:rFonts w:ascii="Arial" w:hAnsi="Arial" w:cs="Arial"/>
        </w:rPr>
        <w:t>, 400(10362), pp. 1817–1828.</w:t>
      </w:r>
    </w:p>
    <w:p w14:paraId="4587AB88" w14:textId="77777777" w:rsidR="00A324D4" w:rsidRPr="001F3FE6" w:rsidRDefault="00A324D4" w:rsidP="00A324D4">
      <w:pPr>
        <w:spacing w:after="240" w:line="276" w:lineRule="auto"/>
        <w:rPr>
          <w:rFonts w:ascii="Arial" w:hAnsi="Arial" w:cs="Arial"/>
        </w:rPr>
      </w:pPr>
      <w:r w:rsidRPr="001F3FE6">
        <w:rPr>
          <w:rFonts w:ascii="Arial" w:hAnsi="Arial" w:cs="Arial"/>
        </w:rPr>
        <w:lastRenderedPageBreak/>
        <w:t xml:space="preserve">Wakefield, J.C. (2016) ‘Diagnostic issues and controversies in DSM-5: Return of the false positives problem’, </w:t>
      </w:r>
      <w:r w:rsidRPr="001F3FE6">
        <w:rPr>
          <w:rStyle w:val="Emphasis"/>
          <w:rFonts w:ascii="Arial" w:hAnsi="Arial" w:cs="Arial"/>
        </w:rPr>
        <w:t>Annual Review of Clinical Psychology</w:t>
      </w:r>
      <w:r w:rsidRPr="001F3FE6">
        <w:rPr>
          <w:rFonts w:ascii="Arial" w:hAnsi="Arial" w:cs="Arial"/>
        </w:rPr>
        <w:t>, 12, pp. 105–132.</w:t>
      </w:r>
    </w:p>
    <w:p w14:paraId="3EE84A99" w14:textId="77777777" w:rsidR="00A324D4" w:rsidRPr="001F3FE6" w:rsidRDefault="00A324D4" w:rsidP="00A324D4">
      <w:pPr>
        <w:spacing w:after="240" w:line="276" w:lineRule="auto"/>
        <w:rPr>
          <w:rFonts w:ascii="Arial" w:hAnsi="Arial" w:cs="Arial"/>
        </w:rPr>
      </w:pPr>
      <w:r w:rsidRPr="001F3FE6">
        <w:rPr>
          <w:rFonts w:ascii="Arial" w:hAnsi="Arial" w:cs="Arial"/>
        </w:rPr>
        <w:t>World Health Organization (2019) Clinical Descriptions and Diagnostic Requirements for ICD-11 mental, Behavioural and Neurodevelopmental Disorders (CDDR), www.who.int. Available at: https://www.who.int/publications/i/item/9789240077263 (Accessed: 14 April 2026).</w:t>
      </w:r>
    </w:p>
    <w:p w14:paraId="7082B389" w14:textId="77777777" w:rsidR="00A324D4" w:rsidRPr="001F3FE6" w:rsidRDefault="00A324D4" w:rsidP="00A324D4">
      <w:pPr>
        <w:spacing w:after="240" w:line="276" w:lineRule="auto"/>
        <w:rPr>
          <w:rFonts w:ascii="Arial" w:hAnsi="Arial" w:cs="Arial"/>
        </w:rPr>
      </w:pPr>
      <w:r w:rsidRPr="001F3FE6">
        <w:rPr>
          <w:rFonts w:ascii="Arial" w:hAnsi="Arial" w:cs="Arial"/>
        </w:rPr>
        <w:t>World Health Organization (2018) International Classification of Diseases (ICD), www.who.int. Available at: https://www.who.int/standards/classifications/classification-of-diseases (Accessed: 14 April 2026).</w:t>
      </w:r>
    </w:p>
    <w:p w14:paraId="50B910F0" w14:textId="612E7472" w:rsidR="00B1492C" w:rsidRPr="00B1492C" w:rsidRDefault="00A324D4" w:rsidP="00A324D4">
      <w:pPr>
        <w:spacing w:after="240" w:line="276" w:lineRule="auto"/>
      </w:pPr>
      <w:r w:rsidRPr="001F3FE6">
        <w:rPr>
          <w:rFonts w:ascii="Arial" w:hAnsi="Arial" w:cs="Arial"/>
        </w:rPr>
        <w:t>National Institute for Health and Care Excellence (2022) Depression in adults: Treatment and Management, www.nice.org.uk. Available at: https://www.nice.org.uk/guidance/ng222 (Accessed: 15 April 2026).</w:t>
      </w:r>
    </w:p>
    <w:p w14:paraId="1C2844A1" w14:textId="77777777" w:rsidR="00E85B3A" w:rsidRPr="00E85B3A" w:rsidRDefault="00E85B3A" w:rsidP="00E85B3A"/>
    <w:sectPr w:rsidR="00E85B3A" w:rsidRPr="00E85B3A" w:rsidSect="00DA4C96">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EA32C" w14:textId="77777777" w:rsidR="00F94546" w:rsidRDefault="00F94546" w:rsidP="00206C13">
      <w:pPr>
        <w:spacing w:line="240" w:lineRule="auto"/>
      </w:pPr>
      <w:r>
        <w:separator/>
      </w:r>
    </w:p>
  </w:endnote>
  <w:endnote w:type="continuationSeparator" w:id="0">
    <w:p w14:paraId="07E2C1E6" w14:textId="77777777" w:rsidR="00F94546" w:rsidRDefault="00F94546" w:rsidP="00206C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125295"/>
      <w:docPartObj>
        <w:docPartGallery w:val="Page Numbers (Bottom of Page)"/>
        <w:docPartUnique/>
      </w:docPartObj>
    </w:sdtPr>
    <w:sdtContent>
      <w:p w14:paraId="78287CDF" w14:textId="1FCA17E7" w:rsidR="00206C13" w:rsidRDefault="00206C13" w:rsidP="00EA6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0B7D9BA" w14:textId="77777777" w:rsidR="00206C13" w:rsidRDefault="00206C13" w:rsidP="00206C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6640163"/>
      <w:docPartObj>
        <w:docPartGallery w:val="Page Numbers (Bottom of Page)"/>
        <w:docPartUnique/>
      </w:docPartObj>
    </w:sdtPr>
    <w:sdtContent>
      <w:p w14:paraId="22623304" w14:textId="1D0A30A1" w:rsidR="00206C13" w:rsidRDefault="00206C13" w:rsidP="00EA6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139C5C" w14:textId="77777777" w:rsidR="00206C13" w:rsidRDefault="00206C13" w:rsidP="00206C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2A9A" w14:textId="77777777" w:rsidR="00F94546" w:rsidRDefault="00F94546" w:rsidP="00206C13">
      <w:pPr>
        <w:spacing w:line="240" w:lineRule="auto"/>
      </w:pPr>
      <w:r>
        <w:separator/>
      </w:r>
    </w:p>
  </w:footnote>
  <w:footnote w:type="continuationSeparator" w:id="0">
    <w:p w14:paraId="30B6CEDF" w14:textId="77777777" w:rsidR="00F94546" w:rsidRDefault="00F94546" w:rsidP="00206C1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A3"/>
    <w:rsid w:val="0003594F"/>
    <w:rsid w:val="00060EE2"/>
    <w:rsid w:val="000D5DA4"/>
    <w:rsid w:val="0015798C"/>
    <w:rsid w:val="00184346"/>
    <w:rsid w:val="00184A08"/>
    <w:rsid w:val="001F3FE6"/>
    <w:rsid w:val="00206C13"/>
    <w:rsid w:val="002B1CBB"/>
    <w:rsid w:val="002C2EA7"/>
    <w:rsid w:val="002E59F5"/>
    <w:rsid w:val="00301C2C"/>
    <w:rsid w:val="00362083"/>
    <w:rsid w:val="00397121"/>
    <w:rsid w:val="003D57AE"/>
    <w:rsid w:val="004118A8"/>
    <w:rsid w:val="00460623"/>
    <w:rsid w:val="004A5391"/>
    <w:rsid w:val="004F3868"/>
    <w:rsid w:val="00511774"/>
    <w:rsid w:val="00536F64"/>
    <w:rsid w:val="005603FD"/>
    <w:rsid w:val="006249F7"/>
    <w:rsid w:val="0064771E"/>
    <w:rsid w:val="00657837"/>
    <w:rsid w:val="00657AD8"/>
    <w:rsid w:val="0073559F"/>
    <w:rsid w:val="007A55BC"/>
    <w:rsid w:val="0083273B"/>
    <w:rsid w:val="00893A05"/>
    <w:rsid w:val="008E58BF"/>
    <w:rsid w:val="008F6350"/>
    <w:rsid w:val="009C0311"/>
    <w:rsid w:val="009E56DC"/>
    <w:rsid w:val="00A000A8"/>
    <w:rsid w:val="00A324D4"/>
    <w:rsid w:val="00B1492C"/>
    <w:rsid w:val="00BC0062"/>
    <w:rsid w:val="00BD0E41"/>
    <w:rsid w:val="00BE488D"/>
    <w:rsid w:val="00C277A3"/>
    <w:rsid w:val="00C3221A"/>
    <w:rsid w:val="00C61CE7"/>
    <w:rsid w:val="00C708D0"/>
    <w:rsid w:val="00CF4D69"/>
    <w:rsid w:val="00DA4C96"/>
    <w:rsid w:val="00DC198C"/>
    <w:rsid w:val="00DF3C1C"/>
    <w:rsid w:val="00E17414"/>
    <w:rsid w:val="00E27973"/>
    <w:rsid w:val="00E51C5F"/>
    <w:rsid w:val="00E85B3A"/>
    <w:rsid w:val="00EB3D7A"/>
    <w:rsid w:val="00F70209"/>
    <w:rsid w:val="00F94546"/>
    <w:rsid w:val="00FE19AA"/>
    <w:rsid w:val="00FE6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404D8"/>
  <w15:chartTrackingRefBased/>
  <w15:docId w15:val="{FC6B22A0-A83B-064E-A253-F08FBEAA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7A3"/>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277A3"/>
    <w:pPr>
      <w:keepNext/>
      <w:keepLines/>
      <w:spacing w:before="360" w:after="80"/>
      <w:outlineLvl w:val="0"/>
    </w:pPr>
    <w:rPr>
      <w:rFonts w:eastAsiaTheme="majorEastAsia" w:cstheme="majorBidi"/>
      <w:b/>
      <w:color w:val="000000" w:themeColor="text1"/>
      <w:szCs w:val="40"/>
      <w:u w:val="single"/>
    </w:rPr>
  </w:style>
  <w:style w:type="paragraph" w:styleId="Heading2">
    <w:name w:val="heading 2"/>
    <w:basedOn w:val="Normal"/>
    <w:next w:val="Normal"/>
    <w:link w:val="Heading2Char"/>
    <w:uiPriority w:val="9"/>
    <w:semiHidden/>
    <w:unhideWhenUsed/>
    <w:qFormat/>
    <w:rsid w:val="00C277A3"/>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C277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7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7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7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7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7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7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7A3"/>
    <w:rPr>
      <w:rFonts w:ascii="Times New Roman" w:eastAsiaTheme="majorEastAsia" w:hAnsi="Times New Roman" w:cstheme="majorBidi"/>
      <w:b/>
      <w:color w:val="000000" w:themeColor="text1"/>
      <w:szCs w:val="40"/>
      <w:u w:val="single"/>
    </w:rPr>
  </w:style>
  <w:style w:type="character" w:customStyle="1" w:styleId="Heading2Char">
    <w:name w:val="Heading 2 Char"/>
    <w:basedOn w:val="DefaultParagraphFont"/>
    <w:link w:val="Heading2"/>
    <w:uiPriority w:val="9"/>
    <w:semiHidden/>
    <w:rsid w:val="00C277A3"/>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C277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7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7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7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7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7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7A3"/>
    <w:rPr>
      <w:rFonts w:eastAsiaTheme="majorEastAsia" w:cstheme="majorBidi"/>
      <w:color w:val="272727" w:themeColor="text1" w:themeTint="D8"/>
    </w:rPr>
  </w:style>
  <w:style w:type="paragraph" w:styleId="Title">
    <w:name w:val="Title"/>
    <w:basedOn w:val="Normal"/>
    <w:next w:val="Normal"/>
    <w:link w:val="TitleChar"/>
    <w:uiPriority w:val="10"/>
    <w:qFormat/>
    <w:rsid w:val="00C277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7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7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7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7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77A3"/>
    <w:rPr>
      <w:i/>
      <w:iCs/>
      <w:color w:val="404040" w:themeColor="text1" w:themeTint="BF"/>
    </w:rPr>
  </w:style>
  <w:style w:type="paragraph" w:styleId="ListParagraph">
    <w:name w:val="List Paragraph"/>
    <w:basedOn w:val="Normal"/>
    <w:uiPriority w:val="34"/>
    <w:qFormat/>
    <w:rsid w:val="00C277A3"/>
    <w:pPr>
      <w:ind w:left="720"/>
      <w:contextualSpacing/>
    </w:pPr>
  </w:style>
  <w:style w:type="character" w:styleId="IntenseEmphasis">
    <w:name w:val="Intense Emphasis"/>
    <w:basedOn w:val="DefaultParagraphFont"/>
    <w:uiPriority w:val="21"/>
    <w:qFormat/>
    <w:rsid w:val="00C277A3"/>
    <w:rPr>
      <w:i/>
      <w:iCs/>
      <w:color w:val="0F4761" w:themeColor="accent1" w:themeShade="BF"/>
    </w:rPr>
  </w:style>
  <w:style w:type="paragraph" w:styleId="IntenseQuote">
    <w:name w:val="Intense Quote"/>
    <w:basedOn w:val="Normal"/>
    <w:next w:val="Normal"/>
    <w:link w:val="IntenseQuoteChar"/>
    <w:uiPriority w:val="30"/>
    <w:qFormat/>
    <w:rsid w:val="00C27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7A3"/>
    <w:rPr>
      <w:i/>
      <w:iCs/>
      <w:color w:val="0F4761" w:themeColor="accent1" w:themeShade="BF"/>
    </w:rPr>
  </w:style>
  <w:style w:type="character" w:styleId="IntenseReference">
    <w:name w:val="Intense Reference"/>
    <w:basedOn w:val="DefaultParagraphFont"/>
    <w:uiPriority w:val="32"/>
    <w:qFormat/>
    <w:rsid w:val="00C277A3"/>
    <w:rPr>
      <w:b/>
      <w:bCs/>
      <w:smallCaps/>
      <w:color w:val="0F4761" w:themeColor="accent1" w:themeShade="BF"/>
      <w:spacing w:val="5"/>
    </w:rPr>
  </w:style>
  <w:style w:type="paragraph" w:styleId="NoSpacing">
    <w:name w:val="No Spacing"/>
    <w:link w:val="NoSpacingChar"/>
    <w:uiPriority w:val="1"/>
    <w:qFormat/>
    <w:rsid w:val="00DA4C9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A4C96"/>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A324D4"/>
    <w:pPr>
      <w:spacing w:before="100" w:beforeAutospacing="1" w:after="100" w:afterAutospacing="1" w:line="240" w:lineRule="auto"/>
      <w:jc w:val="left"/>
    </w:pPr>
    <w:rPr>
      <w:rFonts w:eastAsia="Times New Roman" w:cs="Times New Roman"/>
      <w:kern w:val="0"/>
      <w:lang w:eastAsia="en-GB"/>
      <w14:ligatures w14:val="none"/>
    </w:rPr>
  </w:style>
  <w:style w:type="character" w:styleId="Emphasis">
    <w:name w:val="Emphasis"/>
    <w:basedOn w:val="DefaultParagraphFont"/>
    <w:uiPriority w:val="20"/>
    <w:qFormat/>
    <w:rsid w:val="00A324D4"/>
    <w:rPr>
      <w:i/>
      <w:iCs/>
    </w:rPr>
  </w:style>
  <w:style w:type="paragraph" w:styleId="Footer">
    <w:name w:val="footer"/>
    <w:basedOn w:val="Normal"/>
    <w:link w:val="FooterChar"/>
    <w:uiPriority w:val="99"/>
    <w:unhideWhenUsed/>
    <w:rsid w:val="00206C13"/>
    <w:pPr>
      <w:tabs>
        <w:tab w:val="center" w:pos="4513"/>
        <w:tab w:val="right" w:pos="9026"/>
      </w:tabs>
      <w:spacing w:line="240" w:lineRule="auto"/>
    </w:pPr>
  </w:style>
  <w:style w:type="character" w:customStyle="1" w:styleId="FooterChar">
    <w:name w:val="Footer Char"/>
    <w:basedOn w:val="DefaultParagraphFont"/>
    <w:link w:val="Footer"/>
    <w:uiPriority w:val="99"/>
    <w:rsid w:val="00206C13"/>
    <w:rPr>
      <w:rFonts w:ascii="Times New Roman" w:hAnsi="Times New Roman"/>
    </w:rPr>
  </w:style>
  <w:style w:type="character" w:styleId="PageNumber">
    <w:name w:val="page number"/>
    <w:basedOn w:val="DefaultParagraphFont"/>
    <w:uiPriority w:val="99"/>
    <w:semiHidden/>
    <w:unhideWhenUsed/>
    <w:rsid w:val="00206C13"/>
  </w:style>
  <w:style w:type="paragraph" w:styleId="TOCHeading">
    <w:name w:val="TOC Heading"/>
    <w:basedOn w:val="Heading1"/>
    <w:next w:val="Normal"/>
    <w:uiPriority w:val="39"/>
    <w:unhideWhenUsed/>
    <w:qFormat/>
    <w:rsid w:val="00C61CE7"/>
    <w:pPr>
      <w:spacing w:before="480" w:after="0" w:line="276" w:lineRule="auto"/>
      <w:jc w:val="left"/>
      <w:outlineLvl w:val="9"/>
    </w:pPr>
    <w:rPr>
      <w:rFonts w:asciiTheme="majorHAnsi" w:hAnsiTheme="majorHAnsi"/>
      <w:bCs/>
      <w:color w:val="0F4761" w:themeColor="accent1" w:themeShade="BF"/>
      <w:kern w:val="0"/>
      <w:sz w:val="28"/>
      <w:szCs w:val="28"/>
      <w:u w:val="none"/>
      <w:lang w:val="en-US"/>
      <w14:ligatures w14:val="none"/>
    </w:rPr>
  </w:style>
  <w:style w:type="paragraph" w:styleId="TOC1">
    <w:name w:val="toc 1"/>
    <w:basedOn w:val="Normal"/>
    <w:next w:val="Normal"/>
    <w:autoRedefine/>
    <w:uiPriority w:val="39"/>
    <w:unhideWhenUsed/>
    <w:rsid w:val="00C61CE7"/>
    <w:pPr>
      <w:spacing w:before="360" w:after="360"/>
      <w:jc w:val="left"/>
    </w:pPr>
    <w:rPr>
      <w:rFonts w:asciiTheme="minorHAnsi" w:hAnsiTheme="minorHAnsi"/>
      <w:b/>
      <w:bCs/>
      <w:caps/>
      <w:sz w:val="22"/>
      <w:szCs w:val="22"/>
      <w:u w:val="single"/>
    </w:rPr>
  </w:style>
  <w:style w:type="character" w:styleId="Hyperlink">
    <w:name w:val="Hyperlink"/>
    <w:basedOn w:val="DefaultParagraphFont"/>
    <w:uiPriority w:val="99"/>
    <w:unhideWhenUsed/>
    <w:rsid w:val="00C61CE7"/>
    <w:rPr>
      <w:color w:val="467886" w:themeColor="hyperlink"/>
      <w:u w:val="single"/>
    </w:rPr>
  </w:style>
  <w:style w:type="paragraph" w:styleId="TOC2">
    <w:name w:val="toc 2"/>
    <w:basedOn w:val="Normal"/>
    <w:next w:val="Normal"/>
    <w:autoRedefine/>
    <w:uiPriority w:val="39"/>
    <w:semiHidden/>
    <w:unhideWhenUsed/>
    <w:rsid w:val="00C61CE7"/>
    <w:pPr>
      <w:jc w:val="left"/>
    </w:pPr>
    <w:rPr>
      <w:rFonts w:asciiTheme="minorHAnsi" w:hAnsiTheme="minorHAnsi"/>
      <w:b/>
      <w:bCs/>
      <w:smallCaps/>
      <w:sz w:val="22"/>
      <w:szCs w:val="22"/>
    </w:rPr>
  </w:style>
  <w:style w:type="paragraph" w:styleId="TOC3">
    <w:name w:val="toc 3"/>
    <w:basedOn w:val="Normal"/>
    <w:next w:val="Normal"/>
    <w:autoRedefine/>
    <w:uiPriority w:val="39"/>
    <w:semiHidden/>
    <w:unhideWhenUsed/>
    <w:rsid w:val="00C61CE7"/>
    <w:pPr>
      <w:jc w:val="left"/>
    </w:pPr>
    <w:rPr>
      <w:rFonts w:asciiTheme="minorHAnsi" w:hAnsiTheme="minorHAnsi"/>
      <w:smallCaps/>
      <w:sz w:val="22"/>
      <w:szCs w:val="22"/>
    </w:rPr>
  </w:style>
  <w:style w:type="paragraph" w:styleId="TOC4">
    <w:name w:val="toc 4"/>
    <w:basedOn w:val="Normal"/>
    <w:next w:val="Normal"/>
    <w:autoRedefine/>
    <w:uiPriority w:val="39"/>
    <w:semiHidden/>
    <w:unhideWhenUsed/>
    <w:rsid w:val="00C61CE7"/>
    <w:pPr>
      <w:jc w:val="left"/>
    </w:pPr>
    <w:rPr>
      <w:rFonts w:asciiTheme="minorHAnsi" w:hAnsiTheme="minorHAnsi"/>
      <w:sz w:val="22"/>
      <w:szCs w:val="22"/>
    </w:rPr>
  </w:style>
  <w:style w:type="paragraph" w:styleId="TOC5">
    <w:name w:val="toc 5"/>
    <w:basedOn w:val="Normal"/>
    <w:next w:val="Normal"/>
    <w:autoRedefine/>
    <w:uiPriority w:val="39"/>
    <w:semiHidden/>
    <w:unhideWhenUsed/>
    <w:rsid w:val="00C61CE7"/>
    <w:pPr>
      <w:jc w:val="left"/>
    </w:pPr>
    <w:rPr>
      <w:rFonts w:asciiTheme="minorHAnsi" w:hAnsiTheme="minorHAnsi"/>
      <w:sz w:val="22"/>
      <w:szCs w:val="22"/>
    </w:rPr>
  </w:style>
  <w:style w:type="paragraph" w:styleId="TOC6">
    <w:name w:val="toc 6"/>
    <w:basedOn w:val="Normal"/>
    <w:next w:val="Normal"/>
    <w:autoRedefine/>
    <w:uiPriority w:val="39"/>
    <w:semiHidden/>
    <w:unhideWhenUsed/>
    <w:rsid w:val="00C61CE7"/>
    <w:pPr>
      <w:jc w:val="left"/>
    </w:pPr>
    <w:rPr>
      <w:rFonts w:asciiTheme="minorHAnsi" w:hAnsiTheme="minorHAnsi"/>
      <w:sz w:val="22"/>
      <w:szCs w:val="22"/>
    </w:rPr>
  </w:style>
  <w:style w:type="paragraph" w:styleId="TOC7">
    <w:name w:val="toc 7"/>
    <w:basedOn w:val="Normal"/>
    <w:next w:val="Normal"/>
    <w:autoRedefine/>
    <w:uiPriority w:val="39"/>
    <w:semiHidden/>
    <w:unhideWhenUsed/>
    <w:rsid w:val="00C61CE7"/>
    <w:pPr>
      <w:jc w:val="left"/>
    </w:pPr>
    <w:rPr>
      <w:rFonts w:asciiTheme="minorHAnsi" w:hAnsiTheme="minorHAnsi"/>
      <w:sz w:val="22"/>
      <w:szCs w:val="22"/>
    </w:rPr>
  </w:style>
  <w:style w:type="paragraph" w:styleId="TOC8">
    <w:name w:val="toc 8"/>
    <w:basedOn w:val="Normal"/>
    <w:next w:val="Normal"/>
    <w:autoRedefine/>
    <w:uiPriority w:val="39"/>
    <w:semiHidden/>
    <w:unhideWhenUsed/>
    <w:rsid w:val="00C61CE7"/>
    <w:pPr>
      <w:jc w:val="left"/>
    </w:pPr>
    <w:rPr>
      <w:rFonts w:asciiTheme="minorHAnsi" w:hAnsiTheme="minorHAnsi"/>
      <w:sz w:val="22"/>
      <w:szCs w:val="22"/>
    </w:rPr>
  </w:style>
  <w:style w:type="paragraph" w:styleId="TOC9">
    <w:name w:val="toc 9"/>
    <w:basedOn w:val="Normal"/>
    <w:next w:val="Normal"/>
    <w:autoRedefine/>
    <w:uiPriority w:val="39"/>
    <w:semiHidden/>
    <w:unhideWhenUsed/>
    <w:rsid w:val="00C61CE7"/>
    <w:pPr>
      <w:jc w:val="left"/>
    </w:pPr>
    <w:rPr>
      <w:rFonts w:asciiTheme="minorHAnsi" w:hAnsiTheme="minorHAnsi"/>
      <w:sz w:val="22"/>
      <w:szCs w:val="22"/>
    </w:rPr>
  </w:style>
  <w:style w:type="paragraph" w:customStyle="1" w:styleId="Body">
    <w:name w:val="Body"/>
    <w:rsid w:val="009C0311"/>
    <w:pPr>
      <w:pBdr>
        <w:top w:val="nil"/>
        <w:left w:val="nil"/>
        <w:bottom w:val="nil"/>
        <w:right w:val="nil"/>
        <w:between w:val="nil"/>
        <w:bar w:val="nil"/>
      </w:pBdr>
      <w:spacing w:after="160" w:line="278" w:lineRule="auto"/>
    </w:pPr>
    <w:rPr>
      <w:rFonts w:ascii="Aptos" w:eastAsia="Aptos" w:hAnsi="Aptos" w:cs="Aptos"/>
      <w:color w:val="000000"/>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08AD2-6FBD-B24F-A499-DDC61AB5C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2997</Words>
  <Characters>17088</Characters>
  <Application>Microsoft Office Word</Application>
  <DocSecurity>0</DocSecurity>
  <Lines>142</Lines>
  <Paragraphs>40</Paragraphs>
  <ScaleCrop>false</ScaleCrop>
  <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Mixed Depressive and Anxiety Disorder (ICD-11: 6A73): Classification, Diagnosis, Treatment and Contemporary Debates</dc:title>
  <dc:subject/>
  <dc:creator>Student Name: ………………………………</dc:creator>
  <cp:keywords/>
  <dc:description/>
  <cp:lastModifiedBy>magdalena czyz</cp:lastModifiedBy>
  <cp:revision>34</cp:revision>
  <dcterms:created xsi:type="dcterms:W3CDTF">2026-04-21T05:38:00Z</dcterms:created>
  <dcterms:modified xsi:type="dcterms:W3CDTF">2026-04-23T21:48:00Z</dcterms:modified>
</cp:coreProperties>
</file>