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681FE3" w14:textId="0AFEB7F8" w:rsidR="0057382A" w:rsidRDefault="00CC04BF" w:rsidP="0057382A">
      <w:pPr>
        <w:spacing w:line="360" w:lineRule="auto"/>
        <w:jc w:val="center"/>
        <w:rPr>
          <w:rFonts w:ascii="Times New Roman" w:hAnsi="Times New Roman" w:cs="Times New Roman"/>
          <w:b/>
          <w:bCs/>
          <w:sz w:val="32"/>
          <w:szCs w:val="32"/>
          <w:lang w:val="en-IN" w:eastAsia="en-GB"/>
        </w:rPr>
      </w:pPr>
      <w:r w:rsidRPr="00977930">
        <w:rPr>
          <w:rFonts w:ascii="Times New Roman" w:hAnsi="Times New Roman" w:cs="Times New Roman"/>
          <w:noProof/>
          <w:color w:val="000000" w:themeColor="text1"/>
          <w:sz w:val="52"/>
          <w:szCs w:val="52"/>
          <w:lang w:eastAsia="en-GB"/>
        </w:rPr>
        <w:drawing>
          <wp:inline distT="0" distB="0" distL="0" distR="0" wp14:anchorId="68E44F93" wp14:editId="19CDBA3C">
            <wp:extent cx="3237470" cy="1190827"/>
            <wp:effectExtent l="0" t="0" r="1270" b="3175"/>
            <wp:docPr id="127216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64998" name=""/>
                    <pic:cNvPicPr/>
                  </pic:nvPicPr>
                  <pic:blipFill>
                    <a:blip r:embed="rId5"/>
                    <a:stretch>
                      <a:fillRect/>
                    </a:stretch>
                  </pic:blipFill>
                  <pic:spPr>
                    <a:xfrm>
                      <a:off x="0" y="0"/>
                      <a:ext cx="3253029" cy="1196550"/>
                    </a:xfrm>
                    <a:prstGeom prst="rect">
                      <a:avLst/>
                    </a:prstGeom>
                  </pic:spPr>
                </pic:pic>
              </a:graphicData>
            </a:graphic>
          </wp:inline>
        </w:drawing>
      </w:r>
    </w:p>
    <w:p w14:paraId="5C9C1FA7" w14:textId="77777777" w:rsidR="0057382A" w:rsidRDefault="0057382A" w:rsidP="0057382A">
      <w:pPr>
        <w:spacing w:line="360" w:lineRule="auto"/>
        <w:jc w:val="center"/>
        <w:rPr>
          <w:rFonts w:ascii="Times New Roman" w:hAnsi="Times New Roman" w:cs="Times New Roman"/>
          <w:b/>
          <w:bCs/>
          <w:sz w:val="32"/>
          <w:szCs w:val="32"/>
          <w:lang w:val="en-IN" w:eastAsia="en-GB"/>
        </w:rPr>
      </w:pPr>
    </w:p>
    <w:p w14:paraId="2B7C8C9D" w14:textId="77777777" w:rsidR="00C96C98" w:rsidRPr="00C96C98" w:rsidRDefault="00C96C98" w:rsidP="00C96C98">
      <w:pPr>
        <w:spacing w:line="360" w:lineRule="auto"/>
        <w:jc w:val="center"/>
        <w:rPr>
          <w:rFonts w:ascii="Times New Roman" w:hAnsi="Times New Roman" w:cs="Times New Roman"/>
          <w:b/>
          <w:bCs/>
          <w:sz w:val="32"/>
          <w:szCs w:val="32"/>
          <w:lang w:val="en-IN" w:eastAsia="en-GB"/>
        </w:rPr>
      </w:pPr>
      <w:r w:rsidRPr="00C96C98">
        <w:rPr>
          <w:rFonts w:ascii="Times New Roman" w:hAnsi="Times New Roman" w:cs="Times New Roman"/>
          <w:b/>
          <w:bCs/>
          <w:sz w:val="32"/>
          <w:szCs w:val="32"/>
          <w:lang w:val="en-IN" w:eastAsia="en-GB"/>
        </w:rPr>
        <w:t>Name -</w:t>
      </w:r>
      <w:proofErr w:type="spellStart"/>
      <w:r w:rsidRPr="00C96C98">
        <w:rPr>
          <w:rFonts w:ascii="Times New Roman" w:hAnsi="Times New Roman" w:cs="Times New Roman"/>
          <w:b/>
          <w:bCs/>
          <w:sz w:val="32"/>
          <w:szCs w:val="32"/>
          <w:lang w:val="en-IN" w:eastAsia="en-GB"/>
        </w:rPr>
        <w:t>Aemanben</w:t>
      </w:r>
      <w:proofErr w:type="spellEnd"/>
      <w:r w:rsidRPr="00C96C98">
        <w:rPr>
          <w:rFonts w:ascii="Times New Roman" w:hAnsi="Times New Roman" w:cs="Times New Roman"/>
          <w:b/>
          <w:bCs/>
          <w:sz w:val="32"/>
          <w:szCs w:val="32"/>
          <w:lang w:val="en-IN" w:eastAsia="en-GB"/>
        </w:rPr>
        <w:t xml:space="preserve"> </w:t>
      </w:r>
      <w:proofErr w:type="spellStart"/>
      <w:r w:rsidRPr="00C96C98">
        <w:rPr>
          <w:rFonts w:ascii="Times New Roman" w:hAnsi="Times New Roman" w:cs="Times New Roman"/>
          <w:b/>
          <w:bCs/>
          <w:sz w:val="32"/>
          <w:szCs w:val="32"/>
          <w:lang w:val="en-IN" w:eastAsia="en-GB"/>
        </w:rPr>
        <w:t>Anwarbhai</w:t>
      </w:r>
      <w:proofErr w:type="spellEnd"/>
      <w:r w:rsidRPr="00C96C98">
        <w:rPr>
          <w:rFonts w:ascii="Times New Roman" w:hAnsi="Times New Roman" w:cs="Times New Roman"/>
          <w:b/>
          <w:bCs/>
          <w:sz w:val="32"/>
          <w:szCs w:val="32"/>
          <w:lang w:val="en-IN" w:eastAsia="en-GB"/>
        </w:rPr>
        <w:t xml:space="preserve"> Dhanani</w:t>
      </w:r>
    </w:p>
    <w:p w14:paraId="411C937D" w14:textId="77777777" w:rsidR="00C96C98" w:rsidRDefault="00C96C98" w:rsidP="00C96C98">
      <w:pPr>
        <w:spacing w:line="360" w:lineRule="auto"/>
        <w:jc w:val="center"/>
        <w:rPr>
          <w:rFonts w:ascii="Times New Roman" w:hAnsi="Times New Roman" w:cs="Times New Roman"/>
          <w:b/>
          <w:bCs/>
          <w:sz w:val="32"/>
          <w:szCs w:val="32"/>
          <w:lang w:val="en-IN" w:eastAsia="en-GB"/>
        </w:rPr>
      </w:pPr>
    </w:p>
    <w:p w14:paraId="642B3F7F" w14:textId="32A36313" w:rsidR="00C96C98" w:rsidRPr="00C96C98" w:rsidRDefault="00C96C98" w:rsidP="00C96C98">
      <w:pPr>
        <w:spacing w:line="360" w:lineRule="auto"/>
        <w:jc w:val="center"/>
        <w:rPr>
          <w:rFonts w:ascii="Times New Roman" w:hAnsi="Times New Roman" w:cs="Times New Roman"/>
          <w:b/>
          <w:bCs/>
          <w:sz w:val="32"/>
          <w:szCs w:val="32"/>
          <w:lang w:val="en-IN" w:eastAsia="en-GB"/>
        </w:rPr>
      </w:pPr>
      <w:r w:rsidRPr="00C96C98">
        <w:rPr>
          <w:rFonts w:ascii="Times New Roman" w:hAnsi="Times New Roman" w:cs="Times New Roman"/>
          <w:b/>
          <w:bCs/>
          <w:sz w:val="32"/>
          <w:szCs w:val="32"/>
          <w:lang w:val="en-IN" w:eastAsia="en-GB"/>
        </w:rPr>
        <w:t>Student id -2525496</w:t>
      </w:r>
    </w:p>
    <w:p w14:paraId="68DCBC50" w14:textId="77777777" w:rsidR="0057382A" w:rsidRDefault="0057382A" w:rsidP="00CC04BF">
      <w:pPr>
        <w:spacing w:line="360" w:lineRule="auto"/>
        <w:rPr>
          <w:rFonts w:ascii="Times New Roman" w:hAnsi="Times New Roman" w:cs="Times New Roman"/>
          <w:b/>
          <w:bCs/>
          <w:sz w:val="32"/>
          <w:szCs w:val="32"/>
          <w:lang w:val="en-IN" w:eastAsia="en-GB"/>
        </w:rPr>
      </w:pPr>
    </w:p>
    <w:p w14:paraId="419A8C62" w14:textId="1580AC3B" w:rsidR="00CC04BF" w:rsidRDefault="00CC04BF" w:rsidP="00CC04BF">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 xml:space="preserve">Module Name: </w:t>
      </w:r>
      <w:r w:rsidRPr="00E64C36">
        <w:rPr>
          <w:rFonts w:ascii="Times New Roman" w:hAnsi="Times New Roman" w:cs="Times New Roman"/>
          <w:b/>
          <w:bCs/>
          <w:sz w:val="32"/>
          <w:szCs w:val="32"/>
          <w:lang w:val="en-IN" w:eastAsia="en-GB"/>
        </w:rPr>
        <w:t>Marketing Management</w:t>
      </w:r>
    </w:p>
    <w:p w14:paraId="59E965A9" w14:textId="77777777" w:rsidR="00CC04BF" w:rsidRDefault="00CC04BF" w:rsidP="0057382A">
      <w:pPr>
        <w:spacing w:line="360" w:lineRule="auto"/>
        <w:jc w:val="center"/>
        <w:rPr>
          <w:rFonts w:ascii="Times New Roman" w:hAnsi="Times New Roman" w:cs="Times New Roman"/>
          <w:b/>
          <w:bCs/>
          <w:sz w:val="32"/>
          <w:szCs w:val="32"/>
          <w:lang w:val="en-IN" w:eastAsia="en-GB"/>
        </w:rPr>
      </w:pPr>
    </w:p>
    <w:p w14:paraId="52348DD9" w14:textId="77777777" w:rsidR="00C96C98" w:rsidRDefault="00CC04BF" w:rsidP="0057382A">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 xml:space="preserve">Module Code: </w:t>
      </w:r>
      <w:r w:rsidR="0057382A" w:rsidRPr="00E64C36">
        <w:rPr>
          <w:rFonts w:ascii="Times New Roman" w:hAnsi="Times New Roman" w:cs="Times New Roman"/>
          <w:b/>
          <w:bCs/>
          <w:sz w:val="32"/>
          <w:szCs w:val="32"/>
          <w:lang w:val="en-IN" w:eastAsia="en-GB"/>
        </w:rPr>
        <w:t>LCMB7024</w:t>
      </w:r>
    </w:p>
    <w:p w14:paraId="4CB8E229" w14:textId="77777777" w:rsidR="00C96C98" w:rsidRDefault="00C96C98" w:rsidP="00C96C98">
      <w:pPr>
        <w:spacing w:line="360" w:lineRule="auto"/>
        <w:jc w:val="center"/>
        <w:rPr>
          <w:rFonts w:ascii="Times New Roman" w:hAnsi="Times New Roman" w:cs="Times New Roman"/>
          <w:b/>
          <w:bCs/>
          <w:sz w:val="32"/>
          <w:szCs w:val="32"/>
          <w:lang w:val="en-IN" w:eastAsia="en-GB"/>
        </w:rPr>
      </w:pPr>
    </w:p>
    <w:p w14:paraId="40F45307" w14:textId="6813E020" w:rsidR="00C96C98" w:rsidRDefault="00351E27" w:rsidP="00C96C98">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 xml:space="preserve">Lecturer name- Laila </w:t>
      </w:r>
      <w:proofErr w:type="spellStart"/>
      <w:r>
        <w:rPr>
          <w:rFonts w:ascii="Times New Roman" w:hAnsi="Times New Roman" w:cs="Times New Roman"/>
          <w:b/>
          <w:bCs/>
          <w:sz w:val="32"/>
          <w:szCs w:val="32"/>
          <w:lang w:val="en-IN" w:eastAsia="en-GB"/>
        </w:rPr>
        <w:t>Maazouz</w:t>
      </w:r>
      <w:proofErr w:type="spellEnd"/>
    </w:p>
    <w:p w14:paraId="6625AD73" w14:textId="072C869B" w:rsidR="00CC04BF" w:rsidRDefault="0057382A" w:rsidP="0057382A">
      <w:pPr>
        <w:spacing w:line="360" w:lineRule="auto"/>
        <w:jc w:val="center"/>
        <w:rPr>
          <w:rFonts w:ascii="Times New Roman" w:hAnsi="Times New Roman" w:cs="Times New Roman"/>
          <w:b/>
          <w:bCs/>
          <w:sz w:val="32"/>
          <w:szCs w:val="32"/>
          <w:lang w:val="en-IN" w:eastAsia="en-GB"/>
        </w:rPr>
      </w:pPr>
      <w:r w:rsidRPr="00E64C36">
        <w:rPr>
          <w:rFonts w:ascii="Times New Roman" w:hAnsi="Times New Roman" w:cs="Times New Roman"/>
          <w:b/>
          <w:bCs/>
          <w:sz w:val="32"/>
          <w:szCs w:val="32"/>
          <w:lang w:val="en-IN" w:eastAsia="en-GB"/>
        </w:rPr>
        <w:br/>
      </w:r>
    </w:p>
    <w:p w14:paraId="35DAC9A6" w14:textId="69EDE2E0" w:rsidR="0057382A" w:rsidRDefault="0057382A" w:rsidP="0057382A">
      <w:pPr>
        <w:spacing w:line="360" w:lineRule="auto"/>
        <w:jc w:val="center"/>
        <w:rPr>
          <w:rFonts w:ascii="Times New Roman" w:hAnsi="Times New Roman" w:cs="Times New Roman"/>
          <w:b/>
          <w:bCs/>
          <w:sz w:val="32"/>
          <w:szCs w:val="32"/>
          <w:lang w:val="en-IN" w:eastAsia="en-GB"/>
        </w:rPr>
      </w:pPr>
      <w:r w:rsidRPr="00E64C36">
        <w:rPr>
          <w:rFonts w:ascii="Times New Roman" w:hAnsi="Times New Roman" w:cs="Times New Roman"/>
          <w:b/>
          <w:bCs/>
          <w:sz w:val="32"/>
          <w:szCs w:val="32"/>
          <w:lang w:val="en-IN" w:eastAsia="en-GB"/>
        </w:rPr>
        <w:t>Assessment component 1: Marketing Environment Analysis</w:t>
      </w:r>
    </w:p>
    <w:p w14:paraId="1888E478" w14:textId="77777777" w:rsidR="00CC04BF" w:rsidRDefault="00CC04BF" w:rsidP="0057382A">
      <w:pPr>
        <w:spacing w:line="360" w:lineRule="auto"/>
        <w:jc w:val="center"/>
        <w:rPr>
          <w:rFonts w:ascii="Times New Roman" w:hAnsi="Times New Roman" w:cs="Times New Roman"/>
          <w:b/>
          <w:bCs/>
          <w:sz w:val="32"/>
          <w:szCs w:val="32"/>
          <w:lang w:val="en-IN" w:eastAsia="en-GB"/>
        </w:rPr>
      </w:pPr>
    </w:p>
    <w:p w14:paraId="0560DF59" w14:textId="48D44EC1" w:rsidR="00CC04BF" w:rsidRDefault="00CC04BF" w:rsidP="00D8774B">
      <w:pPr>
        <w:spacing w:line="360" w:lineRule="auto"/>
        <w:rPr>
          <w:rFonts w:ascii="Times New Roman" w:hAnsi="Times New Roman" w:cs="Times New Roman"/>
          <w:b/>
          <w:bCs/>
          <w:sz w:val="32"/>
          <w:szCs w:val="32"/>
          <w:lang w:val="en-IN" w:eastAsia="en-GB"/>
        </w:rPr>
      </w:pPr>
      <w:bookmarkStart w:id="0" w:name="_GoBack"/>
      <w:bookmarkEnd w:id="0"/>
    </w:p>
    <w:p w14:paraId="6D81ED55" w14:textId="77777777" w:rsidR="00CC04BF" w:rsidRDefault="00CC04BF" w:rsidP="0057382A">
      <w:pPr>
        <w:spacing w:line="360" w:lineRule="auto"/>
        <w:jc w:val="center"/>
        <w:rPr>
          <w:rFonts w:ascii="Times New Roman" w:hAnsi="Times New Roman" w:cs="Times New Roman"/>
          <w:b/>
          <w:bCs/>
          <w:sz w:val="32"/>
          <w:szCs w:val="32"/>
          <w:lang w:val="en-IN" w:eastAsia="en-GB"/>
        </w:rPr>
      </w:pPr>
    </w:p>
    <w:p w14:paraId="75905D98" w14:textId="44A0F273" w:rsidR="00CC04BF" w:rsidRPr="00E64C36" w:rsidRDefault="00CC04BF" w:rsidP="0057382A">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sz w:val="32"/>
          <w:szCs w:val="32"/>
          <w:lang w:val="en-IN" w:eastAsia="en-GB"/>
        </w:rPr>
        <w:t>Term 1</w:t>
      </w:r>
    </w:p>
    <w:p w14:paraId="5470A411" w14:textId="77777777" w:rsidR="0057382A" w:rsidRPr="00E64C36" w:rsidRDefault="0057382A" w:rsidP="0057382A">
      <w:pPr>
        <w:rPr>
          <w:rFonts w:ascii="Times New Roman" w:hAnsi="Times New Roman" w:cs="Times New Roman"/>
          <w:lang w:val="en-IN" w:eastAsia="en-GB"/>
        </w:rPr>
      </w:pPr>
      <w:r w:rsidRPr="00E64C36">
        <w:rPr>
          <w:rFonts w:ascii="Times New Roman" w:hAnsi="Times New Roman" w:cs="Times New Roman"/>
          <w:lang w:val="en-IN" w:eastAsia="en-GB"/>
        </w:rPr>
        <w:br w:type="page"/>
      </w:r>
    </w:p>
    <w:sdt>
      <w:sdtPr>
        <w:rPr>
          <w:rFonts w:asciiTheme="minorHAnsi" w:eastAsiaTheme="minorHAnsi" w:hAnsiTheme="minorHAnsi" w:cstheme="minorBidi"/>
          <w:color w:val="auto"/>
          <w:kern w:val="2"/>
          <w:sz w:val="24"/>
          <w:szCs w:val="24"/>
          <w:lang w:eastAsia="en-US" w:bidi="ar-SA"/>
          <w14:ligatures w14:val="standardContextual"/>
        </w:rPr>
        <w:id w:val="459459093"/>
        <w:docPartObj>
          <w:docPartGallery w:val="Table of Contents"/>
          <w:docPartUnique/>
        </w:docPartObj>
      </w:sdtPr>
      <w:sdtEndPr>
        <w:rPr>
          <w:b/>
          <w:bCs/>
        </w:rPr>
      </w:sdtEndPr>
      <w:sdtContent>
        <w:p w14:paraId="26EF79FD" w14:textId="0316801C" w:rsidR="00BE6374" w:rsidRPr="00E64C36" w:rsidRDefault="00BE6374" w:rsidP="00BE6374">
          <w:pPr>
            <w:pStyle w:val="TOCHeading"/>
            <w:spacing w:line="360" w:lineRule="auto"/>
            <w:rPr>
              <w:rFonts w:ascii="Times New Roman" w:hAnsi="Times New Roman" w:cs="Times New Roman"/>
            </w:rPr>
          </w:pPr>
          <w:r w:rsidRPr="00E64C36">
            <w:rPr>
              <w:rFonts w:ascii="Times New Roman" w:hAnsi="Times New Roman" w:cs="Times New Roman"/>
            </w:rPr>
            <w:t>Table of Contents</w:t>
          </w:r>
        </w:p>
        <w:p w14:paraId="38FDE957" w14:textId="1210AE38" w:rsidR="00BE6374" w:rsidRPr="00E64C36" w:rsidRDefault="00BE6374" w:rsidP="00BE6374">
          <w:pPr>
            <w:pStyle w:val="TOC1"/>
            <w:tabs>
              <w:tab w:val="right" w:leader="dot" w:pos="9350"/>
            </w:tabs>
            <w:spacing w:line="360" w:lineRule="auto"/>
            <w:rPr>
              <w:rFonts w:ascii="Times New Roman" w:hAnsi="Times New Roman" w:cs="Times New Roman"/>
              <w:noProof/>
            </w:rPr>
          </w:pPr>
          <w:r w:rsidRPr="00E64C36">
            <w:rPr>
              <w:rFonts w:ascii="Times New Roman" w:hAnsi="Times New Roman" w:cs="Times New Roman"/>
            </w:rPr>
            <w:fldChar w:fldCharType="begin"/>
          </w:r>
          <w:r w:rsidRPr="00E64C36">
            <w:rPr>
              <w:rFonts w:ascii="Times New Roman" w:hAnsi="Times New Roman" w:cs="Times New Roman"/>
            </w:rPr>
            <w:instrText xml:space="preserve"> TOC \o "1-3" \h \z \u </w:instrText>
          </w:r>
          <w:r w:rsidRPr="00E64C36">
            <w:rPr>
              <w:rFonts w:ascii="Times New Roman" w:hAnsi="Times New Roman" w:cs="Times New Roman"/>
            </w:rPr>
            <w:fldChar w:fldCharType="separate"/>
          </w:r>
          <w:hyperlink w:anchor="_Toc224211538" w:history="1">
            <w:r w:rsidRPr="00E64C36">
              <w:rPr>
                <w:rStyle w:val="Hyperlink"/>
                <w:rFonts w:ascii="Times New Roman" w:hAnsi="Times New Roman" w:cs="Times New Roman"/>
                <w:noProof/>
              </w:rPr>
              <w:t>1. Introduction</w:t>
            </w:r>
            <w:r w:rsidRPr="00E64C36">
              <w:rPr>
                <w:rFonts w:ascii="Times New Roman" w:hAnsi="Times New Roman" w:cs="Times New Roman"/>
                <w:noProof/>
                <w:webHidden/>
              </w:rPr>
              <w:tab/>
            </w:r>
            <w:r w:rsidRPr="00E64C36">
              <w:rPr>
                <w:rFonts w:ascii="Times New Roman" w:hAnsi="Times New Roman" w:cs="Times New Roman"/>
                <w:noProof/>
                <w:webHidden/>
              </w:rPr>
              <w:fldChar w:fldCharType="begin"/>
            </w:r>
            <w:r w:rsidRPr="00E64C36">
              <w:rPr>
                <w:rFonts w:ascii="Times New Roman" w:hAnsi="Times New Roman" w:cs="Times New Roman"/>
                <w:noProof/>
                <w:webHidden/>
              </w:rPr>
              <w:instrText xml:space="preserve"> PAGEREF _Toc224211538 \h </w:instrText>
            </w:r>
            <w:r w:rsidRPr="00E64C36">
              <w:rPr>
                <w:rFonts w:ascii="Times New Roman" w:hAnsi="Times New Roman" w:cs="Times New Roman"/>
                <w:noProof/>
                <w:webHidden/>
              </w:rPr>
            </w:r>
            <w:r w:rsidRPr="00E64C36">
              <w:rPr>
                <w:rFonts w:ascii="Times New Roman" w:hAnsi="Times New Roman" w:cs="Times New Roman"/>
                <w:noProof/>
                <w:webHidden/>
              </w:rPr>
              <w:fldChar w:fldCharType="separate"/>
            </w:r>
            <w:r w:rsidR="00ED1661">
              <w:rPr>
                <w:rFonts w:ascii="Times New Roman" w:hAnsi="Times New Roman" w:cs="Times New Roman"/>
                <w:noProof/>
                <w:webHidden/>
              </w:rPr>
              <w:t>3</w:t>
            </w:r>
            <w:r w:rsidRPr="00E64C36">
              <w:rPr>
                <w:rFonts w:ascii="Times New Roman" w:hAnsi="Times New Roman" w:cs="Times New Roman"/>
                <w:noProof/>
                <w:webHidden/>
              </w:rPr>
              <w:fldChar w:fldCharType="end"/>
            </w:r>
          </w:hyperlink>
        </w:p>
        <w:p w14:paraId="7FED9242" w14:textId="64164B3C"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39" w:history="1">
            <w:r w:rsidR="00BE6374" w:rsidRPr="00E64C36">
              <w:rPr>
                <w:rStyle w:val="Hyperlink"/>
                <w:rFonts w:ascii="Times New Roman" w:hAnsi="Times New Roman" w:cs="Times New Roman"/>
                <w:noProof/>
              </w:rPr>
              <w:t>2. Macro Environment Analysis – PESTEL Overview</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_Toc224211539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4</w:t>
            </w:r>
            <w:r w:rsidR="00BE6374" w:rsidRPr="00E64C36">
              <w:rPr>
                <w:rFonts w:ascii="Times New Roman" w:hAnsi="Times New Roman" w:cs="Times New Roman"/>
                <w:noProof/>
                <w:webHidden/>
              </w:rPr>
              <w:fldChar w:fldCharType="end"/>
            </w:r>
          </w:hyperlink>
        </w:p>
        <w:p w14:paraId="5810DE25" w14:textId="34D4C3BA"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40" w:history="1">
            <w:r w:rsidR="00BE6374" w:rsidRPr="00E64C36">
              <w:rPr>
                <w:rStyle w:val="Hyperlink"/>
                <w:rFonts w:ascii="Times New Roman" w:hAnsi="Times New Roman" w:cs="Times New Roman"/>
                <w:noProof/>
              </w:rPr>
              <w:t>3. Task 1 – Macro Environmental Opportunities and Threats</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_Toc224211540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5</w:t>
            </w:r>
            <w:r w:rsidR="00BE6374" w:rsidRPr="00E64C36">
              <w:rPr>
                <w:rFonts w:ascii="Times New Roman" w:hAnsi="Times New Roman" w:cs="Times New Roman"/>
                <w:noProof/>
                <w:webHidden/>
              </w:rPr>
              <w:fldChar w:fldCharType="end"/>
            </w:r>
          </w:hyperlink>
        </w:p>
        <w:p w14:paraId="1A270823" w14:textId="0D8D7E69"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1" w:history="1">
            <w:r w:rsidR="00BE6374" w:rsidRPr="00E64C36">
              <w:rPr>
                <w:rStyle w:val="Hyperlink"/>
                <w:rFonts w:ascii="Times New Roman" w:hAnsi="Times New Roman" w:cs="Times New Roman"/>
                <w:noProof/>
              </w:rPr>
              <w:t>3.1 Technological Factors – Nintendo (Pioneer)</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_Toc224211541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5</w:t>
            </w:r>
            <w:r w:rsidR="00BE6374" w:rsidRPr="00E64C36">
              <w:rPr>
                <w:rFonts w:ascii="Times New Roman" w:hAnsi="Times New Roman" w:cs="Times New Roman"/>
                <w:noProof/>
                <w:webHidden/>
              </w:rPr>
              <w:fldChar w:fldCharType="end"/>
            </w:r>
          </w:hyperlink>
        </w:p>
        <w:p w14:paraId="666FE042" w14:textId="4967228E"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2" w:history="1">
            <w:r w:rsidR="00BE6374" w:rsidRPr="00E64C36">
              <w:rPr>
                <w:rStyle w:val="Hyperlink"/>
                <w:rFonts w:ascii="Times New Roman" w:hAnsi="Times New Roman" w:cs="Times New Roman"/>
                <w:noProof/>
              </w:rPr>
              <w:t>3.2 Social Factors – Nintendo (Pioneer)</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_Toc224211542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5</w:t>
            </w:r>
            <w:r w:rsidR="00BE6374" w:rsidRPr="00E64C36">
              <w:rPr>
                <w:rFonts w:ascii="Times New Roman" w:hAnsi="Times New Roman" w:cs="Times New Roman"/>
                <w:noProof/>
                <w:webHidden/>
              </w:rPr>
              <w:fldChar w:fldCharType="end"/>
            </w:r>
          </w:hyperlink>
        </w:p>
        <w:p w14:paraId="6CFB30FF" w14:textId="2A23E5CA"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3" w:history="1">
            <w:r w:rsidR="00BE6374" w:rsidRPr="00E64C36">
              <w:rPr>
                <w:rStyle w:val="Hyperlink"/>
                <w:rFonts w:ascii="Times New Roman" w:hAnsi="Times New Roman" w:cs="Times New Roman"/>
                <w:noProof/>
              </w:rPr>
              <w:t>3.3 Technological Factors – Sony PlayStation 5 (Follower)</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_Toc224211543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6</w:t>
            </w:r>
            <w:r w:rsidR="00BE6374" w:rsidRPr="00E64C36">
              <w:rPr>
                <w:rFonts w:ascii="Times New Roman" w:hAnsi="Times New Roman" w:cs="Times New Roman"/>
                <w:noProof/>
                <w:webHidden/>
              </w:rPr>
              <w:fldChar w:fldCharType="end"/>
            </w:r>
          </w:hyperlink>
        </w:p>
        <w:p w14:paraId="7B938B7D" w14:textId="50E73465"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4" w:history="1">
            <w:r w:rsidR="00BE6374" w:rsidRPr="00E64C36">
              <w:rPr>
                <w:rStyle w:val="Hyperlink"/>
                <w:rFonts w:ascii="Times New Roman" w:hAnsi="Times New Roman" w:cs="Times New Roman"/>
                <w:noProof/>
              </w:rPr>
              <w:t>3.4 Social Factors – Sony PlayStation 5 (Follower)</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_Toc224211544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6</w:t>
            </w:r>
            <w:r w:rsidR="00BE6374" w:rsidRPr="00E64C36">
              <w:rPr>
                <w:rFonts w:ascii="Times New Roman" w:hAnsi="Times New Roman" w:cs="Times New Roman"/>
                <w:noProof/>
                <w:webHidden/>
              </w:rPr>
              <w:fldChar w:fldCharType="end"/>
            </w:r>
          </w:hyperlink>
        </w:p>
        <w:p w14:paraId="665B2721" w14:textId="2259E825"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45" w:history="1">
            <w:r w:rsidR="00BE6374" w:rsidRPr="00E64C36">
              <w:rPr>
                <w:rStyle w:val="Hyperlink"/>
                <w:rFonts w:ascii="Times New Roman" w:hAnsi="Times New Roman" w:cs="Times New Roman"/>
                <w:noProof/>
              </w:rPr>
              <w:t>4. Task 2 – Strategic Responses</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_Toc224211545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7</w:t>
            </w:r>
            <w:r w:rsidR="00BE6374" w:rsidRPr="00E64C36">
              <w:rPr>
                <w:rFonts w:ascii="Times New Roman" w:hAnsi="Times New Roman" w:cs="Times New Roman"/>
                <w:noProof/>
                <w:webHidden/>
              </w:rPr>
              <w:fldChar w:fldCharType="end"/>
            </w:r>
          </w:hyperlink>
        </w:p>
        <w:p w14:paraId="51F90C68" w14:textId="18C0E194"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6" w:history="1">
            <w:r w:rsidR="00BE6374" w:rsidRPr="00E64C36">
              <w:rPr>
                <w:rStyle w:val="Hyperlink"/>
                <w:rFonts w:ascii="Times New Roman" w:hAnsi="Times New Roman" w:cs="Times New Roman"/>
                <w:noProof/>
              </w:rPr>
              <w:t>4.1 Strategic Response to Technological Changes</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_Toc224211546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7</w:t>
            </w:r>
            <w:r w:rsidR="00BE6374" w:rsidRPr="00E64C36">
              <w:rPr>
                <w:rFonts w:ascii="Times New Roman" w:hAnsi="Times New Roman" w:cs="Times New Roman"/>
                <w:noProof/>
                <w:webHidden/>
              </w:rPr>
              <w:fldChar w:fldCharType="end"/>
            </w:r>
          </w:hyperlink>
        </w:p>
        <w:p w14:paraId="5A5DCF71" w14:textId="599B77D9" w:rsidR="00BE6374" w:rsidRPr="00E64C36" w:rsidRDefault="00D8774B" w:rsidP="00BE6374">
          <w:pPr>
            <w:pStyle w:val="TOC2"/>
            <w:tabs>
              <w:tab w:val="right" w:leader="dot" w:pos="9350"/>
            </w:tabs>
            <w:spacing w:line="360" w:lineRule="auto"/>
            <w:rPr>
              <w:rFonts w:ascii="Times New Roman" w:hAnsi="Times New Roman" w:cs="Times New Roman"/>
              <w:noProof/>
            </w:rPr>
          </w:pPr>
          <w:hyperlink w:anchor="_Toc224211547" w:history="1">
            <w:r w:rsidR="00BE6374" w:rsidRPr="00E64C36">
              <w:rPr>
                <w:rStyle w:val="Hyperlink"/>
                <w:rFonts w:ascii="Times New Roman" w:hAnsi="Times New Roman" w:cs="Times New Roman"/>
                <w:noProof/>
              </w:rPr>
              <w:t>4.2 Strategic Growth Strategies (Ansoff Matrix)</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_Toc224211547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8</w:t>
            </w:r>
            <w:r w:rsidR="00BE6374" w:rsidRPr="00E64C36">
              <w:rPr>
                <w:rFonts w:ascii="Times New Roman" w:hAnsi="Times New Roman" w:cs="Times New Roman"/>
                <w:noProof/>
                <w:webHidden/>
              </w:rPr>
              <w:fldChar w:fldCharType="end"/>
            </w:r>
          </w:hyperlink>
        </w:p>
        <w:p w14:paraId="5BEBFDD6" w14:textId="23C5D309"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48" w:history="1">
            <w:r w:rsidR="00BE6374" w:rsidRPr="00E64C36">
              <w:rPr>
                <w:rStyle w:val="Hyperlink"/>
                <w:rFonts w:ascii="Times New Roman" w:hAnsi="Times New Roman" w:cs="Times New Roman"/>
                <w:noProof/>
              </w:rPr>
              <w:t>5. Competitive Position Comparison</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_Toc224211548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10</w:t>
            </w:r>
            <w:r w:rsidR="00BE6374" w:rsidRPr="00E64C36">
              <w:rPr>
                <w:rFonts w:ascii="Times New Roman" w:hAnsi="Times New Roman" w:cs="Times New Roman"/>
                <w:noProof/>
                <w:webHidden/>
              </w:rPr>
              <w:fldChar w:fldCharType="end"/>
            </w:r>
          </w:hyperlink>
        </w:p>
        <w:p w14:paraId="0775E824" w14:textId="16CEE4EC"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49" w:history="1">
            <w:r w:rsidR="00BE6374" w:rsidRPr="00E64C36">
              <w:rPr>
                <w:rStyle w:val="Hyperlink"/>
                <w:rFonts w:ascii="Times New Roman" w:hAnsi="Times New Roman" w:cs="Times New Roman"/>
                <w:noProof/>
              </w:rPr>
              <w:t>6. Conclusion</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_Toc224211549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10</w:t>
            </w:r>
            <w:r w:rsidR="00BE6374" w:rsidRPr="00E64C36">
              <w:rPr>
                <w:rFonts w:ascii="Times New Roman" w:hAnsi="Times New Roman" w:cs="Times New Roman"/>
                <w:noProof/>
                <w:webHidden/>
              </w:rPr>
              <w:fldChar w:fldCharType="end"/>
            </w:r>
          </w:hyperlink>
        </w:p>
        <w:p w14:paraId="5157680C" w14:textId="615A5457" w:rsidR="00BE6374" w:rsidRPr="00E64C36" w:rsidRDefault="00D8774B" w:rsidP="00BE6374">
          <w:pPr>
            <w:pStyle w:val="TOC1"/>
            <w:tabs>
              <w:tab w:val="right" w:leader="dot" w:pos="9350"/>
            </w:tabs>
            <w:spacing w:line="360" w:lineRule="auto"/>
            <w:rPr>
              <w:rFonts w:ascii="Times New Roman" w:hAnsi="Times New Roman" w:cs="Times New Roman"/>
              <w:noProof/>
            </w:rPr>
          </w:pPr>
          <w:hyperlink w:anchor="_Toc224211550" w:history="1">
            <w:r w:rsidR="00BE6374" w:rsidRPr="00E64C36">
              <w:rPr>
                <w:rStyle w:val="Hyperlink"/>
                <w:rFonts w:ascii="Times New Roman" w:hAnsi="Times New Roman" w:cs="Times New Roman"/>
                <w:noProof/>
              </w:rPr>
              <w:t>7. References</w:t>
            </w:r>
            <w:r w:rsidR="00BE6374" w:rsidRPr="00E64C36">
              <w:rPr>
                <w:rFonts w:ascii="Times New Roman" w:hAnsi="Times New Roman" w:cs="Times New Roman"/>
                <w:noProof/>
                <w:webHidden/>
              </w:rPr>
              <w:tab/>
            </w:r>
            <w:r w:rsidR="00BE6374" w:rsidRPr="00E64C36">
              <w:rPr>
                <w:rFonts w:ascii="Times New Roman" w:hAnsi="Times New Roman" w:cs="Times New Roman"/>
                <w:noProof/>
                <w:webHidden/>
              </w:rPr>
              <w:fldChar w:fldCharType="begin"/>
            </w:r>
            <w:r w:rsidR="00BE6374" w:rsidRPr="00E64C36">
              <w:rPr>
                <w:rFonts w:ascii="Times New Roman" w:hAnsi="Times New Roman" w:cs="Times New Roman"/>
                <w:noProof/>
                <w:webHidden/>
              </w:rPr>
              <w:instrText xml:space="preserve"> PAGEREF _Toc224211550 \h </w:instrText>
            </w:r>
            <w:r w:rsidR="00BE6374" w:rsidRPr="00E64C36">
              <w:rPr>
                <w:rFonts w:ascii="Times New Roman" w:hAnsi="Times New Roman" w:cs="Times New Roman"/>
                <w:noProof/>
                <w:webHidden/>
              </w:rPr>
            </w:r>
            <w:r w:rsidR="00BE6374" w:rsidRPr="00E64C36">
              <w:rPr>
                <w:rFonts w:ascii="Times New Roman" w:hAnsi="Times New Roman" w:cs="Times New Roman"/>
                <w:noProof/>
                <w:webHidden/>
              </w:rPr>
              <w:fldChar w:fldCharType="separate"/>
            </w:r>
            <w:r w:rsidR="00ED1661">
              <w:rPr>
                <w:rFonts w:ascii="Times New Roman" w:hAnsi="Times New Roman" w:cs="Times New Roman"/>
                <w:noProof/>
                <w:webHidden/>
              </w:rPr>
              <w:t>12</w:t>
            </w:r>
            <w:r w:rsidR="00BE6374" w:rsidRPr="00E64C36">
              <w:rPr>
                <w:rFonts w:ascii="Times New Roman" w:hAnsi="Times New Roman" w:cs="Times New Roman"/>
                <w:noProof/>
                <w:webHidden/>
              </w:rPr>
              <w:fldChar w:fldCharType="end"/>
            </w:r>
          </w:hyperlink>
        </w:p>
        <w:p w14:paraId="4C279EE6" w14:textId="18F4D184" w:rsidR="00BE6374" w:rsidRPr="00E64C36" w:rsidRDefault="00BE6374" w:rsidP="00BE6374">
          <w:pPr>
            <w:spacing w:line="360" w:lineRule="auto"/>
          </w:pPr>
          <w:r w:rsidRPr="00E64C36">
            <w:rPr>
              <w:rFonts w:ascii="Times New Roman" w:hAnsi="Times New Roman" w:cs="Times New Roman"/>
              <w:b/>
              <w:bCs/>
            </w:rPr>
            <w:fldChar w:fldCharType="end"/>
          </w:r>
        </w:p>
      </w:sdtContent>
    </w:sdt>
    <w:p w14:paraId="0052F453" w14:textId="77777777" w:rsidR="0057382A" w:rsidRPr="00E64C36" w:rsidRDefault="0057382A">
      <w:pPr>
        <w:rPr>
          <w:rFonts w:ascii="Times New Roman" w:hAnsi="Times New Roman" w:cs="Times New Roman"/>
          <w:lang w:val="en-IN" w:eastAsia="en-GB"/>
        </w:rPr>
      </w:pPr>
      <w:r w:rsidRPr="00E64C36">
        <w:rPr>
          <w:rFonts w:ascii="Times New Roman" w:hAnsi="Times New Roman" w:cs="Times New Roman"/>
          <w:lang w:val="en-IN" w:eastAsia="en-GB"/>
        </w:rPr>
        <w:br w:type="page"/>
      </w:r>
    </w:p>
    <w:p w14:paraId="0973C6F5" w14:textId="77777777" w:rsidR="0057382A" w:rsidRPr="00E64C36" w:rsidRDefault="0057382A" w:rsidP="0057382A">
      <w:pPr>
        <w:pStyle w:val="Heading1"/>
      </w:pPr>
      <w:bookmarkStart w:id="1" w:name="_Toc224211538"/>
      <w:r w:rsidRPr="00E64C36">
        <w:lastRenderedPageBreak/>
        <w:t>1. Introduction</w:t>
      </w:r>
      <w:bookmarkEnd w:id="1"/>
    </w:p>
    <w:p w14:paraId="39A45E54" w14:textId="25C98EF7" w:rsidR="0057382A" w:rsidRPr="00E64C36" w:rsidRDefault="00ED4091" w:rsidP="0057382A">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video game industry in the world has achieved considerable growth in the last twenty years, as it has transformed into a niche of entertainment and emerged one of the most powerful sectors of the online economy. According to recent industry reports, the global games market has generated revenue of about 187.7 billion dollars in 2024, indicating the growth that has been attributed to technological advancement, internet connectivity, and the rising number of players throughout the world (</w:t>
      </w:r>
      <w:proofErr w:type="spellStart"/>
      <w:r w:rsidRPr="00E64C36">
        <w:rPr>
          <w:rFonts w:ascii="Times New Roman" w:hAnsi="Times New Roman" w:cs="Times New Roman"/>
          <w:lang w:val="en-IN" w:eastAsia="en-GB"/>
        </w:rPr>
        <w:t>Buijsman</w:t>
      </w:r>
      <w:proofErr w:type="spellEnd"/>
      <w:r w:rsidRPr="00E64C36">
        <w:rPr>
          <w:rFonts w:ascii="Times New Roman" w:hAnsi="Times New Roman" w:cs="Times New Roman"/>
          <w:lang w:val="en-IN" w:eastAsia="en-GB"/>
        </w:rPr>
        <w:t>, 2024). Moreover, billions of players all over the globe are getting attracted to the industry now and this has formed a very powerful part of the overall entertainment and media industry.</w:t>
      </w:r>
    </w:p>
    <w:p w14:paraId="03BFE823" w14:textId="77777777" w:rsidR="00BE6374" w:rsidRPr="00E64C36" w:rsidRDefault="00BE6374" w:rsidP="00BE6374">
      <w:pPr>
        <w:keepNext/>
        <w:spacing w:line="360" w:lineRule="auto"/>
        <w:jc w:val="center"/>
        <w:rPr>
          <w:rFonts w:ascii="Times New Roman" w:hAnsi="Times New Roman" w:cs="Times New Roman"/>
        </w:rPr>
      </w:pPr>
      <w:r w:rsidRPr="00E64C36">
        <w:rPr>
          <w:rFonts w:ascii="Times New Roman" w:hAnsi="Times New Roman" w:cs="Times New Roman"/>
          <w:noProof/>
          <w:lang w:eastAsia="en-GB"/>
        </w:rPr>
        <w:drawing>
          <wp:inline distT="0" distB="0" distL="0" distR="0" wp14:anchorId="11E7CBAF" wp14:editId="777525B1">
            <wp:extent cx="4526280" cy="2328906"/>
            <wp:effectExtent l="0" t="0" r="7620" b="0"/>
            <wp:docPr id="167464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43884" name=""/>
                    <pic:cNvPicPr/>
                  </pic:nvPicPr>
                  <pic:blipFill>
                    <a:blip r:embed="rId6"/>
                    <a:stretch>
                      <a:fillRect/>
                    </a:stretch>
                  </pic:blipFill>
                  <pic:spPr>
                    <a:xfrm>
                      <a:off x="0" y="0"/>
                      <a:ext cx="4531966" cy="2331831"/>
                    </a:xfrm>
                    <a:prstGeom prst="rect">
                      <a:avLst/>
                    </a:prstGeom>
                  </pic:spPr>
                </pic:pic>
              </a:graphicData>
            </a:graphic>
          </wp:inline>
        </w:drawing>
      </w:r>
    </w:p>
    <w:p w14:paraId="44C4591F" w14:textId="473C42CA" w:rsidR="00BE6374" w:rsidRPr="00E64C36" w:rsidRDefault="00BE6374" w:rsidP="00BE6374">
      <w:pPr>
        <w:pStyle w:val="Caption"/>
        <w:jc w:val="center"/>
        <w:rPr>
          <w:rFonts w:ascii="Times New Roman" w:hAnsi="Times New Roman" w:cs="Times New Roman"/>
          <w:i w:val="0"/>
          <w:iCs w:val="0"/>
          <w:sz w:val="24"/>
          <w:szCs w:val="24"/>
          <w:lang w:val="en-IN"/>
        </w:rPr>
      </w:pPr>
      <w:r w:rsidRPr="00E64C36">
        <w:rPr>
          <w:rFonts w:ascii="Times New Roman" w:hAnsi="Times New Roman" w:cs="Times New Roman"/>
          <w:i w:val="0"/>
          <w:iCs w:val="0"/>
          <w:sz w:val="24"/>
          <w:szCs w:val="24"/>
        </w:rPr>
        <w:t xml:space="preserve">Figure </w:t>
      </w:r>
      <w:r w:rsidRPr="00E64C36">
        <w:rPr>
          <w:rFonts w:ascii="Times New Roman" w:hAnsi="Times New Roman" w:cs="Times New Roman"/>
          <w:i w:val="0"/>
          <w:iCs w:val="0"/>
          <w:sz w:val="24"/>
          <w:szCs w:val="24"/>
        </w:rPr>
        <w:fldChar w:fldCharType="begin"/>
      </w:r>
      <w:r w:rsidRPr="00E64C36">
        <w:rPr>
          <w:rFonts w:ascii="Times New Roman" w:hAnsi="Times New Roman" w:cs="Times New Roman"/>
          <w:i w:val="0"/>
          <w:iCs w:val="0"/>
          <w:sz w:val="24"/>
          <w:szCs w:val="24"/>
        </w:rPr>
        <w:instrText xml:space="preserve"> SEQ Figure \* ARABIC </w:instrText>
      </w:r>
      <w:r w:rsidRPr="00E64C36">
        <w:rPr>
          <w:rFonts w:ascii="Times New Roman" w:hAnsi="Times New Roman" w:cs="Times New Roman"/>
          <w:i w:val="0"/>
          <w:iCs w:val="0"/>
          <w:sz w:val="24"/>
          <w:szCs w:val="24"/>
        </w:rPr>
        <w:fldChar w:fldCharType="separate"/>
      </w:r>
      <w:r w:rsidR="00E43309" w:rsidRPr="00E64C36">
        <w:rPr>
          <w:rFonts w:ascii="Times New Roman" w:hAnsi="Times New Roman" w:cs="Times New Roman"/>
          <w:i w:val="0"/>
          <w:iCs w:val="0"/>
          <w:noProof/>
          <w:sz w:val="24"/>
          <w:szCs w:val="24"/>
        </w:rPr>
        <w:t>1</w:t>
      </w:r>
      <w:r w:rsidRPr="00E64C36">
        <w:rPr>
          <w:rFonts w:ascii="Times New Roman" w:hAnsi="Times New Roman" w:cs="Times New Roman"/>
          <w:i w:val="0"/>
          <w:iCs w:val="0"/>
          <w:sz w:val="24"/>
          <w:szCs w:val="24"/>
        </w:rPr>
        <w:fldChar w:fldCharType="end"/>
      </w:r>
      <w:r w:rsidRPr="00E64C36">
        <w:rPr>
          <w:rFonts w:ascii="Times New Roman" w:hAnsi="Times New Roman" w:cs="Times New Roman"/>
          <w:i w:val="0"/>
          <w:iCs w:val="0"/>
          <w:sz w:val="24"/>
          <w:szCs w:val="24"/>
          <w:lang w:val="en-IN"/>
        </w:rPr>
        <w:t xml:space="preserve"> Global Games Market</w:t>
      </w:r>
    </w:p>
    <w:p w14:paraId="27C04E79" w14:textId="553EE8FA" w:rsidR="00BE6374" w:rsidRPr="00E64C36" w:rsidRDefault="00BE6374" w:rsidP="00BE6374">
      <w:pPr>
        <w:jc w:val="center"/>
        <w:rPr>
          <w:rFonts w:ascii="Times New Roman" w:hAnsi="Times New Roman" w:cs="Times New Roman"/>
        </w:rPr>
      </w:pPr>
      <w:r w:rsidRPr="00E64C36">
        <w:rPr>
          <w:rFonts w:ascii="Times New Roman" w:hAnsi="Times New Roman" w:cs="Times New Roman"/>
        </w:rPr>
        <w:t xml:space="preserve">(Source: </w:t>
      </w:r>
      <w:proofErr w:type="spellStart"/>
      <w:r w:rsidRPr="00E64C36">
        <w:rPr>
          <w:rFonts w:ascii="Times New Roman" w:hAnsi="Times New Roman" w:cs="Times New Roman"/>
        </w:rPr>
        <w:t>Buijsman</w:t>
      </w:r>
      <w:proofErr w:type="spellEnd"/>
      <w:r w:rsidRPr="00E64C36">
        <w:rPr>
          <w:rFonts w:ascii="Times New Roman" w:hAnsi="Times New Roman" w:cs="Times New Roman"/>
        </w:rPr>
        <w:t>, 2024)</w:t>
      </w:r>
    </w:p>
    <w:p w14:paraId="1ED54278" w14:textId="77777777" w:rsidR="00BE6374" w:rsidRPr="00E64C36" w:rsidRDefault="00BE6374" w:rsidP="00BE6374">
      <w:pPr>
        <w:rPr>
          <w:lang w:val="en-IN"/>
        </w:rPr>
      </w:pPr>
    </w:p>
    <w:p w14:paraId="61420F85"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In the competitive industries like gaming, companies tend to either pursue pioneer or follower strategies. A pioneering organisation is also the first organisation to introduce innovations, technologies, or new product categories in the market, acquiring initial competitive advantages, including brand recognition and technological leadership. Conversely, the follower firms have a late entry in the market where they get to learn the successes and the failures of the pioneer, as they come up with other alternative methods that can enable them to compete successfully.</w:t>
      </w:r>
    </w:p>
    <w:p w14:paraId="7391A313" w14:textId="30F57306" w:rsidR="0057382A" w:rsidRPr="00E64C36" w:rsidRDefault="00ED4091" w:rsidP="00ED4091">
      <w:pPr>
        <w:spacing w:line="360" w:lineRule="auto"/>
        <w:jc w:val="both"/>
        <w:rPr>
          <w:rFonts w:ascii="Times New Roman" w:hAnsi="Times New Roman" w:cs="Times New Roman"/>
          <w:lang w:eastAsia="en-GB"/>
        </w:rPr>
      </w:pPr>
      <w:r w:rsidRPr="00E64C36">
        <w:rPr>
          <w:rFonts w:ascii="Times New Roman" w:hAnsi="Times New Roman" w:cs="Times New Roman"/>
          <w:lang w:val="en-IN" w:eastAsia="en-GB"/>
        </w:rPr>
        <w:t xml:space="preserve">Nintendo is globally acknowledged as an innovative organisation that significantly contributed to the development of the contemporary home gaming industry with its advancement in the initial home console systems and pioneering game design (Wachter et al., 2019). Sony on the other hand came in the scene later with the introduction of the </w:t>
      </w:r>
      <w:proofErr w:type="spellStart"/>
      <w:r w:rsidRPr="00E64C36">
        <w:rPr>
          <w:rFonts w:ascii="Times New Roman" w:hAnsi="Times New Roman" w:cs="Times New Roman"/>
          <w:lang w:val="en-IN" w:eastAsia="en-GB"/>
        </w:rPr>
        <w:t>Playstation</w:t>
      </w:r>
      <w:proofErr w:type="spellEnd"/>
      <w:r w:rsidRPr="00E64C36">
        <w:rPr>
          <w:rFonts w:ascii="Times New Roman" w:hAnsi="Times New Roman" w:cs="Times New Roman"/>
          <w:lang w:val="en-IN" w:eastAsia="en-GB"/>
        </w:rPr>
        <w:t xml:space="preserve"> in the year 1994 that revolutionised </w:t>
      </w:r>
      <w:r w:rsidRPr="00E64C36">
        <w:rPr>
          <w:rFonts w:ascii="Times New Roman" w:hAnsi="Times New Roman" w:cs="Times New Roman"/>
          <w:lang w:val="en-IN" w:eastAsia="en-GB"/>
        </w:rPr>
        <w:lastRenderedPageBreak/>
        <w:t xml:space="preserve">the world of gaming through the implementation of CD-ROM and superior 3D graphics </w:t>
      </w:r>
      <w:r w:rsidR="00BE6374" w:rsidRPr="00E64C36">
        <w:rPr>
          <w:rFonts w:ascii="Times New Roman" w:hAnsi="Times New Roman" w:cs="Times New Roman"/>
          <w:lang w:eastAsia="en-GB"/>
        </w:rPr>
        <w:t>(Ponza, 2024)</w:t>
      </w:r>
      <w:r w:rsidR="0057382A" w:rsidRPr="00E64C36">
        <w:rPr>
          <w:rFonts w:ascii="Times New Roman" w:hAnsi="Times New Roman" w:cs="Times New Roman"/>
          <w:lang w:val="en-IN" w:eastAsia="en-GB"/>
        </w:rPr>
        <w:t>.</w:t>
      </w:r>
    </w:p>
    <w:p w14:paraId="352A07B7" w14:textId="76F6A590" w:rsidR="0057382A" w:rsidRPr="00E64C36" w:rsidRDefault="00ED4091" w:rsidP="0057382A">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This report seeks to discuss the macro marketing environment that impacts these organisations based on two major external forces of technology and social forces. The analysis of the role of these factors in creating opportunities and threats assesses the manner in which Nintendo and Sony have reacted strategically to retain their competitive niche in the international gaming market.</w:t>
      </w:r>
    </w:p>
    <w:p w14:paraId="2876BC0B" w14:textId="77777777" w:rsidR="0057382A" w:rsidRPr="00E64C36" w:rsidRDefault="0057382A" w:rsidP="0057382A">
      <w:pPr>
        <w:pStyle w:val="Heading1"/>
      </w:pPr>
      <w:bookmarkStart w:id="2" w:name="_Toc224211539"/>
      <w:r w:rsidRPr="00E64C36">
        <w:t>2. Macro Environment Analysis – PESTEL Overview</w:t>
      </w:r>
      <w:bookmarkEnd w:id="2"/>
      <w:r w:rsidRPr="00E64C36">
        <w:t xml:space="preserve"> </w:t>
      </w:r>
    </w:p>
    <w:p w14:paraId="6CD92144" w14:textId="0F9A8DF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The </w:t>
      </w:r>
      <w:r w:rsidRPr="00E64C36">
        <w:rPr>
          <w:rFonts w:ascii="Times New Roman" w:hAnsi="Times New Roman" w:cs="Times New Roman"/>
          <w:b/>
          <w:bCs/>
          <w:i/>
          <w:iCs/>
          <w:lang w:val="en-IN" w:eastAsia="en-GB"/>
        </w:rPr>
        <w:t>political factors</w:t>
      </w:r>
      <w:r w:rsidRPr="00E64C36">
        <w:rPr>
          <w:rFonts w:ascii="Times New Roman" w:hAnsi="Times New Roman" w:cs="Times New Roman"/>
          <w:lang w:val="en-IN" w:eastAsia="en-GB"/>
        </w:rPr>
        <w:t xml:space="preserve"> impact the gaming industry by means of governmental regulation, bans on digital content, and trade policies of the technological products. For example, some nations enforce strict regulations on games and censorship measures, especially in online and mobile games markets, which may impact the international distribution of games and platform activities (Feng et al., 2025).</w:t>
      </w:r>
    </w:p>
    <w:p w14:paraId="60DE2703" w14:textId="1059DD2F"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b/>
          <w:bCs/>
          <w:i/>
          <w:iCs/>
          <w:lang w:val="en-IN" w:eastAsia="en-GB"/>
        </w:rPr>
        <w:t>Economic forces</w:t>
      </w:r>
      <w:r w:rsidRPr="00E64C36">
        <w:rPr>
          <w:rFonts w:ascii="Times New Roman" w:hAnsi="Times New Roman" w:cs="Times New Roman"/>
          <w:lang w:val="en-IN" w:eastAsia="en-GB"/>
        </w:rPr>
        <w:t xml:space="preserve"> are major players in the growth of the industry. The global gaming industry has expanded fast and earned digital entertainment estimated revenues of about 188197 billion dollars in 2025, owing to the high demand of the gamers (Crichton-Stuart, 2025). </w:t>
      </w:r>
    </w:p>
    <w:p w14:paraId="458B7AED"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The </w:t>
      </w:r>
      <w:r w:rsidRPr="00E64C36">
        <w:rPr>
          <w:rFonts w:ascii="Times New Roman" w:hAnsi="Times New Roman" w:cs="Times New Roman"/>
          <w:b/>
          <w:bCs/>
          <w:i/>
          <w:iCs/>
          <w:lang w:val="en-IN" w:eastAsia="en-GB"/>
        </w:rPr>
        <w:t>social factors</w:t>
      </w:r>
      <w:r w:rsidRPr="00E64C36">
        <w:rPr>
          <w:rFonts w:ascii="Times New Roman" w:hAnsi="Times New Roman" w:cs="Times New Roman"/>
          <w:lang w:val="en-IN" w:eastAsia="en-GB"/>
        </w:rPr>
        <w:t xml:space="preserve"> are also very important. Gaming has entered the popular culture as billions of users worldwide know how to play it in any age category (</w:t>
      </w:r>
      <w:proofErr w:type="spellStart"/>
      <w:r w:rsidRPr="00E64C36">
        <w:rPr>
          <w:rFonts w:ascii="Times New Roman" w:hAnsi="Times New Roman" w:cs="Times New Roman"/>
          <w:lang w:val="en-IN" w:eastAsia="en-GB"/>
        </w:rPr>
        <w:t>Azadvar</w:t>
      </w:r>
      <w:proofErr w:type="spellEnd"/>
      <w:r w:rsidRPr="00E64C36">
        <w:rPr>
          <w:rFonts w:ascii="Times New Roman" w:hAnsi="Times New Roman" w:cs="Times New Roman"/>
          <w:lang w:val="en-IN" w:eastAsia="en-GB"/>
        </w:rPr>
        <w:t xml:space="preserve"> and Ni, 2025). Gaming is no longer a niche hobby but a social and entertainment platform that extends across the world due to changing consumer lifestyles, online communities and the culture of esports.</w:t>
      </w:r>
    </w:p>
    <w:p w14:paraId="12F7B1F6"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One of the strongest change drivers is </w:t>
      </w:r>
      <w:r w:rsidRPr="00E64C36">
        <w:rPr>
          <w:rFonts w:ascii="Times New Roman" w:hAnsi="Times New Roman" w:cs="Times New Roman"/>
          <w:b/>
          <w:bCs/>
          <w:i/>
          <w:iCs/>
          <w:lang w:val="en-IN" w:eastAsia="en-GB"/>
        </w:rPr>
        <w:t>technological factors</w:t>
      </w:r>
      <w:r w:rsidRPr="00E64C36">
        <w:rPr>
          <w:rFonts w:ascii="Times New Roman" w:hAnsi="Times New Roman" w:cs="Times New Roman"/>
          <w:lang w:val="en-IN" w:eastAsia="en-GB"/>
        </w:rPr>
        <w:t>. The development of graphic processing units, virtual reality, cloud gaming, and artificial intelligence has played an important role in enhancing gaming experiences and forcing new business strategies in the industry.</w:t>
      </w:r>
    </w:p>
    <w:p w14:paraId="4372F85E" w14:textId="480D2341"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Digital infrastructure, gaming hardware, and large data centres to sustain online gaming ecosystems are becoming more relevant regarding </w:t>
      </w:r>
      <w:r w:rsidRPr="00E64C36">
        <w:rPr>
          <w:rFonts w:ascii="Times New Roman" w:hAnsi="Times New Roman" w:cs="Times New Roman"/>
          <w:b/>
          <w:bCs/>
          <w:i/>
          <w:iCs/>
          <w:lang w:val="en-IN" w:eastAsia="en-GB"/>
        </w:rPr>
        <w:t>environmental factors</w:t>
      </w:r>
      <w:r w:rsidRPr="00E64C36">
        <w:rPr>
          <w:rFonts w:ascii="Times New Roman" w:hAnsi="Times New Roman" w:cs="Times New Roman"/>
          <w:lang w:val="en-IN" w:eastAsia="en-GB"/>
        </w:rPr>
        <w:t xml:space="preserve"> (Pérez et al., 2024).</w:t>
      </w:r>
    </w:p>
    <w:p w14:paraId="6284A857" w14:textId="339C7EE2" w:rsidR="0057382A"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Lastly, </w:t>
      </w:r>
      <w:r w:rsidRPr="00E64C36">
        <w:rPr>
          <w:rFonts w:ascii="Times New Roman" w:hAnsi="Times New Roman" w:cs="Times New Roman"/>
          <w:b/>
          <w:bCs/>
          <w:i/>
          <w:iCs/>
          <w:lang w:val="en-IN" w:eastAsia="en-GB"/>
        </w:rPr>
        <w:t>legal factors</w:t>
      </w:r>
      <w:r w:rsidRPr="00E64C36">
        <w:rPr>
          <w:rFonts w:ascii="Times New Roman" w:hAnsi="Times New Roman" w:cs="Times New Roman"/>
          <w:lang w:val="en-IN" w:eastAsia="en-GB"/>
        </w:rPr>
        <w:t xml:space="preserve"> like copyright protection, intellectual property rights, and digital privacy laws have a significant role in safeguarding gaming content and avoiding piracy in the international digital market</w:t>
      </w:r>
      <w:r w:rsidR="0057382A" w:rsidRPr="00E64C36">
        <w:rPr>
          <w:rFonts w:ascii="Times New Roman" w:hAnsi="Times New Roman" w:cs="Times New Roman"/>
          <w:lang w:val="en-IN" w:eastAsia="en-GB"/>
        </w:rPr>
        <w:t>.</w:t>
      </w:r>
    </w:p>
    <w:p w14:paraId="73D18004" w14:textId="77777777" w:rsidR="00CC04BF" w:rsidRDefault="00CC04BF">
      <w:pPr>
        <w:rPr>
          <w:rFonts w:ascii="Times New Roman" w:hAnsi="Times New Roman" w:cs="Times New Roman"/>
          <w:b/>
          <w:sz w:val="32"/>
          <w:lang w:val="en-IN" w:eastAsia="en-GB"/>
        </w:rPr>
      </w:pPr>
      <w:bookmarkStart w:id="3" w:name="_Toc224211540"/>
      <w:r>
        <w:br w:type="page"/>
      </w:r>
    </w:p>
    <w:p w14:paraId="6DAF22DA" w14:textId="628718DB" w:rsidR="0057382A" w:rsidRPr="00E64C36" w:rsidRDefault="0057382A" w:rsidP="0057382A">
      <w:pPr>
        <w:pStyle w:val="Heading1"/>
      </w:pPr>
      <w:r w:rsidRPr="00E64C36">
        <w:lastRenderedPageBreak/>
        <w:t>3. Task 1 – Macro Environmental Opportunities and Threats</w:t>
      </w:r>
      <w:bookmarkEnd w:id="3"/>
    </w:p>
    <w:p w14:paraId="72D8EAA5" w14:textId="77777777" w:rsidR="0057382A" w:rsidRPr="00E64C36" w:rsidRDefault="0057382A" w:rsidP="0057382A">
      <w:pPr>
        <w:pStyle w:val="Heading2"/>
      </w:pPr>
      <w:bookmarkStart w:id="4" w:name="_Toc224211541"/>
      <w:r w:rsidRPr="00E64C36">
        <w:t>3.1 Technological Factors – Nintendo (Pioneer)</w:t>
      </w:r>
      <w:bookmarkEnd w:id="4"/>
    </w:p>
    <w:p w14:paraId="20FE68DE" w14:textId="3516B204"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Innovation in technology has been among the core elements of the Nintendo strategy as a trendsetter in the gaming sector. Nintendo has not always competed on performance of hardware, but instead brought new technologies in the gaming industry forward. Motion-controlled gaming has also served as one of the greatest technological opportunities, popularised by the Nintendo Wii (</w:t>
      </w:r>
      <w:proofErr w:type="spellStart"/>
      <w:r w:rsidRPr="00E64C36">
        <w:rPr>
          <w:rFonts w:ascii="Times New Roman" w:hAnsi="Times New Roman" w:cs="Times New Roman"/>
          <w:lang w:val="en-IN" w:eastAsia="en-GB"/>
        </w:rPr>
        <w:t>Sheposh</w:t>
      </w:r>
      <w:proofErr w:type="spellEnd"/>
      <w:r w:rsidRPr="00E64C36">
        <w:rPr>
          <w:rFonts w:ascii="Times New Roman" w:hAnsi="Times New Roman" w:cs="Times New Roman"/>
          <w:lang w:val="en-IN" w:eastAsia="en-GB"/>
        </w:rPr>
        <w:t xml:space="preserve">, 2025). </w:t>
      </w:r>
    </w:p>
    <w:p w14:paraId="5B09C2BF"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Nintendo hybrid console design, and especially the Nintendo Switch is yet another opportunity to consider. The Switch enables both players to play it as a handheld portable game and also as a home console attached to a television. This unique design provided competitive edge in that two gaming formats were integrated within one platform. The business principle has proven very profitable, and Nintendo Switch family, as of 2025, sold more than 155 million units globally, becoming one of the most successful consoles ever sold (</w:t>
      </w:r>
      <w:proofErr w:type="spellStart"/>
      <w:r w:rsidRPr="00E64C36">
        <w:rPr>
          <w:rFonts w:ascii="Times New Roman" w:hAnsi="Times New Roman" w:cs="Times New Roman"/>
          <w:lang w:val="en-IN" w:eastAsia="en-GB"/>
        </w:rPr>
        <w:t>Byshonkov</w:t>
      </w:r>
      <w:proofErr w:type="spellEnd"/>
      <w:r w:rsidRPr="00E64C36">
        <w:rPr>
          <w:rFonts w:ascii="Times New Roman" w:hAnsi="Times New Roman" w:cs="Times New Roman"/>
          <w:lang w:val="en-IN" w:eastAsia="en-GB"/>
        </w:rPr>
        <w:t>, 2024).</w:t>
      </w:r>
    </w:p>
    <w:p w14:paraId="5B0074AF" w14:textId="022DE2DE" w:rsidR="0057382A" w:rsidRPr="00CC04BF"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Nintendo has also diversified its digital platform like Nintendo eShop and Nintendo Switch Online.</w:t>
      </w:r>
      <w:r w:rsidR="00CC04BF">
        <w:rPr>
          <w:rFonts w:ascii="Times New Roman" w:hAnsi="Times New Roman" w:cs="Times New Roman"/>
          <w:lang w:val="en-IN" w:eastAsia="en-GB"/>
        </w:rPr>
        <w:t xml:space="preserve"> </w:t>
      </w:r>
      <w:r w:rsidRPr="00E64C36">
        <w:rPr>
          <w:rFonts w:ascii="Times New Roman" w:hAnsi="Times New Roman" w:cs="Times New Roman"/>
          <w:lang w:val="en-IN" w:eastAsia="en-GB"/>
        </w:rPr>
        <w:t xml:space="preserve">The consoles of Nintendo tend to have weaker hardware than their competitors like Sony and thus may not perform as well on games requiring significant graphics (Huang, 2025). </w:t>
      </w:r>
    </w:p>
    <w:p w14:paraId="3B894D85" w14:textId="77777777" w:rsidR="0057382A" w:rsidRPr="00E64C36" w:rsidRDefault="0057382A" w:rsidP="0057382A">
      <w:pPr>
        <w:pStyle w:val="Heading2"/>
      </w:pPr>
      <w:bookmarkStart w:id="5" w:name="_Toc224211542"/>
      <w:r w:rsidRPr="00E64C36">
        <w:t>3.2 Social Factors – Nintendo (Pioneer)</w:t>
      </w:r>
      <w:bookmarkEnd w:id="5"/>
    </w:p>
    <w:p w14:paraId="1C0085E9"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Nintendo competitive strategy is highly dependent on social trends. Its strong position in family gaming is one of the greatest opportunities. As compared to most of the other competitors in the market who target hardcore gamers, Nintendo develops games that can be enjoyed by all players. This involvement strategy has enabled the firm to gain more viewers as well as brand loyalty.</w:t>
      </w:r>
    </w:p>
    <w:p w14:paraId="5B1DF09E"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other major opportunity is brand nostalgia. Nintendo is the best owner of the most recognisable gaming franchises in the world, Super Mario, The legend of Zelda, and Pokémon. These old-time franchises have been able to appeal to old and new players, and they have enabled Nintendo to establish its presence in the gaming industry (Jacinto and Flores, 2025).</w:t>
      </w:r>
    </w:p>
    <w:p w14:paraId="26A4C759"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This is also helpful to Nintendo because casual gamers are expanding. Video gaming has now become a popular entertainment that has billions of players across the world. This expansion presents solutions to Nintendo as the games are usually tailored to be simple to follow and fun to play among the casual gamers (Kondo, 2025).</w:t>
      </w:r>
    </w:p>
    <w:p w14:paraId="263E6018" w14:textId="7C62F89A" w:rsidR="0057382A"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lastRenderedPageBreak/>
        <w:t>Nonetheless, there are a number of social threats. Online multiplayer gaming environment is becoming a more popular among younger gamers, and the competing platforms like PlayStation and PC gaming are closely linked with it. Mobile gaming is already contributing to a large portion of the international gaming revenue and it provides easy gaming time using smartphones</w:t>
      </w:r>
      <w:r w:rsidR="0057382A" w:rsidRPr="00E64C36">
        <w:rPr>
          <w:rFonts w:ascii="Times New Roman" w:hAnsi="Times New Roman" w:cs="Times New Roman"/>
          <w:lang w:val="en-IN" w:eastAsia="en-GB"/>
        </w:rPr>
        <w:t>.</w:t>
      </w:r>
    </w:p>
    <w:p w14:paraId="41F9338A" w14:textId="77777777" w:rsidR="0057382A" w:rsidRPr="00E64C36" w:rsidRDefault="0057382A" w:rsidP="0057382A">
      <w:pPr>
        <w:pStyle w:val="Heading2"/>
      </w:pPr>
      <w:bookmarkStart w:id="6" w:name="_Toc224211543"/>
      <w:r w:rsidRPr="00E64C36">
        <w:t>3.3 Technological Factors – Sony PlayStation 5 (Follower)</w:t>
      </w:r>
      <w:bookmarkEnd w:id="6"/>
    </w:p>
    <w:p w14:paraId="426AB8F7" w14:textId="1F091CF9"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Sony did not enter the market of consoles as early as Nintendo did, but soon became a technological force to reckon with. Among the biggest opportunities that Sony has is the high-performance hardware of the PlayStation 5 which has the solid-state storage that is also high-speed, has graphics processing technology, and ray tracing (Peddie, 2022). </w:t>
      </w:r>
    </w:p>
    <w:p w14:paraId="1346BFEA" w14:textId="35650A8F"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The other opportunity is the digital gaming ecosystem of Sony, especially via the PlayStation Network (PSN). This platform offers multiplayer services online, the sale of digital games, and subscription like PlayStation Plus. </w:t>
      </w:r>
    </w:p>
    <w:p w14:paraId="1C3D21DE"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Sony has not been left behind in the development of virtual reality games since it has expanded its technological ecosystem with PlayStation VR devices. The virtual reality is viewed as a potential future development of the gaming industry (Williams, 2026).</w:t>
      </w:r>
    </w:p>
    <w:p w14:paraId="16C14AA8" w14:textId="3BA937CD" w:rsidR="00CC04BF" w:rsidRDefault="00ED4091" w:rsidP="00CC04BF">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In spite of these opportunities, technological threats are also very high. High-performance gaming consoles are costly to develop, with regard to research, manufacturing, and marketing. </w:t>
      </w:r>
      <w:bookmarkStart w:id="7" w:name="_Toc224211544"/>
    </w:p>
    <w:p w14:paraId="6D637F7E" w14:textId="77777777" w:rsidR="00CC04BF" w:rsidRPr="00CC04BF" w:rsidRDefault="00CC04BF" w:rsidP="00CC04BF">
      <w:pPr>
        <w:spacing w:line="360" w:lineRule="auto"/>
        <w:jc w:val="both"/>
        <w:rPr>
          <w:rFonts w:ascii="Times New Roman" w:hAnsi="Times New Roman" w:cs="Times New Roman"/>
          <w:lang w:val="en-IN" w:eastAsia="en-GB"/>
        </w:rPr>
      </w:pPr>
    </w:p>
    <w:p w14:paraId="60A03420" w14:textId="7BE83835" w:rsidR="0057382A" w:rsidRPr="00E64C36" w:rsidRDefault="0057382A" w:rsidP="0057382A">
      <w:pPr>
        <w:pStyle w:val="Heading2"/>
      </w:pPr>
      <w:r w:rsidRPr="00E64C36">
        <w:t>3.4 Social Factors – Sony PlayStation 5 (Follower)</w:t>
      </w:r>
      <w:bookmarkEnd w:id="7"/>
    </w:p>
    <w:p w14:paraId="2E3C2853"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There are social tendencies as well, which open significant prospects to Sony. Rapid expansion of the online multiplayer community of gamers is one of the opportunities. Most players today enjoy being social and competitive, which PlayStation promotes via its online network services (Chung et al., 2019).</w:t>
      </w:r>
    </w:p>
    <w:p w14:paraId="54E3B446"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other opportunity is presented by the development of esports and gaming content streaming. Video games have become more visible all over the world though platforms like Twitch and YouTube Gaming, making players join competitions and online communities.</w:t>
      </w:r>
    </w:p>
    <w:p w14:paraId="3E87C413"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Sony, however, has social challenges as well. The shift in entertainment patterns implies that younger populations are shifting to shorter-form digital content such as social media and mobile games. Such a transition can be seen to minimize the duration of browsing the conventional console games.</w:t>
      </w:r>
    </w:p>
    <w:p w14:paraId="3F41110C" w14:textId="77777777" w:rsidR="00CC04BF" w:rsidRDefault="00CC04BF" w:rsidP="0057382A">
      <w:pPr>
        <w:pStyle w:val="Heading1"/>
      </w:pPr>
      <w:bookmarkStart w:id="8" w:name="_Toc224211545"/>
    </w:p>
    <w:p w14:paraId="4AB1A799" w14:textId="65CE87EA" w:rsidR="0057382A" w:rsidRPr="00E64C36" w:rsidRDefault="0057382A" w:rsidP="0057382A">
      <w:pPr>
        <w:pStyle w:val="Heading1"/>
      </w:pPr>
      <w:r w:rsidRPr="00E64C36">
        <w:lastRenderedPageBreak/>
        <w:t>4. Task 2 – Strategic Responses</w:t>
      </w:r>
      <w:bookmarkEnd w:id="8"/>
    </w:p>
    <w:p w14:paraId="1C7777F8" w14:textId="77777777" w:rsidR="0057382A" w:rsidRPr="00E64C36" w:rsidRDefault="0057382A" w:rsidP="0057382A">
      <w:pPr>
        <w:pStyle w:val="Heading2"/>
      </w:pPr>
      <w:bookmarkStart w:id="9" w:name="_Toc224211546"/>
      <w:r w:rsidRPr="00E64C36">
        <w:t>4.1 Strategic Response to Technological Changes</w:t>
      </w:r>
      <w:bookmarkEnd w:id="9"/>
    </w:p>
    <w:p w14:paraId="44A14DE3"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Technological change has played an important role in strategic responses of both Nintendo and Sony in the gaming industry. The two companies are rivals in the console gaming market, but their strategic technological development and market positioning have taken a different approach.</w:t>
      </w:r>
    </w:p>
    <w:p w14:paraId="7B35DD38"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This approach of Nintendo is largely innovation-based, as they focus their strategy on the gameplay experiences more than on the powerful hardware. This strategy represents a differentiation strategy in the Porters Generic Strategies (Islami, Mustafa and Latkovikj, 2020). Nintendo does not worry about fighting directly with competitors on the basis of processing power or graphical performance, but it aims to deliver unique gaming experiences that are more attractive to a wider audience. Indicatively, Nintendo pioneered the use of motion-controlled gaming in the Nintendo Wii and followed up with hybrid gaming with the Nintendo Switch.</w:t>
      </w:r>
    </w:p>
    <w:p w14:paraId="08FA06B8" w14:textId="618CABAD" w:rsidR="0057382A"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Nintendo Switch, which was launched in 2017, enables users to have access to games as a home console and a handheld </w:t>
      </w:r>
      <w:proofErr w:type="spellStart"/>
      <w:r w:rsidRPr="00E64C36">
        <w:rPr>
          <w:rFonts w:ascii="Times New Roman" w:hAnsi="Times New Roman" w:cs="Times New Roman"/>
          <w:lang w:val="en-IN" w:eastAsia="en-GB"/>
        </w:rPr>
        <w:t>handheld</w:t>
      </w:r>
      <w:proofErr w:type="spellEnd"/>
      <w:r w:rsidRPr="00E64C36">
        <w:rPr>
          <w:rFonts w:ascii="Times New Roman" w:hAnsi="Times New Roman" w:cs="Times New Roman"/>
          <w:lang w:val="en-IN" w:eastAsia="en-GB"/>
        </w:rPr>
        <w:t xml:space="preserve"> device. </w:t>
      </w:r>
      <w:r w:rsidR="00E64C36" w:rsidRPr="00E64C36">
        <w:rPr>
          <w:rFonts w:ascii="Times New Roman" w:hAnsi="Times New Roman" w:cs="Times New Roman"/>
          <w:lang w:eastAsia="en-GB"/>
        </w:rPr>
        <w:t>This technological difference created a differentiated market position. By 2025, Nintendo Switch sold over 155 million units worldwide, becoming the fastest-selling Nintendo console and one of the most successful gaming platforms of all time (Robinson, 2026).</w:t>
      </w:r>
    </w:p>
    <w:p w14:paraId="7AEA7549" w14:textId="77777777" w:rsidR="00E43309" w:rsidRPr="00E64C36" w:rsidRDefault="00E43309" w:rsidP="00E43309">
      <w:pPr>
        <w:keepNext/>
        <w:spacing w:line="360" w:lineRule="auto"/>
        <w:jc w:val="center"/>
        <w:rPr>
          <w:rFonts w:ascii="Times New Roman" w:hAnsi="Times New Roman" w:cs="Times New Roman"/>
        </w:rPr>
      </w:pPr>
      <w:r w:rsidRPr="00E64C36">
        <w:rPr>
          <w:rFonts w:ascii="Times New Roman" w:hAnsi="Times New Roman" w:cs="Times New Roman"/>
          <w:noProof/>
          <w:lang w:eastAsia="en-GB"/>
        </w:rPr>
        <w:drawing>
          <wp:inline distT="0" distB="0" distL="0" distR="0" wp14:anchorId="3BF2B36F" wp14:editId="55560AAA">
            <wp:extent cx="4823460" cy="2672485"/>
            <wp:effectExtent l="0" t="0" r="0" b="0"/>
            <wp:docPr id="1105530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30809" name=""/>
                    <pic:cNvPicPr/>
                  </pic:nvPicPr>
                  <pic:blipFill>
                    <a:blip r:embed="rId7"/>
                    <a:stretch>
                      <a:fillRect/>
                    </a:stretch>
                  </pic:blipFill>
                  <pic:spPr>
                    <a:xfrm>
                      <a:off x="0" y="0"/>
                      <a:ext cx="4828390" cy="2675216"/>
                    </a:xfrm>
                    <a:prstGeom prst="rect">
                      <a:avLst/>
                    </a:prstGeom>
                  </pic:spPr>
                </pic:pic>
              </a:graphicData>
            </a:graphic>
          </wp:inline>
        </w:drawing>
      </w:r>
    </w:p>
    <w:p w14:paraId="4122C1AB" w14:textId="2A5B4244" w:rsidR="00E43309" w:rsidRPr="00E64C36" w:rsidRDefault="00E43309" w:rsidP="00E43309">
      <w:pPr>
        <w:pStyle w:val="Caption"/>
        <w:jc w:val="center"/>
        <w:rPr>
          <w:rFonts w:ascii="Times New Roman" w:hAnsi="Times New Roman" w:cs="Times New Roman"/>
          <w:i w:val="0"/>
          <w:iCs w:val="0"/>
          <w:sz w:val="24"/>
          <w:szCs w:val="24"/>
          <w:lang w:val="en-IN"/>
        </w:rPr>
      </w:pPr>
      <w:r w:rsidRPr="00E64C36">
        <w:rPr>
          <w:rFonts w:ascii="Times New Roman" w:hAnsi="Times New Roman" w:cs="Times New Roman"/>
          <w:i w:val="0"/>
          <w:iCs w:val="0"/>
          <w:sz w:val="24"/>
          <w:szCs w:val="24"/>
        </w:rPr>
        <w:t xml:space="preserve">Figure </w:t>
      </w:r>
      <w:r w:rsidRPr="00E64C36">
        <w:rPr>
          <w:rFonts w:ascii="Times New Roman" w:hAnsi="Times New Roman" w:cs="Times New Roman"/>
          <w:i w:val="0"/>
          <w:iCs w:val="0"/>
          <w:sz w:val="24"/>
          <w:szCs w:val="24"/>
        </w:rPr>
        <w:fldChar w:fldCharType="begin"/>
      </w:r>
      <w:r w:rsidRPr="00E64C36">
        <w:rPr>
          <w:rFonts w:ascii="Times New Roman" w:hAnsi="Times New Roman" w:cs="Times New Roman"/>
          <w:i w:val="0"/>
          <w:iCs w:val="0"/>
          <w:sz w:val="24"/>
          <w:szCs w:val="24"/>
        </w:rPr>
        <w:instrText xml:space="preserve"> SEQ Figure \* ARABIC </w:instrText>
      </w:r>
      <w:r w:rsidRPr="00E64C36">
        <w:rPr>
          <w:rFonts w:ascii="Times New Roman" w:hAnsi="Times New Roman" w:cs="Times New Roman"/>
          <w:i w:val="0"/>
          <w:iCs w:val="0"/>
          <w:sz w:val="24"/>
          <w:szCs w:val="24"/>
        </w:rPr>
        <w:fldChar w:fldCharType="separate"/>
      </w:r>
      <w:r w:rsidRPr="00E64C36">
        <w:rPr>
          <w:rFonts w:ascii="Times New Roman" w:hAnsi="Times New Roman" w:cs="Times New Roman"/>
          <w:i w:val="0"/>
          <w:iCs w:val="0"/>
          <w:noProof/>
          <w:sz w:val="24"/>
          <w:szCs w:val="24"/>
        </w:rPr>
        <w:t>2</w:t>
      </w:r>
      <w:r w:rsidRPr="00E64C36">
        <w:rPr>
          <w:rFonts w:ascii="Times New Roman" w:hAnsi="Times New Roman" w:cs="Times New Roman"/>
          <w:i w:val="0"/>
          <w:iCs w:val="0"/>
          <w:sz w:val="24"/>
          <w:szCs w:val="24"/>
        </w:rPr>
        <w:fldChar w:fldCharType="end"/>
      </w:r>
      <w:r w:rsidRPr="00E64C36">
        <w:rPr>
          <w:rFonts w:ascii="Times New Roman" w:hAnsi="Times New Roman" w:cs="Times New Roman"/>
          <w:i w:val="0"/>
          <w:iCs w:val="0"/>
          <w:sz w:val="24"/>
          <w:szCs w:val="24"/>
          <w:lang w:val="en-IN"/>
        </w:rPr>
        <w:t xml:space="preserve"> Nintendo Sales</w:t>
      </w:r>
    </w:p>
    <w:p w14:paraId="45F23DCF" w14:textId="63723CFF" w:rsidR="00E43309" w:rsidRPr="00E64C36" w:rsidRDefault="00E43309" w:rsidP="00E43309">
      <w:pPr>
        <w:jc w:val="center"/>
        <w:rPr>
          <w:rFonts w:ascii="Times New Roman" w:hAnsi="Times New Roman" w:cs="Times New Roman"/>
        </w:rPr>
      </w:pPr>
      <w:r w:rsidRPr="00E64C36">
        <w:rPr>
          <w:rFonts w:ascii="Times New Roman" w:hAnsi="Times New Roman" w:cs="Times New Roman"/>
        </w:rPr>
        <w:t>(Source: Robinson, 2026)</w:t>
      </w:r>
    </w:p>
    <w:p w14:paraId="0A3781D5" w14:textId="77777777" w:rsidR="00E43309" w:rsidRPr="00E64C36" w:rsidRDefault="00E43309" w:rsidP="00E43309">
      <w:pPr>
        <w:rPr>
          <w:lang w:val="en-IN"/>
        </w:rPr>
      </w:pPr>
    </w:p>
    <w:p w14:paraId="6692A79D"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lastRenderedPageBreak/>
        <w:t>The differentiation strategy of Nintendo is based on innovative gameplay, accessibility, and innovation, not hardware performance. This enables Nintendo to appeal to a wide range of consumers including families and casual players. Nevertheless, this approach also implies that Nintendo consoles are usually less technologically advanced than its rivals.</w:t>
      </w:r>
    </w:p>
    <w:p w14:paraId="233522BB"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Conversely, the Sony approach concentrates on creating a high-performance gaming ecosystem that is based on a robust hardware and online provision. Sony pursues a differentiation strategy, with a premium focus strategy, whereby it aims at dedicated gamers with needs such high quality graphics, in added immersion, and high quality online functionality.</w:t>
      </w:r>
    </w:p>
    <w:p w14:paraId="48821A9A"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PlayStation 5 (PS5) exhibits this strategy with improved technological features like ray-tracing graphics, solid-state drives with high speeds, and better processing power. Sony also released the PS5 Pro having a graphics processing unit that is about 45 percent faster than the regular PS5, further enhancing its technological dominance (Peddie, 2022).</w:t>
      </w:r>
    </w:p>
    <w:p w14:paraId="42436867"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Digital services are also part of the technological ecosystem of Sony in the form of the PlayStation Network (PSN) and PlayStation Plus subscription services. These services generate customer engagement in the long-run and recurrence of sales. The PS5 had sold about 92.2 million units all over the world as of 2025, which shows how well the high-performance gaming platform developed by Sony was received in the market (Romano, 2026).</w:t>
      </w:r>
    </w:p>
    <w:p w14:paraId="041B4764" w14:textId="2F0904D2" w:rsidR="0057382A"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Thus, Nintendo is adapting to technological change by using new gameplay and differentiated hardware, whereas Sony is adapting by using technological performance and high-end gaming ecosystem. The two strategies represent various ways of competitive advantage in Porters Generic Strategies</w:t>
      </w:r>
      <w:r w:rsidR="0057382A" w:rsidRPr="00E64C36">
        <w:rPr>
          <w:rFonts w:ascii="Times New Roman" w:hAnsi="Times New Roman" w:cs="Times New Roman"/>
          <w:lang w:val="en-IN" w:eastAsia="en-GB"/>
        </w:rPr>
        <w:t>.</w:t>
      </w:r>
    </w:p>
    <w:p w14:paraId="258E6E98" w14:textId="77777777" w:rsidR="0057382A" w:rsidRDefault="0057382A" w:rsidP="0057382A">
      <w:pPr>
        <w:pStyle w:val="Heading2"/>
      </w:pPr>
      <w:bookmarkStart w:id="10" w:name="_Toc224211547"/>
      <w:r w:rsidRPr="00E64C36">
        <w:t>4.2 Strategic Growth Strategies (Ansoff Matrix)</w:t>
      </w:r>
      <w:bookmarkEnd w:id="10"/>
    </w:p>
    <w:p w14:paraId="4CF8B6E1" w14:textId="77777777" w:rsidR="00CC04BF" w:rsidRDefault="00CC04BF" w:rsidP="0057382A">
      <w:pPr>
        <w:pStyle w:val="Heading2"/>
      </w:pPr>
    </w:p>
    <w:p w14:paraId="3628D292" w14:textId="77777777" w:rsidR="00CC04BF" w:rsidRPr="00E64C36" w:rsidRDefault="00CC04BF" w:rsidP="00CC04BF">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Ansoff Matrix can also be used to assess the strategic growth of Nintendo and Sony and discovers four growth strategies: market penetration, product development, market development, and diversification (Patra and Bharatiya, 2020).</w:t>
      </w:r>
    </w:p>
    <w:p w14:paraId="3B5B3C65" w14:textId="77777777" w:rsidR="00CC04BF" w:rsidRPr="00E64C36" w:rsidRDefault="00CC04BF" w:rsidP="00CC04BF"/>
    <w:p w14:paraId="4B09CD56" w14:textId="77777777" w:rsidR="00E43309" w:rsidRPr="00E64C36" w:rsidRDefault="00E43309" w:rsidP="00E43309">
      <w:pPr>
        <w:keepNext/>
        <w:spacing w:line="360" w:lineRule="auto"/>
        <w:jc w:val="center"/>
        <w:rPr>
          <w:rFonts w:ascii="Times New Roman" w:hAnsi="Times New Roman" w:cs="Times New Roman"/>
        </w:rPr>
      </w:pPr>
      <w:r w:rsidRPr="00E64C36">
        <w:rPr>
          <w:rFonts w:ascii="Times New Roman" w:hAnsi="Times New Roman" w:cs="Times New Roman"/>
          <w:noProof/>
          <w:lang w:eastAsia="en-GB"/>
        </w:rPr>
        <w:lastRenderedPageBreak/>
        <w:drawing>
          <wp:inline distT="0" distB="0" distL="0" distR="0" wp14:anchorId="26B736C8" wp14:editId="5DBD5D63">
            <wp:extent cx="3486637" cy="3410426"/>
            <wp:effectExtent l="0" t="0" r="0" b="0"/>
            <wp:docPr id="202447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7123" name=""/>
                    <pic:cNvPicPr/>
                  </pic:nvPicPr>
                  <pic:blipFill>
                    <a:blip r:embed="rId8"/>
                    <a:stretch>
                      <a:fillRect/>
                    </a:stretch>
                  </pic:blipFill>
                  <pic:spPr>
                    <a:xfrm>
                      <a:off x="0" y="0"/>
                      <a:ext cx="3486637" cy="3410426"/>
                    </a:xfrm>
                    <a:prstGeom prst="rect">
                      <a:avLst/>
                    </a:prstGeom>
                  </pic:spPr>
                </pic:pic>
              </a:graphicData>
            </a:graphic>
          </wp:inline>
        </w:drawing>
      </w:r>
    </w:p>
    <w:p w14:paraId="6D7249DD" w14:textId="290C7A99" w:rsidR="00E43309" w:rsidRPr="00E64C36" w:rsidRDefault="00E43309" w:rsidP="00E43309">
      <w:pPr>
        <w:pStyle w:val="Caption"/>
        <w:spacing w:line="360" w:lineRule="auto"/>
        <w:jc w:val="center"/>
        <w:rPr>
          <w:rFonts w:ascii="Times New Roman" w:hAnsi="Times New Roman" w:cs="Times New Roman"/>
          <w:sz w:val="24"/>
          <w:szCs w:val="24"/>
          <w:lang w:val="en-IN"/>
        </w:rPr>
      </w:pPr>
      <w:r w:rsidRPr="00E64C36">
        <w:rPr>
          <w:rFonts w:ascii="Times New Roman" w:hAnsi="Times New Roman" w:cs="Times New Roman"/>
          <w:sz w:val="24"/>
          <w:szCs w:val="24"/>
        </w:rPr>
        <w:t xml:space="preserve">Figure </w:t>
      </w:r>
      <w:r w:rsidRPr="00E64C36">
        <w:rPr>
          <w:rFonts w:ascii="Times New Roman" w:hAnsi="Times New Roman" w:cs="Times New Roman"/>
          <w:sz w:val="24"/>
          <w:szCs w:val="24"/>
        </w:rPr>
        <w:fldChar w:fldCharType="begin"/>
      </w:r>
      <w:r w:rsidRPr="00E64C36">
        <w:rPr>
          <w:rFonts w:ascii="Times New Roman" w:hAnsi="Times New Roman" w:cs="Times New Roman"/>
          <w:sz w:val="24"/>
          <w:szCs w:val="24"/>
        </w:rPr>
        <w:instrText xml:space="preserve"> SEQ Figure \* ARABIC </w:instrText>
      </w:r>
      <w:r w:rsidRPr="00E64C36">
        <w:rPr>
          <w:rFonts w:ascii="Times New Roman" w:hAnsi="Times New Roman" w:cs="Times New Roman"/>
          <w:sz w:val="24"/>
          <w:szCs w:val="24"/>
        </w:rPr>
        <w:fldChar w:fldCharType="separate"/>
      </w:r>
      <w:r w:rsidRPr="00E64C36">
        <w:rPr>
          <w:rFonts w:ascii="Times New Roman" w:hAnsi="Times New Roman" w:cs="Times New Roman"/>
          <w:noProof/>
          <w:sz w:val="24"/>
          <w:szCs w:val="24"/>
        </w:rPr>
        <w:t>3</w:t>
      </w:r>
      <w:r w:rsidRPr="00E64C36">
        <w:rPr>
          <w:rFonts w:ascii="Times New Roman" w:hAnsi="Times New Roman" w:cs="Times New Roman"/>
          <w:sz w:val="24"/>
          <w:szCs w:val="24"/>
        </w:rPr>
        <w:fldChar w:fldCharType="end"/>
      </w:r>
      <w:r w:rsidRPr="00E64C36">
        <w:rPr>
          <w:rFonts w:ascii="Times New Roman" w:hAnsi="Times New Roman" w:cs="Times New Roman"/>
          <w:sz w:val="24"/>
          <w:szCs w:val="24"/>
          <w:lang w:val="en-IN"/>
        </w:rPr>
        <w:t xml:space="preserve"> Ansoff Matrix</w:t>
      </w:r>
    </w:p>
    <w:p w14:paraId="387C4FD8" w14:textId="205B5FF9" w:rsidR="00E43309" w:rsidRPr="00E64C36" w:rsidRDefault="00E43309" w:rsidP="00E43309">
      <w:pPr>
        <w:spacing w:line="360" w:lineRule="auto"/>
        <w:jc w:val="center"/>
        <w:rPr>
          <w:rFonts w:ascii="Times New Roman" w:hAnsi="Times New Roman" w:cs="Times New Roman"/>
        </w:rPr>
      </w:pPr>
      <w:r w:rsidRPr="00E64C36">
        <w:rPr>
          <w:rFonts w:ascii="Times New Roman" w:hAnsi="Times New Roman" w:cs="Times New Roman"/>
        </w:rPr>
        <w:t>(</w:t>
      </w:r>
      <w:proofErr w:type="gramStart"/>
      <w:r w:rsidRPr="00E64C36">
        <w:rPr>
          <w:rFonts w:ascii="Times New Roman" w:hAnsi="Times New Roman" w:cs="Times New Roman"/>
        </w:rPr>
        <w:t>Source :</w:t>
      </w:r>
      <w:proofErr w:type="gramEnd"/>
      <w:r w:rsidRPr="00E64C36">
        <w:rPr>
          <w:rFonts w:ascii="Times New Roman" w:hAnsi="Times New Roman" w:cs="Times New Roman"/>
        </w:rPr>
        <w:t xml:space="preserve"> Patra and Bharatiya, 2020)</w:t>
      </w:r>
    </w:p>
    <w:p w14:paraId="43DE8744"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In the case of Nintendo, the market penetration has been done mainly by the achievement of the Nintendo Switch ecosystem. Popular first-party games like Mario Kart 8 Deluxe and Animal Crossing: New Horizons have helped the Switch platform to gain a huge number of users across the world. They have led to a robust sales of software with over 1.5 billion copies of the games sold to the Switch platform by 2025 (Statista, 2025).</w:t>
      </w:r>
    </w:p>
    <w:p w14:paraId="4AF80EF3"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Nintendo is also striving to develop products based on new gaming technologies like motion controls and hybrid consoles. The motion gaming with the </w:t>
      </w:r>
      <w:proofErr w:type="spellStart"/>
      <w:r w:rsidRPr="00E64C36">
        <w:rPr>
          <w:rFonts w:ascii="Times New Roman" w:hAnsi="Times New Roman" w:cs="Times New Roman"/>
          <w:lang w:val="en-IN" w:eastAsia="en-GB"/>
        </w:rPr>
        <w:t>wii</w:t>
      </w:r>
      <w:proofErr w:type="spellEnd"/>
      <w:r w:rsidRPr="00E64C36">
        <w:rPr>
          <w:rFonts w:ascii="Times New Roman" w:hAnsi="Times New Roman" w:cs="Times New Roman"/>
          <w:lang w:val="en-IN" w:eastAsia="en-GB"/>
        </w:rPr>
        <w:t xml:space="preserve"> and the hybrid gaming with the switch show that Nintendo is interested in creating new gaming experiences.</w:t>
      </w:r>
    </w:p>
    <w:p w14:paraId="2962528D"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Moreover, Nintendo has ventured into diversification, such as entertainment media. As an example, due to the Super Mario Bros. Movie, Nintendo was able to broaden their intellectual property into the movie industry, generating new sources of revenue other than through the gaming business.</w:t>
      </w:r>
    </w:p>
    <w:p w14:paraId="3C05AFA2"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 xml:space="preserve">The Sony growth strategy in the Ansoff Matrix is more market penetration and product development oriented. The market penetration can be realized with the further development of the PlayStation ecosystem consisting of the hardware sales, the digital services, and the subscription </w:t>
      </w:r>
      <w:r w:rsidRPr="00E64C36">
        <w:rPr>
          <w:rFonts w:ascii="Times New Roman" w:hAnsi="Times New Roman" w:cs="Times New Roman"/>
          <w:lang w:val="en-IN" w:eastAsia="en-GB"/>
        </w:rPr>
        <w:lastRenderedPageBreak/>
        <w:t>plans. PlayStation Network helps Sony to keep a high level of interaction with its user base and earn recurrent revenues on digital services (</w:t>
      </w:r>
      <w:proofErr w:type="spellStart"/>
      <w:r w:rsidRPr="00E64C36">
        <w:rPr>
          <w:rFonts w:ascii="Times New Roman" w:hAnsi="Times New Roman" w:cs="Times New Roman"/>
          <w:lang w:val="en-IN" w:eastAsia="en-GB"/>
        </w:rPr>
        <w:t>Lantano</w:t>
      </w:r>
      <w:proofErr w:type="spellEnd"/>
      <w:r w:rsidRPr="00E64C36">
        <w:rPr>
          <w:rFonts w:ascii="Times New Roman" w:hAnsi="Times New Roman" w:cs="Times New Roman"/>
          <w:lang w:val="en-IN" w:eastAsia="en-GB"/>
        </w:rPr>
        <w:t xml:space="preserve">, </w:t>
      </w:r>
      <w:proofErr w:type="spellStart"/>
      <w:r w:rsidRPr="00E64C36">
        <w:rPr>
          <w:rFonts w:ascii="Times New Roman" w:hAnsi="Times New Roman" w:cs="Times New Roman"/>
          <w:lang w:val="en-IN" w:eastAsia="en-GB"/>
        </w:rPr>
        <w:t>Petruzzelli</w:t>
      </w:r>
      <w:proofErr w:type="spellEnd"/>
      <w:r w:rsidRPr="00E64C36">
        <w:rPr>
          <w:rFonts w:ascii="Times New Roman" w:hAnsi="Times New Roman" w:cs="Times New Roman"/>
          <w:lang w:val="en-IN" w:eastAsia="en-GB"/>
        </w:rPr>
        <w:t xml:space="preserve"> and </w:t>
      </w:r>
      <w:proofErr w:type="spellStart"/>
      <w:r w:rsidRPr="00E64C36">
        <w:rPr>
          <w:rFonts w:ascii="Times New Roman" w:hAnsi="Times New Roman" w:cs="Times New Roman"/>
          <w:lang w:val="en-IN" w:eastAsia="en-GB"/>
        </w:rPr>
        <w:t>Panniello</w:t>
      </w:r>
      <w:proofErr w:type="spellEnd"/>
      <w:r w:rsidRPr="00E64C36">
        <w:rPr>
          <w:rFonts w:ascii="Times New Roman" w:hAnsi="Times New Roman" w:cs="Times New Roman"/>
          <w:lang w:val="en-IN" w:eastAsia="en-GB"/>
        </w:rPr>
        <w:t>, 2022).</w:t>
      </w:r>
    </w:p>
    <w:p w14:paraId="412FAD79" w14:textId="77777777" w:rsidR="002C07E2"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Technological innovation is another way Sony is developing its products. The launch of PlayStation VR2 is the attempt by Sony to push the gaming into the realm of virtual reality. Although the gaming industry has many potential future growth areas, VR gaming is seen as one of them.</w:t>
      </w:r>
    </w:p>
    <w:p w14:paraId="03D7081F" w14:textId="012CFAED" w:rsidR="0057382A" w:rsidRPr="00E64C36" w:rsidRDefault="002C07E2" w:rsidP="002C07E2">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Market development, especially via cloud gaming services and digital platforms, is another key strategy that Sony would employ. Cloud gaming enables users to play games without having to purchase costly hardware, broadening the range of users of gaming services.</w:t>
      </w:r>
    </w:p>
    <w:p w14:paraId="3EAE1691" w14:textId="77777777" w:rsidR="0057382A" w:rsidRPr="00E64C36" w:rsidRDefault="0057382A" w:rsidP="0057382A">
      <w:pPr>
        <w:pStyle w:val="Heading1"/>
      </w:pPr>
      <w:bookmarkStart w:id="11" w:name="_Toc224211548"/>
      <w:r w:rsidRPr="00E64C36">
        <w:t>5. Competitive Position Comparison</w:t>
      </w:r>
      <w:bookmarkEnd w:id="11"/>
    </w:p>
    <w:p w14:paraId="1538AF60" w14:textId="77777777" w:rsidR="00ED4091" w:rsidRPr="00E64C36" w:rsidRDefault="00ED4091"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Competitive standings of Nintendo and Sony are the indicators of radically different strategic directions in the gaming market.</w:t>
      </w:r>
    </w:p>
    <w:p w14:paraId="3AACC2C1" w14:textId="7D0F1E39" w:rsidR="00ED4091" w:rsidRPr="00E64C36" w:rsidRDefault="00E64C36" w:rsidP="00ED4091">
      <w:pPr>
        <w:spacing w:line="360" w:lineRule="auto"/>
        <w:jc w:val="both"/>
        <w:rPr>
          <w:rFonts w:ascii="Times New Roman" w:hAnsi="Times New Roman" w:cs="Times New Roman"/>
          <w:lang w:val="en-IN" w:eastAsia="en-GB"/>
        </w:rPr>
      </w:pPr>
      <w:r w:rsidRPr="00E64C36">
        <w:rPr>
          <w:rFonts w:ascii="Times New Roman" w:hAnsi="Times New Roman" w:cs="Times New Roman"/>
          <w:lang w:eastAsia="en-GB"/>
        </w:rPr>
        <w:t xml:space="preserve">Nintendo has the ability to create differentiated and innovative gaming experiences and this is its competitive advantage. The focus on thought provoking game plays, family entertainment, and strong intellectual property brands such as Mario, Zelda and </w:t>
      </w:r>
      <w:proofErr w:type="spellStart"/>
      <w:r w:rsidRPr="00E64C36">
        <w:rPr>
          <w:rFonts w:ascii="Times New Roman" w:hAnsi="Times New Roman" w:cs="Times New Roman"/>
          <w:lang w:eastAsia="en-GB"/>
        </w:rPr>
        <w:t>Pokemon</w:t>
      </w:r>
      <w:proofErr w:type="spellEnd"/>
      <w:r w:rsidRPr="00E64C36">
        <w:rPr>
          <w:rFonts w:ascii="Times New Roman" w:hAnsi="Times New Roman" w:cs="Times New Roman"/>
          <w:lang w:eastAsia="en-GB"/>
        </w:rPr>
        <w:t xml:space="preserve"> has enabled Nintendo to differentiate its consoles amongst others. Such a tactic proves effective insofar as over 155 million of Nintendo Switch units sold across the globe (Robinson, 2026).</w:t>
      </w:r>
    </w:p>
    <w:p w14:paraId="11F3FEDD" w14:textId="46C6ECC3" w:rsidR="0057382A" w:rsidRPr="00E64C36" w:rsidRDefault="00E64C36" w:rsidP="00ED4091">
      <w:pPr>
        <w:spacing w:line="360" w:lineRule="auto"/>
        <w:jc w:val="both"/>
        <w:rPr>
          <w:rFonts w:ascii="Times New Roman" w:hAnsi="Times New Roman" w:cs="Times New Roman"/>
          <w:lang w:eastAsia="en-GB"/>
        </w:rPr>
      </w:pPr>
      <w:r w:rsidRPr="00E64C36">
        <w:rPr>
          <w:rFonts w:ascii="Times New Roman" w:hAnsi="Times New Roman" w:cs="Times New Roman"/>
          <w:lang w:eastAsia="en-GB"/>
        </w:rPr>
        <w:t xml:space="preserve">On the other hand, the technological leadership and high-end gaming ecosystem is what the competitive advantage of Sony hinges on. The </w:t>
      </w:r>
      <w:proofErr w:type="spellStart"/>
      <w:r w:rsidRPr="00E64C36">
        <w:rPr>
          <w:rFonts w:ascii="Times New Roman" w:hAnsi="Times New Roman" w:cs="Times New Roman"/>
          <w:lang w:eastAsia="en-GB"/>
        </w:rPr>
        <w:t>Playstation</w:t>
      </w:r>
      <w:proofErr w:type="spellEnd"/>
      <w:r w:rsidRPr="00E64C36">
        <w:rPr>
          <w:rFonts w:ascii="Times New Roman" w:hAnsi="Times New Roman" w:cs="Times New Roman"/>
          <w:lang w:eastAsia="en-GB"/>
        </w:rPr>
        <w:t xml:space="preserve"> brand is focused on high hardware ability, graphics and strong online playing infrastructure</w:t>
      </w:r>
      <w:r w:rsidR="00ED4091" w:rsidRPr="00E64C36">
        <w:rPr>
          <w:rFonts w:ascii="Times New Roman" w:hAnsi="Times New Roman" w:cs="Times New Roman"/>
          <w:lang w:val="en-IN" w:eastAsia="en-GB"/>
        </w:rPr>
        <w:t>. Sony has remained in a good place among hardcore gamers with over 92 million units of PS5 shipped worldwide</w:t>
      </w:r>
      <w:r w:rsidR="00E43309" w:rsidRPr="00E64C36">
        <w:rPr>
          <w:rFonts w:ascii="Times New Roman" w:hAnsi="Times New Roman" w:cs="Times New Roman"/>
          <w:lang w:eastAsia="en-GB"/>
        </w:rPr>
        <w:t>(Romano, 2026)</w:t>
      </w:r>
      <w:r w:rsidR="0057382A" w:rsidRPr="00E64C36">
        <w:rPr>
          <w:rFonts w:ascii="Times New Roman" w:hAnsi="Times New Roman" w:cs="Times New Roman"/>
          <w:lang w:val="en-IN" w:eastAsia="en-GB"/>
        </w:rPr>
        <w:t>.</w:t>
      </w:r>
    </w:p>
    <w:p w14:paraId="071DEC4C" w14:textId="77777777" w:rsidR="0057382A" w:rsidRPr="00E64C36" w:rsidRDefault="0057382A" w:rsidP="0057382A">
      <w:pPr>
        <w:pStyle w:val="Heading1"/>
      </w:pPr>
      <w:bookmarkStart w:id="12" w:name="_Toc224211549"/>
      <w:r w:rsidRPr="00E64C36">
        <w:t>6. Conclusion</w:t>
      </w:r>
      <w:bookmarkEnd w:id="12"/>
    </w:p>
    <w:p w14:paraId="21FED4A9" w14:textId="4194444F" w:rsidR="0057382A" w:rsidRPr="00E64C36" w:rsidRDefault="002C07E2" w:rsidP="0057382A">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t>The case study of Nintendo and Sony shows how the forces of macro-environment can influence the strategic decision-making process in the gaming industry. In the list of PESTEL forces, technological and social forces are the most significant since they directly influence innovation, consumer behaviour, and competitive forces. Technological advancements like graphics processing, cloud-based gaming, as well as online distribution systems have altered the way games are designed and being played by users. Meanwhile, social trends such as the development of global gaming communities, esports and mobile gaming have increased the gaming viewership and transformed consumer expectations.</w:t>
      </w:r>
    </w:p>
    <w:p w14:paraId="5D751F49" w14:textId="4259EBBC" w:rsidR="0057382A" w:rsidRPr="00E64C36" w:rsidRDefault="00ED4091" w:rsidP="00F126EF">
      <w:pPr>
        <w:spacing w:line="360" w:lineRule="auto"/>
        <w:jc w:val="both"/>
        <w:rPr>
          <w:rFonts w:ascii="Times New Roman" w:hAnsi="Times New Roman" w:cs="Times New Roman"/>
          <w:lang w:val="en-IN" w:eastAsia="en-GB"/>
        </w:rPr>
      </w:pPr>
      <w:r w:rsidRPr="00E64C36">
        <w:rPr>
          <w:rFonts w:ascii="Times New Roman" w:hAnsi="Times New Roman" w:cs="Times New Roman"/>
          <w:lang w:val="en-IN" w:eastAsia="en-GB"/>
        </w:rPr>
        <w:lastRenderedPageBreak/>
        <w:t xml:space="preserve">Nintendo and Sony have adopted alternative strategic moves in response to these macro forces. Nintendo is oriented on the concepts of innovation and differentiation and develops a unique gaming experience by means of technologies like motion gaming and hybrid consoles like Nintendo Switch. </w:t>
      </w:r>
      <w:r w:rsidR="0057382A" w:rsidRPr="00E64C36">
        <w:rPr>
          <w:rFonts w:ascii="Times New Roman" w:hAnsi="Times New Roman" w:cs="Times New Roman"/>
          <w:lang w:val="en-IN" w:eastAsia="en-GB"/>
        </w:rPr>
        <w:br w:type="page"/>
      </w:r>
    </w:p>
    <w:p w14:paraId="713E2868" w14:textId="77777777" w:rsidR="0057382A" w:rsidRPr="00E64C36" w:rsidRDefault="0057382A" w:rsidP="0057382A">
      <w:pPr>
        <w:pStyle w:val="Heading1"/>
      </w:pPr>
      <w:bookmarkStart w:id="13" w:name="_Toc224211550"/>
      <w:r w:rsidRPr="00E64C36">
        <w:lastRenderedPageBreak/>
        <w:t>7. References</w:t>
      </w:r>
      <w:bookmarkEnd w:id="13"/>
    </w:p>
    <w:p w14:paraId="455F0D48" w14:textId="77777777" w:rsidR="00E43309" w:rsidRPr="00E64C36" w:rsidRDefault="00E43309" w:rsidP="00E43309">
      <w:pPr>
        <w:pStyle w:val="NormalWeb"/>
        <w:spacing w:before="0" w:beforeAutospacing="0" w:after="240" w:afterAutospacing="0" w:line="360" w:lineRule="auto"/>
      </w:pPr>
      <w:proofErr w:type="spellStart"/>
      <w:r w:rsidRPr="00E64C36">
        <w:t>Azadvar</w:t>
      </w:r>
      <w:proofErr w:type="spellEnd"/>
      <w:r w:rsidRPr="00E64C36">
        <w:t xml:space="preserve">, A. and Ni, Q. (2025). Games as a Social-Cultural Medium: Motivation, Community, and Disruptive </w:t>
      </w:r>
      <w:proofErr w:type="spellStart"/>
      <w:r w:rsidRPr="00E64C36">
        <w:t>Behavior</w:t>
      </w:r>
      <w:proofErr w:type="spellEnd"/>
      <w:r w:rsidRPr="00E64C36">
        <w:t xml:space="preserve">. </w:t>
      </w:r>
      <w:r w:rsidRPr="00E64C36">
        <w:rPr>
          <w:i/>
          <w:iCs/>
        </w:rPr>
        <w:t>From Pixels to Play - The Art and Science of Video Games [Working Title]</w:t>
      </w:r>
      <w:r w:rsidRPr="00E64C36">
        <w:t xml:space="preserve">. </w:t>
      </w:r>
      <w:proofErr w:type="spellStart"/>
      <w:r w:rsidRPr="00E64C36">
        <w:t>doi:https</w:t>
      </w:r>
      <w:proofErr w:type="spellEnd"/>
      <w:r w:rsidRPr="00E64C36">
        <w:t>://doi.org/10.5772/intechopen.1011117.</w:t>
      </w:r>
    </w:p>
    <w:p w14:paraId="6A8D6FCD" w14:textId="77777777" w:rsidR="00E43309" w:rsidRPr="00E64C36" w:rsidRDefault="00E43309" w:rsidP="00E43309">
      <w:pPr>
        <w:pStyle w:val="NormalWeb"/>
        <w:spacing w:before="0" w:beforeAutospacing="0" w:after="240" w:afterAutospacing="0" w:line="360" w:lineRule="auto"/>
      </w:pPr>
      <w:proofErr w:type="spellStart"/>
      <w:r w:rsidRPr="00E64C36">
        <w:t>Buijsman</w:t>
      </w:r>
      <w:proofErr w:type="spellEnd"/>
      <w:r w:rsidRPr="00E64C36">
        <w:t xml:space="preserve">, M. (2024). </w:t>
      </w:r>
      <w:r w:rsidRPr="00E64C36">
        <w:rPr>
          <w:i/>
          <w:iCs/>
        </w:rPr>
        <w:t>The global games market will generate $187.7 billion in 2024</w:t>
      </w:r>
      <w:r w:rsidRPr="00E64C36">
        <w:t xml:space="preserve">. [online] </w:t>
      </w:r>
      <w:proofErr w:type="spellStart"/>
      <w:r w:rsidRPr="00E64C36">
        <w:t>Newzoo</w:t>
      </w:r>
      <w:proofErr w:type="spellEnd"/>
      <w:r w:rsidRPr="00E64C36">
        <w:t>. Available at: https://newzoo.com/resources/blog/global-games-market-revenue-estimates-and-forecasts-in-2024 [Accessed 12 Mar. 2026].</w:t>
      </w:r>
    </w:p>
    <w:p w14:paraId="4F06F3D9" w14:textId="77777777" w:rsidR="00E43309" w:rsidRPr="00E64C36" w:rsidRDefault="00E43309" w:rsidP="00E43309">
      <w:pPr>
        <w:pStyle w:val="NormalWeb"/>
        <w:spacing w:before="0" w:beforeAutospacing="0" w:after="240" w:afterAutospacing="0" w:line="360" w:lineRule="auto"/>
      </w:pPr>
      <w:r w:rsidRPr="00E64C36">
        <w:t xml:space="preserve">Byshonkov, D. (2024). </w:t>
      </w:r>
      <w:proofErr w:type="spellStart"/>
      <w:r w:rsidRPr="00E64C36">
        <w:rPr>
          <w:i/>
          <w:iCs/>
        </w:rPr>
        <w:t>devtodev</w:t>
      </w:r>
      <w:proofErr w:type="spellEnd"/>
      <w:r w:rsidRPr="00E64C36">
        <w:rPr>
          <w:i/>
          <w:iCs/>
        </w:rPr>
        <w:t xml:space="preserve"> | Game Market Overview. The Most Important Reports Published in May 2024</w:t>
      </w:r>
      <w:r w:rsidRPr="00E64C36">
        <w:t>. [online] Devtodev.com. Available at: https://www.devtodev.com/resources/articles/game-market-overview-the-most-important-reports-published-in-may-2024 [Accessed 12 Mar. 2026].</w:t>
      </w:r>
    </w:p>
    <w:p w14:paraId="58C5A6A5" w14:textId="77777777" w:rsidR="00E43309" w:rsidRPr="00E64C36" w:rsidRDefault="00E43309" w:rsidP="00E43309">
      <w:pPr>
        <w:pStyle w:val="NormalWeb"/>
        <w:spacing w:before="0" w:beforeAutospacing="0" w:after="240" w:afterAutospacing="0" w:line="360" w:lineRule="auto"/>
      </w:pPr>
      <w:r w:rsidRPr="00E64C36">
        <w:t xml:space="preserve">Chung, T., Sum, S., Chan, M., Lai, E. and Cheng, N. (2019). Will esports result in a higher prevalence of problematic gaming? A review of the global situation. </w:t>
      </w:r>
      <w:r w:rsidRPr="00E64C36">
        <w:rPr>
          <w:i/>
          <w:iCs/>
        </w:rPr>
        <w:t xml:space="preserve">Journal of </w:t>
      </w:r>
      <w:proofErr w:type="spellStart"/>
      <w:r w:rsidRPr="00E64C36">
        <w:rPr>
          <w:i/>
          <w:iCs/>
        </w:rPr>
        <w:t>Behavioral</w:t>
      </w:r>
      <w:proofErr w:type="spellEnd"/>
      <w:r w:rsidRPr="00E64C36">
        <w:rPr>
          <w:i/>
          <w:iCs/>
        </w:rPr>
        <w:t xml:space="preserve"> Addictions</w:t>
      </w:r>
      <w:r w:rsidRPr="00E64C36">
        <w:t xml:space="preserve">, 8(3), pp.384–394. </w:t>
      </w:r>
      <w:proofErr w:type="spellStart"/>
      <w:r w:rsidRPr="00E64C36">
        <w:t>doi:https</w:t>
      </w:r>
      <w:proofErr w:type="spellEnd"/>
      <w:r w:rsidRPr="00E64C36">
        <w:t>://doi.org/10.1556/2006.8.2019.46.</w:t>
      </w:r>
    </w:p>
    <w:p w14:paraId="3196E77A" w14:textId="77777777" w:rsidR="00E43309" w:rsidRPr="00E64C36" w:rsidRDefault="00E43309" w:rsidP="00E43309">
      <w:pPr>
        <w:pStyle w:val="NormalWeb"/>
        <w:spacing w:before="0" w:beforeAutospacing="0" w:after="240" w:afterAutospacing="0" w:line="360" w:lineRule="auto"/>
      </w:pPr>
      <w:r w:rsidRPr="00E64C36">
        <w:t xml:space="preserve">Crichton-Stuart, E. (2025). </w:t>
      </w:r>
      <w:r w:rsidRPr="00E64C36">
        <w:rPr>
          <w:i/>
          <w:iCs/>
        </w:rPr>
        <w:t>Gaming Market Hit $197 Billion in 2025</w:t>
      </w:r>
      <w:r w:rsidRPr="00E64C36">
        <w:t>. [online] GAMES.GG. Available at: https://games.gg/news/gaming-market-hit-197-billion-in-2025/ [Accessed 12 Mar. 2026].</w:t>
      </w:r>
    </w:p>
    <w:p w14:paraId="053AFD81" w14:textId="77777777" w:rsidR="00E43309" w:rsidRPr="00E64C36" w:rsidRDefault="00E43309" w:rsidP="00E43309">
      <w:pPr>
        <w:pStyle w:val="NormalWeb"/>
        <w:spacing w:before="0" w:beforeAutospacing="0" w:after="240" w:afterAutospacing="0" w:line="360" w:lineRule="auto"/>
      </w:pPr>
      <w:r w:rsidRPr="00E64C36">
        <w:t xml:space="preserve">Feng, Z., Luo, N., Wu, S. and Yan, Z.J. (2025). Trade-in marketing strategies in gaming industry: The effect of digital transformation. </w:t>
      </w:r>
      <w:r w:rsidRPr="00E64C36">
        <w:rPr>
          <w:i/>
          <w:iCs/>
        </w:rPr>
        <w:t>Electronic Markets</w:t>
      </w:r>
      <w:r w:rsidRPr="00E64C36">
        <w:t xml:space="preserve">, 35(1). </w:t>
      </w:r>
      <w:proofErr w:type="spellStart"/>
      <w:r w:rsidRPr="00E64C36">
        <w:t>doi:https</w:t>
      </w:r>
      <w:proofErr w:type="spellEnd"/>
      <w:r w:rsidRPr="00E64C36">
        <w:t>://doi.org/10.1007/s12525-025-00800-z.</w:t>
      </w:r>
    </w:p>
    <w:p w14:paraId="431BEA98" w14:textId="77777777" w:rsidR="00E43309" w:rsidRPr="00E64C36" w:rsidRDefault="00E43309" w:rsidP="00E43309">
      <w:pPr>
        <w:pStyle w:val="NormalWeb"/>
        <w:spacing w:before="0" w:beforeAutospacing="0" w:after="240" w:afterAutospacing="0" w:line="360" w:lineRule="auto"/>
      </w:pPr>
      <w:r w:rsidRPr="00E64C36">
        <w:t xml:space="preserve">Grand View Research (2020). </w:t>
      </w:r>
      <w:r w:rsidRPr="00E64C36">
        <w:rPr>
          <w:i/>
          <w:iCs/>
        </w:rPr>
        <w:t>Video Game Market Size, Share | Industry Report, 2020-2027</w:t>
      </w:r>
      <w:r w:rsidRPr="00E64C36">
        <w:t>. [online] www.grandviewresearch.com. Available at: https://www.grandviewresearch.com/industry-analysis/video-game-market [Accessed 12 Mar. 2026].</w:t>
      </w:r>
    </w:p>
    <w:p w14:paraId="2103B3EB" w14:textId="77777777" w:rsidR="00E43309" w:rsidRPr="00E64C36" w:rsidRDefault="00E43309" w:rsidP="00E43309">
      <w:pPr>
        <w:pStyle w:val="NormalWeb"/>
        <w:spacing w:before="0" w:beforeAutospacing="0" w:after="240" w:afterAutospacing="0" w:line="360" w:lineRule="auto"/>
      </w:pPr>
      <w:r w:rsidRPr="00E64C36">
        <w:t xml:space="preserve">Huang, J. (2025). Competition and Marketing Strategies of Leading Gaming Console Platforms: A Comparative Study of Sony, Microsoft, and Nintendo. </w:t>
      </w:r>
      <w:r w:rsidRPr="00E64C36">
        <w:rPr>
          <w:i/>
          <w:iCs/>
        </w:rPr>
        <w:t xml:space="preserve">Advances in Economics, Management </w:t>
      </w:r>
      <w:r w:rsidRPr="00E64C36">
        <w:rPr>
          <w:i/>
          <w:iCs/>
        </w:rPr>
        <w:lastRenderedPageBreak/>
        <w:t>and Political Sciences</w:t>
      </w:r>
      <w:r w:rsidRPr="00E64C36">
        <w:t xml:space="preserve">, 232(1), pp.221–225. </w:t>
      </w:r>
      <w:proofErr w:type="spellStart"/>
      <w:r w:rsidRPr="00E64C36">
        <w:t>doi:https</w:t>
      </w:r>
      <w:proofErr w:type="spellEnd"/>
      <w:r w:rsidRPr="00E64C36">
        <w:t>://doi.org/10.54254/2754-1169/2025.gl28916.</w:t>
      </w:r>
    </w:p>
    <w:p w14:paraId="261A0B06" w14:textId="77777777" w:rsidR="00E43309" w:rsidRPr="00E64C36" w:rsidRDefault="00E43309" w:rsidP="00E43309">
      <w:pPr>
        <w:pStyle w:val="NormalWeb"/>
        <w:spacing w:before="0" w:beforeAutospacing="0" w:after="240" w:afterAutospacing="0" w:line="360" w:lineRule="auto"/>
      </w:pPr>
      <w:r w:rsidRPr="00E64C36">
        <w:t xml:space="preserve">Islami, X., Mustafa, N. and </w:t>
      </w:r>
      <w:proofErr w:type="spellStart"/>
      <w:r w:rsidRPr="00E64C36">
        <w:t>Latkovikj</w:t>
      </w:r>
      <w:proofErr w:type="spellEnd"/>
      <w:r w:rsidRPr="00E64C36">
        <w:t xml:space="preserve">, M.T. (2020). Linking porter’s generic strategies to firm performance. </w:t>
      </w:r>
      <w:r w:rsidRPr="00E64C36">
        <w:rPr>
          <w:i/>
          <w:iCs/>
        </w:rPr>
        <w:t>Future Business Journal</w:t>
      </w:r>
      <w:r w:rsidRPr="00E64C36">
        <w:t xml:space="preserve">, [online] 6(1), pp.1–15. </w:t>
      </w:r>
      <w:proofErr w:type="spellStart"/>
      <w:r w:rsidRPr="00E64C36">
        <w:t>doi:https</w:t>
      </w:r>
      <w:proofErr w:type="spellEnd"/>
      <w:r w:rsidRPr="00E64C36">
        <w:t>://doi.org/10.1186/s43093-020-0009-1.</w:t>
      </w:r>
    </w:p>
    <w:p w14:paraId="5025B80D" w14:textId="77777777" w:rsidR="00E43309" w:rsidRPr="00E64C36" w:rsidRDefault="00E43309" w:rsidP="00E43309">
      <w:pPr>
        <w:pStyle w:val="NormalWeb"/>
        <w:spacing w:before="0" w:beforeAutospacing="0" w:after="240" w:afterAutospacing="0" w:line="360" w:lineRule="auto"/>
      </w:pPr>
      <w:r w:rsidRPr="00E64C36">
        <w:t xml:space="preserve">Jacinto, A. and Flores, F. (2025). Nintendo and the Blue Ocean Strategy: Designing the Four Actions Matrix. </w:t>
      </w:r>
      <w:r w:rsidRPr="00E64C36">
        <w:rPr>
          <w:i/>
          <w:iCs/>
        </w:rPr>
        <w:t>Mercados y Negocios</w:t>
      </w:r>
      <w:r w:rsidRPr="00E64C36">
        <w:t xml:space="preserve">, [online] 26(55), pp.83–106. </w:t>
      </w:r>
      <w:proofErr w:type="spellStart"/>
      <w:r w:rsidRPr="00E64C36">
        <w:t>doi:https</w:t>
      </w:r>
      <w:proofErr w:type="spellEnd"/>
      <w:r w:rsidRPr="00E64C36">
        <w:t>://doi.org/10.32870/myn.vi55.7813.</w:t>
      </w:r>
    </w:p>
    <w:p w14:paraId="5212A084" w14:textId="77777777" w:rsidR="00E43309" w:rsidRPr="00E64C36" w:rsidRDefault="00E43309" w:rsidP="00E43309">
      <w:pPr>
        <w:pStyle w:val="NormalWeb"/>
        <w:spacing w:before="0" w:beforeAutospacing="0" w:after="240" w:afterAutospacing="0" w:line="360" w:lineRule="auto"/>
      </w:pPr>
      <w:r w:rsidRPr="00E64C36">
        <w:t xml:space="preserve">Kondo, H. (2025). Nintendo’s Technological Adaptation and Sustainable Competitive Advantage: The Switch Changed the Future of the Game Industry and Nintendo’s Strategy. </w:t>
      </w:r>
      <w:r w:rsidRPr="00E64C36">
        <w:rPr>
          <w:i/>
          <w:iCs/>
        </w:rPr>
        <w:t>Strategic Management and Innovation Strategies</w:t>
      </w:r>
      <w:r w:rsidRPr="00E64C36">
        <w:t xml:space="preserve">, pp.183–226. </w:t>
      </w:r>
      <w:proofErr w:type="spellStart"/>
      <w:r w:rsidRPr="00E64C36">
        <w:t>doi:https</w:t>
      </w:r>
      <w:proofErr w:type="spellEnd"/>
      <w:r w:rsidRPr="00E64C36">
        <w:t>://doi.org/10.1007/978-981-96-8437-3_8.</w:t>
      </w:r>
    </w:p>
    <w:p w14:paraId="2FA4C0F8" w14:textId="77777777" w:rsidR="00E43309" w:rsidRPr="00E64C36" w:rsidRDefault="00E43309" w:rsidP="00E43309">
      <w:pPr>
        <w:pStyle w:val="NormalWeb"/>
        <w:spacing w:before="0" w:beforeAutospacing="0" w:after="240" w:afterAutospacing="0" w:line="360" w:lineRule="auto"/>
      </w:pPr>
      <w:proofErr w:type="spellStart"/>
      <w:r w:rsidRPr="00E64C36">
        <w:t>Lantano</w:t>
      </w:r>
      <w:proofErr w:type="spellEnd"/>
      <w:r w:rsidRPr="00E64C36">
        <w:t xml:space="preserve">, F., Petruzzelli, A.M. and </w:t>
      </w:r>
      <w:proofErr w:type="spellStart"/>
      <w:r w:rsidRPr="00E64C36">
        <w:t>Panniello</w:t>
      </w:r>
      <w:proofErr w:type="spellEnd"/>
      <w:r w:rsidRPr="00E64C36">
        <w:t xml:space="preserve">, U. (2022). Business model innovation in video-game consoles to face the threats of mobile gaming: Evidence from the case of Sony PlayStation. </w:t>
      </w:r>
      <w:r w:rsidRPr="00E64C36">
        <w:rPr>
          <w:i/>
          <w:iCs/>
        </w:rPr>
        <w:t>Technological Forecasting and Social Change</w:t>
      </w:r>
      <w:r w:rsidRPr="00E64C36">
        <w:t xml:space="preserve">, 174(0040-1625), p.121210. </w:t>
      </w:r>
      <w:proofErr w:type="spellStart"/>
      <w:r w:rsidRPr="00E64C36">
        <w:t>doi:https</w:t>
      </w:r>
      <w:proofErr w:type="spellEnd"/>
      <w:r w:rsidRPr="00E64C36">
        <w:t>://doi.org/10.1016/j.techfore.2021.121210.</w:t>
      </w:r>
    </w:p>
    <w:p w14:paraId="5E8BBBD7" w14:textId="77777777" w:rsidR="00E43309" w:rsidRPr="00E64C36" w:rsidRDefault="00E43309" w:rsidP="00E43309">
      <w:pPr>
        <w:pStyle w:val="NormalWeb"/>
        <w:spacing w:before="0" w:beforeAutospacing="0" w:after="240" w:afterAutospacing="0" w:line="360" w:lineRule="auto"/>
      </w:pPr>
      <w:r w:rsidRPr="00E64C36">
        <w:t xml:space="preserve">Patra, R. and Bharatiya, V. (2020). </w:t>
      </w:r>
      <w:r w:rsidRPr="00E64C36">
        <w:rPr>
          <w:i/>
          <w:iCs/>
        </w:rPr>
        <w:t>A study on Ansoff Matrix Technique: As a growth strategy and an adaptive learning technique adopted in the leading brand of products</w:t>
      </w:r>
      <w:r w:rsidRPr="00E64C36">
        <w:t>. [online] Available at: https://bimskol.org/pdf/E-copy-BIMS-Journal-Management-Kolkata-Vol5-Issue-1-July-2020.pdf#page=26.</w:t>
      </w:r>
    </w:p>
    <w:p w14:paraId="31B20777" w14:textId="77777777" w:rsidR="00E43309" w:rsidRPr="00E64C36" w:rsidRDefault="00E43309" w:rsidP="00E43309">
      <w:pPr>
        <w:pStyle w:val="NormalWeb"/>
        <w:spacing w:before="0" w:beforeAutospacing="0" w:after="240" w:afterAutospacing="0" w:line="360" w:lineRule="auto"/>
      </w:pPr>
      <w:r w:rsidRPr="00E64C36">
        <w:t xml:space="preserve">Peddie, J. (2022). Game Console GPUs. pp.187–237. </w:t>
      </w:r>
      <w:proofErr w:type="spellStart"/>
      <w:r w:rsidRPr="00E64C36">
        <w:t>doi:https</w:t>
      </w:r>
      <w:proofErr w:type="spellEnd"/>
      <w:r w:rsidRPr="00E64C36">
        <w:t>://doi.org/10.1007/978-3-031-14047-1_4.</w:t>
      </w:r>
    </w:p>
    <w:p w14:paraId="15D52A56" w14:textId="77777777" w:rsidR="00E43309" w:rsidRPr="00E64C36" w:rsidRDefault="00E43309" w:rsidP="00E43309">
      <w:pPr>
        <w:pStyle w:val="NormalWeb"/>
        <w:spacing w:before="0" w:beforeAutospacing="0" w:after="240" w:afterAutospacing="0" w:line="360" w:lineRule="auto"/>
      </w:pPr>
      <w:r w:rsidRPr="00E64C36">
        <w:t xml:space="preserve">Pérez, C., </w:t>
      </w:r>
      <w:proofErr w:type="spellStart"/>
      <w:r w:rsidRPr="00E64C36">
        <w:t>Verón</w:t>
      </w:r>
      <w:proofErr w:type="spellEnd"/>
      <w:r w:rsidRPr="00E64C36">
        <w:t xml:space="preserve">, J., García, F., Ángeles, M.M., Calero, C. and Cetina, C. (2024). A Comparative Analysis of Energy Consumption Between The Widespread Unreal and Unity Video Game Engines. </w:t>
      </w:r>
      <w:proofErr w:type="spellStart"/>
      <w:r w:rsidRPr="00E64C36">
        <w:rPr>
          <w:i/>
          <w:iCs/>
        </w:rPr>
        <w:t>arXiv</w:t>
      </w:r>
      <w:proofErr w:type="spellEnd"/>
      <w:r w:rsidRPr="00E64C36">
        <w:rPr>
          <w:i/>
          <w:iCs/>
        </w:rPr>
        <w:t xml:space="preserve"> (Cornell University)</w:t>
      </w:r>
      <w:r w:rsidRPr="00E64C36">
        <w:t xml:space="preserve">. </w:t>
      </w:r>
      <w:proofErr w:type="spellStart"/>
      <w:r w:rsidRPr="00E64C36">
        <w:t>doi:https</w:t>
      </w:r>
      <w:proofErr w:type="spellEnd"/>
      <w:r w:rsidRPr="00E64C36">
        <w:t>://doi.org/10.48550/arxiv.2402.06346.</w:t>
      </w:r>
    </w:p>
    <w:p w14:paraId="2DC5F15F" w14:textId="77777777" w:rsidR="00E43309" w:rsidRPr="00E64C36" w:rsidRDefault="00E43309" w:rsidP="00E43309">
      <w:pPr>
        <w:pStyle w:val="NormalWeb"/>
        <w:spacing w:before="0" w:beforeAutospacing="0" w:after="240" w:afterAutospacing="0" w:line="360" w:lineRule="auto"/>
      </w:pPr>
      <w:r w:rsidRPr="00E64C36">
        <w:t xml:space="preserve">Ponza, E. (2024). Analysis of Innovation in the Video Game Industry. </w:t>
      </w:r>
      <w:r w:rsidRPr="00E64C36">
        <w:rPr>
          <w:i/>
          <w:iCs/>
        </w:rPr>
        <w:t>Unive.it</w:t>
      </w:r>
      <w:r w:rsidRPr="00E64C36">
        <w:t xml:space="preserve">. [online] </w:t>
      </w:r>
      <w:proofErr w:type="spellStart"/>
      <w:r w:rsidRPr="00E64C36">
        <w:t>doi:https</w:t>
      </w:r>
      <w:proofErr w:type="spellEnd"/>
      <w:r w:rsidRPr="00E64C36">
        <w:t>://hdl.handle.net/20.500.14247/2249.</w:t>
      </w:r>
    </w:p>
    <w:p w14:paraId="1DC991F8" w14:textId="77777777" w:rsidR="00E43309" w:rsidRPr="00E64C36" w:rsidRDefault="00E43309" w:rsidP="00E43309">
      <w:pPr>
        <w:pStyle w:val="NormalWeb"/>
        <w:spacing w:before="0" w:beforeAutospacing="0" w:after="240" w:afterAutospacing="0" w:line="360" w:lineRule="auto"/>
      </w:pPr>
      <w:r w:rsidRPr="00E64C36">
        <w:lastRenderedPageBreak/>
        <w:t xml:space="preserve">Robinson, A. (2026). </w:t>
      </w:r>
      <w:r w:rsidRPr="00E64C36">
        <w:rPr>
          <w:i/>
          <w:iCs/>
        </w:rPr>
        <w:t>Switch is officially Nintendo’s best-selling console ever, overtaking DS</w:t>
      </w:r>
      <w:r w:rsidRPr="00E64C36">
        <w:t>. [online] VGC. Available at: https://www.videogameschronicle.com/news/switch-is-officially-nintendos-best-selling-console-ever-overtaking-ds [Accessed 12 Mar. 2026].</w:t>
      </w:r>
    </w:p>
    <w:p w14:paraId="58F1A35F" w14:textId="77777777" w:rsidR="00E43309" w:rsidRPr="00E64C36" w:rsidRDefault="00E43309" w:rsidP="00E43309">
      <w:pPr>
        <w:pStyle w:val="NormalWeb"/>
        <w:spacing w:before="0" w:beforeAutospacing="0" w:after="240" w:afterAutospacing="0" w:line="360" w:lineRule="auto"/>
      </w:pPr>
      <w:r w:rsidRPr="00E64C36">
        <w:t xml:space="preserve">Romano, S. (2026). </w:t>
      </w:r>
      <w:r w:rsidRPr="00E64C36">
        <w:rPr>
          <w:i/>
          <w:iCs/>
        </w:rPr>
        <w:t>PS5 shipments top 92.2 million</w:t>
      </w:r>
      <w:r w:rsidRPr="00E64C36">
        <w:t xml:space="preserve">. [online] </w:t>
      </w:r>
      <w:proofErr w:type="spellStart"/>
      <w:r w:rsidRPr="00E64C36">
        <w:t>Gematsu</w:t>
      </w:r>
      <w:proofErr w:type="spellEnd"/>
      <w:r w:rsidRPr="00E64C36">
        <w:t>. Available at: https://www.gematsu.com/2026/02/ps5-shipments-top-92-2-million [Accessed 12 Mar. 2026].</w:t>
      </w:r>
    </w:p>
    <w:p w14:paraId="491549E7" w14:textId="77777777" w:rsidR="00E43309" w:rsidRPr="00E64C36" w:rsidRDefault="00E43309" w:rsidP="00E43309">
      <w:pPr>
        <w:pStyle w:val="NormalWeb"/>
        <w:spacing w:before="0" w:beforeAutospacing="0" w:after="240" w:afterAutospacing="0" w:line="360" w:lineRule="auto"/>
      </w:pPr>
      <w:proofErr w:type="spellStart"/>
      <w:r w:rsidRPr="00E64C36">
        <w:t>Sheposh</w:t>
      </w:r>
      <w:proofErr w:type="spellEnd"/>
      <w:r w:rsidRPr="00E64C36">
        <w:t xml:space="preserve">, R. (2025). </w:t>
      </w:r>
      <w:r w:rsidRPr="00E64C36">
        <w:rPr>
          <w:i/>
          <w:iCs/>
        </w:rPr>
        <w:t>Nintendo Wii | EBSCO</w:t>
      </w:r>
      <w:r w:rsidRPr="00E64C36">
        <w:t>. [online] EBSCO Information Services, Inc. | www.ebsco.com. Available at: https://www.ebsco.com/research-starters/sports-and-leisure/nintendo-wii [Accessed 12 Mar. 2026].</w:t>
      </w:r>
    </w:p>
    <w:p w14:paraId="50C10D51" w14:textId="77777777" w:rsidR="00E43309" w:rsidRPr="00E64C36" w:rsidRDefault="00E43309" w:rsidP="00E43309">
      <w:pPr>
        <w:pStyle w:val="NormalWeb"/>
        <w:spacing w:before="0" w:beforeAutospacing="0" w:after="240" w:afterAutospacing="0" w:line="360" w:lineRule="auto"/>
      </w:pPr>
      <w:r w:rsidRPr="00E64C36">
        <w:t xml:space="preserve">Statista (2025). </w:t>
      </w:r>
      <w:r w:rsidRPr="00E64C36">
        <w:rPr>
          <w:i/>
          <w:iCs/>
        </w:rPr>
        <w:t>Best-selling Switch games 2025| Statista</w:t>
      </w:r>
      <w:r w:rsidRPr="00E64C36">
        <w:t>. [online] Statista. Available at: https://www.statista.com/statistics/868248/top-selling-nintendo-switch-titles-worldwide/?srsltid=AfmBOore0m-FiAtXgMy-PV9Wn3PE6Aoz6D8vPbQaFowZzO40WAypGZtf [Accessed 12 Mar. 2026].</w:t>
      </w:r>
    </w:p>
    <w:p w14:paraId="1928B392" w14:textId="77777777" w:rsidR="00E43309" w:rsidRPr="00E64C36" w:rsidRDefault="00E43309" w:rsidP="00E43309">
      <w:pPr>
        <w:pStyle w:val="NormalWeb"/>
        <w:spacing w:before="0" w:beforeAutospacing="0" w:after="240" w:afterAutospacing="0" w:line="360" w:lineRule="auto"/>
      </w:pPr>
      <w:r w:rsidRPr="00E64C36">
        <w:t xml:space="preserve">Wachter, B.J., Ondracek, J., Young, J., Robinson, A. and Bertsch, A. (2019). Nintendo: The Godfather of Video Games. </w:t>
      </w:r>
      <w:r w:rsidRPr="00E64C36">
        <w:rPr>
          <w:i/>
          <w:iCs/>
        </w:rPr>
        <w:t>International Journal of Business Economics and Management Research</w:t>
      </w:r>
      <w:r w:rsidRPr="00E64C36">
        <w:t>, [online] 10(8), pp.1–41. Available at: https://www.researchgate.net/publication/354224542_Nintendo_The_Godfather_of_Video_Games.</w:t>
      </w:r>
    </w:p>
    <w:p w14:paraId="497DA508" w14:textId="77777777" w:rsidR="00E43309" w:rsidRPr="00E64C36" w:rsidRDefault="00E43309" w:rsidP="00E43309">
      <w:pPr>
        <w:pStyle w:val="NormalWeb"/>
        <w:spacing w:before="0" w:beforeAutospacing="0" w:after="240" w:afterAutospacing="0" w:line="360" w:lineRule="auto"/>
      </w:pPr>
      <w:r w:rsidRPr="00E64C36">
        <w:t xml:space="preserve">Williams, D. (2026). </w:t>
      </w:r>
      <w:r w:rsidRPr="00E64C36">
        <w:rPr>
          <w:i/>
          <w:iCs/>
        </w:rPr>
        <w:t xml:space="preserve">Sony says Ghost of </w:t>
      </w:r>
      <w:proofErr w:type="spellStart"/>
      <w:r w:rsidRPr="00E64C36">
        <w:rPr>
          <w:i/>
          <w:iCs/>
        </w:rPr>
        <w:t>Yotei</w:t>
      </w:r>
      <w:proofErr w:type="spellEnd"/>
      <w:r w:rsidRPr="00E64C36">
        <w:rPr>
          <w:i/>
          <w:iCs/>
        </w:rPr>
        <w:t xml:space="preserve"> made a ‘significant contribution’ to the 8 million PS5 units that were sold in late 2025, a feat that surpassed the Nintendo Switch 2 by 1 million units</w:t>
      </w:r>
      <w:r w:rsidRPr="00E64C36">
        <w:t>. [online] TechRadar. Available at: https://www.techradar.com/gaming/sony-says-ghost-of-yotei-made-a-significant-contribution-to-the-8-million-ps5-units-that-were-sold-in-late-2025-a-feat-that-surpassed-the-nintendo-switch-2-by-1-million-units?utm_source=chatgpt.com [Accessed 12 Mar. 2026].</w:t>
      </w:r>
    </w:p>
    <w:p w14:paraId="78A10567" w14:textId="77777777" w:rsidR="0057382A" w:rsidRPr="00E64C36" w:rsidRDefault="0057382A" w:rsidP="00E43309"/>
    <w:p w14:paraId="2E043281" w14:textId="0459545D" w:rsidR="002C07E2" w:rsidRPr="00AD23F7" w:rsidRDefault="002C07E2" w:rsidP="002C07E2">
      <w:pPr>
        <w:rPr>
          <w:rFonts w:ascii="Times New Roman" w:hAnsi="Times New Roman" w:cs="Times New Roman"/>
          <w:lang w:val="en-IN" w:eastAsia="en-GB"/>
        </w:rPr>
      </w:pPr>
    </w:p>
    <w:p w14:paraId="0C7E3098" w14:textId="77777777" w:rsidR="0057382A" w:rsidRPr="0057382A" w:rsidRDefault="0057382A" w:rsidP="0057382A">
      <w:pPr>
        <w:spacing w:line="360" w:lineRule="auto"/>
        <w:jc w:val="both"/>
        <w:rPr>
          <w:rFonts w:ascii="Times New Roman" w:hAnsi="Times New Roman" w:cs="Times New Roman"/>
          <w:lang w:val="en-IN" w:eastAsia="en-GB"/>
        </w:rPr>
      </w:pPr>
    </w:p>
    <w:p w14:paraId="0047578C" w14:textId="77777777" w:rsidR="0057382A" w:rsidRPr="0057382A" w:rsidRDefault="0057382A" w:rsidP="0057382A">
      <w:pPr>
        <w:spacing w:line="360" w:lineRule="auto"/>
        <w:jc w:val="both"/>
        <w:rPr>
          <w:rFonts w:ascii="Times New Roman" w:hAnsi="Times New Roman" w:cs="Times New Roman"/>
          <w:lang w:val="en-IN" w:eastAsia="en-GB"/>
        </w:rPr>
      </w:pPr>
    </w:p>
    <w:p w14:paraId="4BF638C7" w14:textId="77777777" w:rsidR="00183E7C" w:rsidRPr="0057382A" w:rsidRDefault="00183E7C" w:rsidP="0057382A">
      <w:pPr>
        <w:spacing w:line="360" w:lineRule="auto"/>
        <w:jc w:val="both"/>
        <w:rPr>
          <w:rFonts w:ascii="Times New Roman" w:hAnsi="Times New Roman" w:cs="Times New Roman"/>
        </w:rPr>
      </w:pPr>
    </w:p>
    <w:sectPr w:rsidR="00183E7C" w:rsidRPr="0057382A" w:rsidSect="0057382A">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382A"/>
    <w:rsid w:val="000A2F0C"/>
    <w:rsid w:val="001570B5"/>
    <w:rsid w:val="00183E7C"/>
    <w:rsid w:val="001F5D74"/>
    <w:rsid w:val="0025602B"/>
    <w:rsid w:val="002C07E2"/>
    <w:rsid w:val="00351E27"/>
    <w:rsid w:val="003A1519"/>
    <w:rsid w:val="003D1327"/>
    <w:rsid w:val="0057382A"/>
    <w:rsid w:val="006458C4"/>
    <w:rsid w:val="006D59F7"/>
    <w:rsid w:val="00704709"/>
    <w:rsid w:val="007071A1"/>
    <w:rsid w:val="0077677C"/>
    <w:rsid w:val="007A73FB"/>
    <w:rsid w:val="008D2442"/>
    <w:rsid w:val="0095491C"/>
    <w:rsid w:val="00A00669"/>
    <w:rsid w:val="00A60365"/>
    <w:rsid w:val="00AD23F7"/>
    <w:rsid w:val="00AF7B06"/>
    <w:rsid w:val="00B4479C"/>
    <w:rsid w:val="00BC5BF4"/>
    <w:rsid w:val="00BE6374"/>
    <w:rsid w:val="00C86789"/>
    <w:rsid w:val="00C96C98"/>
    <w:rsid w:val="00CC04BF"/>
    <w:rsid w:val="00D8774B"/>
    <w:rsid w:val="00E27F01"/>
    <w:rsid w:val="00E43309"/>
    <w:rsid w:val="00E51578"/>
    <w:rsid w:val="00E64C36"/>
    <w:rsid w:val="00E7418B"/>
    <w:rsid w:val="00EC2614"/>
    <w:rsid w:val="00ED1661"/>
    <w:rsid w:val="00ED4091"/>
    <w:rsid w:val="00F126EF"/>
    <w:rsid w:val="00F3443E"/>
    <w:rsid w:val="00FD262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D465F"/>
  <w15:chartTrackingRefBased/>
  <w15:docId w15:val="{2116D4B0-FE07-2441-B56B-7F480EFDF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57382A"/>
    <w:pPr>
      <w:spacing w:line="360" w:lineRule="auto"/>
      <w:jc w:val="both"/>
      <w:outlineLvl w:val="0"/>
    </w:pPr>
    <w:rPr>
      <w:rFonts w:ascii="Times New Roman" w:hAnsi="Times New Roman" w:cs="Times New Roman"/>
      <w:b/>
      <w:sz w:val="32"/>
      <w:lang w:val="en-IN" w:eastAsia="en-GB"/>
    </w:rPr>
  </w:style>
  <w:style w:type="paragraph" w:styleId="Heading2">
    <w:name w:val="heading 2"/>
    <w:basedOn w:val="Heading1"/>
    <w:link w:val="Heading2Char"/>
    <w:uiPriority w:val="9"/>
    <w:qFormat/>
    <w:rsid w:val="0057382A"/>
    <w:pPr>
      <w:outlineLvl w:val="1"/>
    </w:pPr>
    <w:rPr>
      <w:b w:val="0"/>
      <w:sz w:val="26"/>
    </w:rPr>
  </w:style>
  <w:style w:type="paragraph" w:styleId="Heading3">
    <w:name w:val="heading 3"/>
    <w:basedOn w:val="Normal"/>
    <w:next w:val="Normal"/>
    <w:link w:val="Heading3Char"/>
    <w:uiPriority w:val="9"/>
    <w:semiHidden/>
    <w:unhideWhenUsed/>
    <w:qFormat/>
    <w:rsid w:val="002C07E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C07E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82A"/>
    <w:rPr>
      <w:rFonts w:ascii="Times New Roman" w:hAnsi="Times New Roman" w:cs="Times New Roman"/>
      <w:b/>
      <w:sz w:val="32"/>
      <w:lang w:eastAsia="en-GB"/>
    </w:rPr>
  </w:style>
  <w:style w:type="character" w:customStyle="1" w:styleId="Heading2Char">
    <w:name w:val="Heading 2 Char"/>
    <w:basedOn w:val="DefaultParagraphFont"/>
    <w:link w:val="Heading2"/>
    <w:uiPriority w:val="9"/>
    <w:rsid w:val="0057382A"/>
    <w:rPr>
      <w:rFonts w:ascii="Times New Roman" w:hAnsi="Times New Roman" w:cs="Times New Roman"/>
      <w:sz w:val="26"/>
      <w:lang w:eastAsia="en-GB"/>
    </w:rPr>
  </w:style>
  <w:style w:type="paragraph" w:styleId="NormalWeb">
    <w:name w:val="Normal (Web)"/>
    <w:basedOn w:val="Normal"/>
    <w:uiPriority w:val="99"/>
    <w:semiHidden/>
    <w:unhideWhenUsed/>
    <w:rsid w:val="0057382A"/>
    <w:pPr>
      <w:spacing w:before="100" w:beforeAutospacing="1" w:after="100" w:afterAutospacing="1"/>
    </w:pPr>
    <w:rPr>
      <w:rFonts w:ascii="Times New Roman" w:eastAsia="Times New Roman" w:hAnsi="Times New Roman" w:cs="Times New Roman"/>
      <w:kern w:val="0"/>
      <w:lang w:val="en-IN" w:eastAsia="en-GB"/>
      <w14:ligatures w14:val="none"/>
    </w:rPr>
  </w:style>
  <w:style w:type="paragraph" w:styleId="TOCHeading">
    <w:name w:val="TOC Heading"/>
    <w:basedOn w:val="Heading1"/>
    <w:next w:val="Normal"/>
    <w:uiPriority w:val="39"/>
    <w:unhideWhenUsed/>
    <w:qFormat/>
    <w:rsid w:val="00BE6374"/>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Cs w:val="32"/>
      <w:lang w:val="en-GB" w:bidi="hi-IN"/>
      <w14:ligatures w14:val="none"/>
    </w:rPr>
  </w:style>
  <w:style w:type="paragraph" w:styleId="TOC1">
    <w:name w:val="toc 1"/>
    <w:basedOn w:val="Normal"/>
    <w:next w:val="Normal"/>
    <w:autoRedefine/>
    <w:uiPriority w:val="39"/>
    <w:unhideWhenUsed/>
    <w:rsid w:val="00BE6374"/>
    <w:pPr>
      <w:spacing w:after="100"/>
    </w:pPr>
  </w:style>
  <w:style w:type="paragraph" w:styleId="TOC2">
    <w:name w:val="toc 2"/>
    <w:basedOn w:val="Normal"/>
    <w:next w:val="Normal"/>
    <w:autoRedefine/>
    <w:uiPriority w:val="39"/>
    <w:unhideWhenUsed/>
    <w:rsid w:val="00BE6374"/>
    <w:pPr>
      <w:spacing w:after="100"/>
      <w:ind w:left="240"/>
    </w:pPr>
  </w:style>
  <w:style w:type="character" w:styleId="Hyperlink">
    <w:name w:val="Hyperlink"/>
    <w:basedOn w:val="DefaultParagraphFont"/>
    <w:uiPriority w:val="99"/>
    <w:unhideWhenUsed/>
    <w:rsid w:val="00BE6374"/>
    <w:rPr>
      <w:color w:val="0563C1" w:themeColor="hyperlink"/>
      <w:u w:val="single"/>
    </w:rPr>
  </w:style>
  <w:style w:type="paragraph" w:styleId="Caption">
    <w:name w:val="caption"/>
    <w:basedOn w:val="Normal"/>
    <w:next w:val="Normal"/>
    <w:uiPriority w:val="35"/>
    <w:unhideWhenUsed/>
    <w:qFormat/>
    <w:rsid w:val="00BE6374"/>
    <w:pPr>
      <w:spacing w:after="200"/>
    </w:pPr>
    <w:rPr>
      <w:i/>
      <w:iCs/>
      <w:color w:val="44546A" w:themeColor="text2"/>
      <w:sz w:val="18"/>
      <w:szCs w:val="18"/>
    </w:rPr>
  </w:style>
  <w:style w:type="character" w:customStyle="1" w:styleId="Heading3Char">
    <w:name w:val="Heading 3 Char"/>
    <w:basedOn w:val="DefaultParagraphFont"/>
    <w:link w:val="Heading3"/>
    <w:uiPriority w:val="9"/>
    <w:semiHidden/>
    <w:rsid w:val="002C07E2"/>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2C07E2"/>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9755705">
      <w:bodyDiv w:val="1"/>
      <w:marLeft w:val="0"/>
      <w:marRight w:val="0"/>
      <w:marTop w:val="0"/>
      <w:marBottom w:val="0"/>
      <w:divBdr>
        <w:top w:val="none" w:sz="0" w:space="0" w:color="auto"/>
        <w:left w:val="none" w:sz="0" w:space="0" w:color="auto"/>
        <w:bottom w:val="none" w:sz="0" w:space="0" w:color="auto"/>
        <w:right w:val="none" w:sz="0" w:space="0" w:color="auto"/>
      </w:divBdr>
    </w:div>
    <w:div w:id="1959099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EF251-344E-4043-8557-1A13DFB61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3500</Words>
  <Characters>19955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23409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15</cp:revision>
  <dcterms:created xsi:type="dcterms:W3CDTF">2026-03-13T19:23:00Z</dcterms:created>
  <dcterms:modified xsi:type="dcterms:W3CDTF">2026-03-27T00:40:00Z</dcterms:modified>
  <cp:category/>
</cp:coreProperties>
</file>