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68828" w14:textId="77777777" w:rsidR="00AC65C5" w:rsidRDefault="00AC65C5">
      <w:pPr>
        <w:rPr>
          <w:b/>
          <w:sz w:val="28"/>
        </w:rPr>
      </w:pPr>
    </w:p>
    <w:p w14:paraId="75CEC2B8" w14:textId="123A1119" w:rsidR="00E87783" w:rsidRDefault="00E87783" w:rsidP="00E87783">
      <w:pPr>
        <w:spacing w:before="200" w:after="200"/>
        <w:jc w:val="left"/>
        <w:rPr>
          <w:b/>
          <w:bCs/>
          <w:sz w:val="28"/>
          <w:szCs w:val="28"/>
        </w:rPr>
      </w:pPr>
      <w:r>
        <w:rPr>
          <w:b/>
          <w:bCs/>
          <w:noProof/>
          <w:sz w:val="28"/>
          <w:szCs w:val="28"/>
        </w:rPr>
        <w:drawing>
          <wp:inline distT="0" distB="0" distL="0" distR="0" wp14:anchorId="58AEB0AD" wp14:editId="2C05DE41">
            <wp:extent cx="5943600" cy="2407920"/>
            <wp:effectExtent l="0" t="0" r="0" b="0"/>
            <wp:docPr id="1172387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87908" name="Picture 1172387908"/>
                    <pic:cNvPicPr/>
                  </pic:nvPicPr>
                  <pic:blipFill>
                    <a:blip r:embed="rId7">
                      <a:extLst>
                        <a:ext uri="{28A0092B-C50C-407E-A947-70E740481C1C}">
                          <a14:useLocalDpi xmlns:a14="http://schemas.microsoft.com/office/drawing/2010/main" val="0"/>
                        </a:ext>
                      </a:extLst>
                    </a:blip>
                    <a:stretch>
                      <a:fillRect/>
                    </a:stretch>
                  </pic:blipFill>
                  <pic:spPr>
                    <a:xfrm>
                      <a:off x="0" y="0"/>
                      <a:ext cx="5943600" cy="2407920"/>
                    </a:xfrm>
                    <a:prstGeom prst="rect">
                      <a:avLst/>
                    </a:prstGeom>
                  </pic:spPr>
                </pic:pic>
              </a:graphicData>
            </a:graphic>
          </wp:inline>
        </w:drawing>
      </w:r>
    </w:p>
    <w:p w14:paraId="010036B3" w14:textId="77777777" w:rsidR="00E87783" w:rsidRDefault="00E87783" w:rsidP="00E87783">
      <w:pPr>
        <w:spacing w:before="200" w:after="200"/>
        <w:jc w:val="left"/>
        <w:rPr>
          <w:b/>
          <w:bCs/>
          <w:sz w:val="28"/>
          <w:szCs w:val="28"/>
        </w:rPr>
      </w:pPr>
    </w:p>
    <w:p w14:paraId="272F92B8" w14:textId="465D367D" w:rsidR="00E87783" w:rsidRPr="00E87783" w:rsidRDefault="00E87783" w:rsidP="00E87783">
      <w:pPr>
        <w:spacing w:before="200" w:after="200"/>
        <w:jc w:val="left"/>
        <w:rPr>
          <w:b/>
          <w:bCs/>
          <w:sz w:val="36"/>
          <w:szCs w:val="36"/>
        </w:rPr>
      </w:pPr>
      <w:r w:rsidRPr="00E87783">
        <w:rPr>
          <w:b/>
          <w:bCs/>
          <w:sz w:val="36"/>
          <w:szCs w:val="36"/>
        </w:rPr>
        <w:t>Program: BA Business Management</w:t>
      </w:r>
    </w:p>
    <w:p w14:paraId="671C6D04" w14:textId="063C84A4" w:rsidR="00E87783" w:rsidRPr="00E87783" w:rsidRDefault="00E87783" w:rsidP="00E87783">
      <w:pPr>
        <w:spacing w:before="200" w:after="200"/>
        <w:jc w:val="left"/>
        <w:rPr>
          <w:b/>
          <w:bCs/>
          <w:sz w:val="32"/>
          <w:szCs w:val="32"/>
        </w:rPr>
      </w:pPr>
      <w:r w:rsidRPr="00E87783">
        <w:rPr>
          <w:b/>
          <w:bCs/>
          <w:sz w:val="32"/>
          <w:szCs w:val="32"/>
        </w:rPr>
        <w:t xml:space="preserve">Module: </w:t>
      </w:r>
      <w:r w:rsidRPr="00E87783">
        <w:rPr>
          <w:b/>
          <w:sz w:val="32"/>
          <w:szCs w:val="32"/>
        </w:rPr>
        <w:t>International Financial Management</w:t>
      </w:r>
    </w:p>
    <w:p w14:paraId="488F19EE" w14:textId="51921F7E" w:rsidR="00E87783" w:rsidRPr="00E87783" w:rsidRDefault="00E87783" w:rsidP="00E87783">
      <w:pPr>
        <w:jc w:val="left"/>
        <w:rPr>
          <w:b/>
          <w:sz w:val="32"/>
          <w:szCs w:val="32"/>
        </w:rPr>
      </w:pPr>
      <w:r w:rsidRPr="00E87783">
        <w:rPr>
          <w:b/>
          <w:bCs/>
          <w:sz w:val="32"/>
          <w:szCs w:val="32"/>
        </w:rPr>
        <w:t xml:space="preserve">Module code: </w:t>
      </w:r>
      <w:r w:rsidRPr="00E87783">
        <w:rPr>
          <w:b/>
          <w:sz w:val="32"/>
          <w:szCs w:val="32"/>
        </w:rPr>
        <w:t>LCBB6002</w:t>
      </w:r>
    </w:p>
    <w:p w14:paraId="62FC4DD7" w14:textId="21F985F1" w:rsidR="00E87783" w:rsidRPr="00E87783" w:rsidRDefault="00E87783" w:rsidP="00E87783">
      <w:pPr>
        <w:spacing w:before="200" w:after="200"/>
        <w:jc w:val="left"/>
        <w:rPr>
          <w:b/>
          <w:bCs/>
          <w:sz w:val="32"/>
          <w:szCs w:val="32"/>
        </w:rPr>
      </w:pPr>
      <w:r w:rsidRPr="00E87783">
        <w:rPr>
          <w:b/>
          <w:bCs/>
          <w:sz w:val="32"/>
          <w:szCs w:val="32"/>
        </w:rPr>
        <w:t>Lecturer: Dr. Rexon Nting</w:t>
      </w:r>
    </w:p>
    <w:p w14:paraId="61A87155" w14:textId="6C6E6A99" w:rsidR="008F1BC7" w:rsidRPr="00E87783" w:rsidRDefault="008F1BC7" w:rsidP="00E87783">
      <w:pPr>
        <w:spacing w:before="200" w:after="200"/>
        <w:jc w:val="left"/>
        <w:rPr>
          <w:b/>
          <w:sz w:val="32"/>
          <w:szCs w:val="32"/>
        </w:rPr>
      </w:pPr>
      <w:r w:rsidRPr="00E87783">
        <w:rPr>
          <w:b/>
          <w:sz w:val="32"/>
          <w:szCs w:val="32"/>
        </w:rPr>
        <w:t xml:space="preserve">Assessment </w:t>
      </w:r>
      <w:r w:rsidR="003675CB" w:rsidRPr="00E87783">
        <w:rPr>
          <w:b/>
          <w:sz w:val="32"/>
          <w:szCs w:val="32"/>
        </w:rPr>
        <w:t>T</w:t>
      </w:r>
      <w:r w:rsidRPr="00E87783">
        <w:rPr>
          <w:b/>
          <w:sz w:val="32"/>
          <w:szCs w:val="32"/>
        </w:rPr>
        <w:t>itle: Assessment 1</w:t>
      </w:r>
    </w:p>
    <w:p w14:paraId="0300F70D" w14:textId="77777777" w:rsidR="00E87783" w:rsidRPr="00E87783" w:rsidRDefault="00E87783" w:rsidP="00E87783">
      <w:pPr>
        <w:spacing w:before="200" w:after="200"/>
        <w:jc w:val="left"/>
        <w:rPr>
          <w:b/>
          <w:bCs/>
          <w:sz w:val="28"/>
          <w:szCs w:val="28"/>
        </w:rPr>
      </w:pPr>
    </w:p>
    <w:p w14:paraId="7FDB5743" w14:textId="77777777" w:rsidR="00E87783" w:rsidRPr="00E87783" w:rsidRDefault="00E87783" w:rsidP="00E87783">
      <w:pPr>
        <w:spacing w:before="200" w:after="200"/>
        <w:jc w:val="left"/>
        <w:rPr>
          <w:b/>
          <w:bCs/>
          <w:sz w:val="32"/>
          <w:szCs w:val="32"/>
        </w:rPr>
      </w:pPr>
      <w:r w:rsidRPr="00E87783">
        <w:rPr>
          <w:b/>
          <w:bCs/>
          <w:sz w:val="32"/>
          <w:szCs w:val="32"/>
        </w:rPr>
        <w:t>Student: Nina Kirova</w:t>
      </w:r>
    </w:p>
    <w:p w14:paraId="1CAFAE76" w14:textId="77777777" w:rsidR="00E87783" w:rsidRPr="00E87783" w:rsidRDefault="00E87783" w:rsidP="00E87783">
      <w:pPr>
        <w:spacing w:before="200" w:after="200"/>
        <w:jc w:val="left"/>
        <w:rPr>
          <w:b/>
          <w:bCs/>
          <w:sz w:val="32"/>
          <w:szCs w:val="32"/>
        </w:rPr>
      </w:pPr>
      <w:r w:rsidRPr="00E87783">
        <w:rPr>
          <w:b/>
          <w:bCs/>
          <w:sz w:val="32"/>
          <w:szCs w:val="32"/>
        </w:rPr>
        <w:t>Student Number: 2018270</w:t>
      </w:r>
    </w:p>
    <w:p w14:paraId="1610B661" w14:textId="77777777" w:rsidR="003675CB" w:rsidRDefault="003675CB" w:rsidP="00E87783">
      <w:pPr>
        <w:widowControl/>
        <w:autoSpaceDE/>
        <w:autoSpaceDN/>
        <w:spacing w:after="160" w:line="259" w:lineRule="auto"/>
      </w:pPr>
      <w:r>
        <w:br w:type="page"/>
      </w:r>
    </w:p>
    <w:sdt>
      <w:sdtPr>
        <w:rPr>
          <w:rFonts w:ascii="Times New Roman" w:eastAsia="Times New Roman" w:hAnsi="Times New Roman" w:cs="Times New Roman"/>
          <w:color w:val="auto"/>
          <w:sz w:val="24"/>
          <w:szCs w:val="22"/>
          <w:lang w:val="en-GB"/>
        </w:rPr>
        <w:id w:val="665137291"/>
        <w:docPartObj>
          <w:docPartGallery w:val="Table of Contents"/>
          <w:docPartUnique/>
        </w:docPartObj>
      </w:sdtPr>
      <w:sdtEndPr>
        <w:rPr>
          <w:b/>
          <w:bCs/>
          <w:noProof/>
        </w:rPr>
      </w:sdtEndPr>
      <w:sdtContent>
        <w:p w14:paraId="1A315B51" w14:textId="77777777" w:rsidR="00183A00" w:rsidRPr="00E87783" w:rsidRDefault="00183A00">
          <w:pPr>
            <w:pStyle w:val="TOCHeading"/>
            <w:rPr>
              <w:color w:val="000000" w:themeColor="text1"/>
            </w:rPr>
          </w:pPr>
          <w:r w:rsidRPr="00E87783">
            <w:rPr>
              <w:color w:val="000000" w:themeColor="text1"/>
            </w:rPr>
            <w:t>Table of Contents</w:t>
          </w:r>
        </w:p>
        <w:p w14:paraId="7288EF1D" w14:textId="77777777" w:rsidR="00183A00" w:rsidRDefault="00183A00">
          <w:pPr>
            <w:pStyle w:val="TOC1"/>
            <w:tabs>
              <w:tab w:val="right" w:leader="dot" w:pos="9350"/>
            </w:tabs>
            <w:rPr>
              <w:noProof/>
            </w:rPr>
          </w:pPr>
          <w:r>
            <w:fldChar w:fldCharType="begin"/>
          </w:r>
          <w:r>
            <w:instrText xml:space="preserve"> TOC \o "1-3" \h \z \u </w:instrText>
          </w:r>
          <w:r>
            <w:fldChar w:fldCharType="separate"/>
          </w:r>
          <w:hyperlink w:anchor="_Toc129843699" w:history="1">
            <w:r w:rsidRPr="000009A6">
              <w:rPr>
                <w:rStyle w:val="Hyperlink"/>
                <w:noProof/>
              </w:rPr>
              <w:t>Introduction</w:t>
            </w:r>
            <w:r>
              <w:rPr>
                <w:noProof/>
                <w:webHidden/>
              </w:rPr>
              <w:tab/>
            </w:r>
            <w:r>
              <w:rPr>
                <w:noProof/>
                <w:webHidden/>
              </w:rPr>
              <w:fldChar w:fldCharType="begin"/>
            </w:r>
            <w:r>
              <w:rPr>
                <w:noProof/>
                <w:webHidden/>
              </w:rPr>
              <w:instrText xml:space="preserve"> PAGEREF _Toc129843699 \h </w:instrText>
            </w:r>
            <w:r>
              <w:rPr>
                <w:noProof/>
                <w:webHidden/>
              </w:rPr>
            </w:r>
            <w:r>
              <w:rPr>
                <w:noProof/>
                <w:webHidden/>
              </w:rPr>
              <w:fldChar w:fldCharType="separate"/>
            </w:r>
            <w:r w:rsidR="00E92F58">
              <w:rPr>
                <w:noProof/>
                <w:webHidden/>
              </w:rPr>
              <w:t>3</w:t>
            </w:r>
            <w:r>
              <w:rPr>
                <w:noProof/>
                <w:webHidden/>
              </w:rPr>
              <w:fldChar w:fldCharType="end"/>
            </w:r>
          </w:hyperlink>
        </w:p>
        <w:p w14:paraId="0A4A30B0" w14:textId="77777777" w:rsidR="00183A00" w:rsidRDefault="00000000">
          <w:pPr>
            <w:pStyle w:val="TOC1"/>
            <w:tabs>
              <w:tab w:val="right" w:leader="dot" w:pos="9350"/>
            </w:tabs>
            <w:rPr>
              <w:noProof/>
            </w:rPr>
          </w:pPr>
          <w:hyperlink w:anchor="_Toc129843700" w:history="1">
            <w:r w:rsidR="00183A00" w:rsidRPr="000009A6">
              <w:rPr>
                <w:rStyle w:val="Hyperlink"/>
                <w:noProof/>
              </w:rPr>
              <w:t>Analysis</w:t>
            </w:r>
            <w:r w:rsidR="00183A00">
              <w:rPr>
                <w:noProof/>
                <w:webHidden/>
              </w:rPr>
              <w:tab/>
            </w:r>
            <w:r w:rsidR="00183A00">
              <w:rPr>
                <w:noProof/>
                <w:webHidden/>
              </w:rPr>
              <w:fldChar w:fldCharType="begin"/>
            </w:r>
            <w:r w:rsidR="00183A00">
              <w:rPr>
                <w:noProof/>
                <w:webHidden/>
              </w:rPr>
              <w:instrText xml:space="preserve"> PAGEREF _Toc129843700 \h </w:instrText>
            </w:r>
            <w:r w:rsidR="00183A00">
              <w:rPr>
                <w:noProof/>
                <w:webHidden/>
              </w:rPr>
            </w:r>
            <w:r w:rsidR="00183A00">
              <w:rPr>
                <w:noProof/>
                <w:webHidden/>
              </w:rPr>
              <w:fldChar w:fldCharType="separate"/>
            </w:r>
            <w:r w:rsidR="00E92F58">
              <w:rPr>
                <w:noProof/>
                <w:webHidden/>
              </w:rPr>
              <w:t>4</w:t>
            </w:r>
            <w:r w:rsidR="00183A00">
              <w:rPr>
                <w:noProof/>
                <w:webHidden/>
              </w:rPr>
              <w:fldChar w:fldCharType="end"/>
            </w:r>
          </w:hyperlink>
        </w:p>
        <w:p w14:paraId="5B3A7ADF" w14:textId="77777777" w:rsidR="00183A00" w:rsidRDefault="00000000">
          <w:pPr>
            <w:pStyle w:val="TOC2"/>
            <w:tabs>
              <w:tab w:val="right" w:leader="dot" w:pos="9350"/>
            </w:tabs>
            <w:rPr>
              <w:noProof/>
            </w:rPr>
          </w:pPr>
          <w:hyperlink w:anchor="_Toc129843701" w:history="1">
            <w:r w:rsidR="00183A00" w:rsidRPr="000009A6">
              <w:rPr>
                <w:rStyle w:val="Hyperlink"/>
                <w:noProof/>
              </w:rPr>
              <w:t>Dividend distribution policy of British Petroleum (BP)</w:t>
            </w:r>
            <w:r w:rsidR="00183A00">
              <w:rPr>
                <w:noProof/>
                <w:webHidden/>
              </w:rPr>
              <w:tab/>
            </w:r>
            <w:r w:rsidR="00183A00">
              <w:rPr>
                <w:noProof/>
                <w:webHidden/>
              </w:rPr>
              <w:fldChar w:fldCharType="begin"/>
            </w:r>
            <w:r w:rsidR="00183A00">
              <w:rPr>
                <w:noProof/>
                <w:webHidden/>
              </w:rPr>
              <w:instrText xml:space="preserve"> PAGEREF _Toc129843701 \h </w:instrText>
            </w:r>
            <w:r w:rsidR="00183A00">
              <w:rPr>
                <w:noProof/>
                <w:webHidden/>
              </w:rPr>
            </w:r>
            <w:r w:rsidR="00183A00">
              <w:rPr>
                <w:noProof/>
                <w:webHidden/>
              </w:rPr>
              <w:fldChar w:fldCharType="separate"/>
            </w:r>
            <w:r w:rsidR="00E92F58">
              <w:rPr>
                <w:noProof/>
                <w:webHidden/>
              </w:rPr>
              <w:t>4</w:t>
            </w:r>
            <w:r w:rsidR="00183A00">
              <w:rPr>
                <w:noProof/>
                <w:webHidden/>
              </w:rPr>
              <w:fldChar w:fldCharType="end"/>
            </w:r>
          </w:hyperlink>
        </w:p>
        <w:p w14:paraId="6D8899EC" w14:textId="77777777" w:rsidR="00183A00" w:rsidRDefault="00000000">
          <w:pPr>
            <w:pStyle w:val="TOC2"/>
            <w:tabs>
              <w:tab w:val="right" w:leader="dot" w:pos="9350"/>
            </w:tabs>
            <w:rPr>
              <w:noProof/>
            </w:rPr>
          </w:pPr>
          <w:hyperlink w:anchor="_Toc129843702" w:history="1">
            <w:r w:rsidR="00183A00" w:rsidRPr="000009A6">
              <w:rPr>
                <w:rStyle w:val="Hyperlink"/>
                <w:noProof/>
              </w:rPr>
              <w:t>Efficient market hypothesis theory</w:t>
            </w:r>
            <w:r w:rsidR="00183A00">
              <w:rPr>
                <w:noProof/>
                <w:webHidden/>
              </w:rPr>
              <w:tab/>
            </w:r>
            <w:r w:rsidR="00183A00">
              <w:rPr>
                <w:noProof/>
                <w:webHidden/>
              </w:rPr>
              <w:fldChar w:fldCharType="begin"/>
            </w:r>
            <w:r w:rsidR="00183A00">
              <w:rPr>
                <w:noProof/>
                <w:webHidden/>
              </w:rPr>
              <w:instrText xml:space="preserve"> PAGEREF _Toc129843702 \h </w:instrText>
            </w:r>
            <w:r w:rsidR="00183A00">
              <w:rPr>
                <w:noProof/>
                <w:webHidden/>
              </w:rPr>
            </w:r>
            <w:r w:rsidR="00183A00">
              <w:rPr>
                <w:noProof/>
                <w:webHidden/>
              </w:rPr>
              <w:fldChar w:fldCharType="separate"/>
            </w:r>
            <w:r w:rsidR="00E92F58">
              <w:rPr>
                <w:noProof/>
                <w:webHidden/>
              </w:rPr>
              <w:t>5</w:t>
            </w:r>
            <w:r w:rsidR="00183A00">
              <w:rPr>
                <w:noProof/>
                <w:webHidden/>
              </w:rPr>
              <w:fldChar w:fldCharType="end"/>
            </w:r>
          </w:hyperlink>
        </w:p>
        <w:p w14:paraId="2C85D591" w14:textId="77777777" w:rsidR="00183A00" w:rsidRDefault="00000000">
          <w:pPr>
            <w:pStyle w:val="TOC2"/>
            <w:tabs>
              <w:tab w:val="right" w:leader="dot" w:pos="9350"/>
            </w:tabs>
            <w:rPr>
              <w:noProof/>
            </w:rPr>
          </w:pPr>
          <w:hyperlink w:anchor="_Toc129843703" w:history="1">
            <w:r w:rsidR="00183A00" w:rsidRPr="000009A6">
              <w:rPr>
                <w:rStyle w:val="Hyperlink"/>
                <w:noProof/>
              </w:rPr>
              <w:t>Methods of project appraisal</w:t>
            </w:r>
            <w:r w:rsidR="00183A00">
              <w:rPr>
                <w:noProof/>
                <w:webHidden/>
              </w:rPr>
              <w:tab/>
            </w:r>
            <w:r w:rsidR="00183A00">
              <w:rPr>
                <w:noProof/>
                <w:webHidden/>
              </w:rPr>
              <w:fldChar w:fldCharType="begin"/>
            </w:r>
            <w:r w:rsidR="00183A00">
              <w:rPr>
                <w:noProof/>
                <w:webHidden/>
              </w:rPr>
              <w:instrText xml:space="preserve"> PAGEREF _Toc129843703 \h </w:instrText>
            </w:r>
            <w:r w:rsidR="00183A00">
              <w:rPr>
                <w:noProof/>
                <w:webHidden/>
              </w:rPr>
            </w:r>
            <w:r w:rsidR="00183A00">
              <w:rPr>
                <w:noProof/>
                <w:webHidden/>
              </w:rPr>
              <w:fldChar w:fldCharType="separate"/>
            </w:r>
            <w:r w:rsidR="00E92F58">
              <w:rPr>
                <w:noProof/>
                <w:webHidden/>
              </w:rPr>
              <w:t>6</w:t>
            </w:r>
            <w:r w:rsidR="00183A00">
              <w:rPr>
                <w:noProof/>
                <w:webHidden/>
              </w:rPr>
              <w:fldChar w:fldCharType="end"/>
            </w:r>
          </w:hyperlink>
        </w:p>
        <w:p w14:paraId="255EE5A2" w14:textId="77777777" w:rsidR="00183A00" w:rsidRDefault="00000000">
          <w:pPr>
            <w:pStyle w:val="TOC1"/>
            <w:tabs>
              <w:tab w:val="right" w:leader="dot" w:pos="9350"/>
            </w:tabs>
            <w:rPr>
              <w:noProof/>
            </w:rPr>
          </w:pPr>
          <w:hyperlink w:anchor="_Toc129843704" w:history="1">
            <w:r w:rsidR="00183A00" w:rsidRPr="000009A6">
              <w:rPr>
                <w:rStyle w:val="Hyperlink"/>
                <w:noProof/>
              </w:rPr>
              <w:t>Conclusion</w:t>
            </w:r>
            <w:r w:rsidR="00183A00">
              <w:rPr>
                <w:noProof/>
                <w:webHidden/>
              </w:rPr>
              <w:tab/>
            </w:r>
            <w:r w:rsidR="00183A00">
              <w:rPr>
                <w:noProof/>
                <w:webHidden/>
              </w:rPr>
              <w:fldChar w:fldCharType="begin"/>
            </w:r>
            <w:r w:rsidR="00183A00">
              <w:rPr>
                <w:noProof/>
                <w:webHidden/>
              </w:rPr>
              <w:instrText xml:space="preserve"> PAGEREF _Toc129843704 \h </w:instrText>
            </w:r>
            <w:r w:rsidR="00183A00">
              <w:rPr>
                <w:noProof/>
                <w:webHidden/>
              </w:rPr>
            </w:r>
            <w:r w:rsidR="00183A00">
              <w:rPr>
                <w:noProof/>
                <w:webHidden/>
              </w:rPr>
              <w:fldChar w:fldCharType="separate"/>
            </w:r>
            <w:r w:rsidR="00E92F58">
              <w:rPr>
                <w:noProof/>
                <w:webHidden/>
              </w:rPr>
              <w:t>8</w:t>
            </w:r>
            <w:r w:rsidR="00183A00">
              <w:rPr>
                <w:noProof/>
                <w:webHidden/>
              </w:rPr>
              <w:fldChar w:fldCharType="end"/>
            </w:r>
          </w:hyperlink>
        </w:p>
        <w:p w14:paraId="449C360B" w14:textId="77777777" w:rsidR="00183A00" w:rsidRDefault="00000000">
          <w:pPr>
            <w:pStyle w:val="TOC1"/>
            <w:tabs>
              <w:tab w:val="right" w:leader="dot" w:pos="9350"/>
            </w:tabs>
            <w:rPr>
              <w:noProof/>
            </w:rPr>
          </w:pPr>
          <w:hyperlink w:anchor="_Toc129843705" w:history="1">
            <w:r w:rsidR="00183A00" w:rsidRPr="000009A6">
              <w:rPr>
                <w:rStyle w:val="Hyperlink"/>
                <w:noProof/>
              </w:rPr>
              <w:t>References</w:t>
            </w:r>
            <w:r w:rsidR="00183A00">
              <w:rPr>
                <w:noProof/>
                <w:webHidden/>
              </w:rPr>
              <w:tab/>
            </w:r>
            <w:r w:rsidR="00183A00">
              <w:rPr>
                <w:noProof/>
                <w:webHidden/>
              </w:rPr>
              <w:fldChar w:fldCharType="begin"/>
            </w:r>
            <w:r w:rsidR="00183A00">
              <w:rPr>
                <w:noProof/>
                <w:webHidden/>
              </w:rPr>
              <w:instrText xml:space="preserve"> PAGEREF _Toc129843705 \h </w:instrText>
            </w:r>
            <w:r w:rsidR="00183A00">
              <w:rPr>
                <w:noProof/>
                <w:webHidden/>
              </w:rPr>
            </w:r>
            <w:r w:rsidR="00183A00">
              <w:rPr>
                <w:noProof/>
                <w:webHidden/>
              </w:rPr>
              <w:fldChar w:fldCharType="separate"/>
            </w:r>
            <w:r w:rsidR="00E92F58">
              <w:rPr>
                <w:noProof/>
                <w:webHidden/>
              </w:rPr>
              <w:t>9</w:t>
            </w:r>
            <w:r w:rsidR="00183A00">
              <w:rPr>
                <w:noProof/>
                <w:webHidden/>
              </w:rPr>
              <w:fldChar w:fldCharType="end"/>
            </w:r>
          </w:hyperlink>
        </w:p>
        <w:p w14:paraId="37D214B2" w14:textId="77777777" w:rsidR="00183A00" w:rsidRDefault="00183A00">
          <w:r>
            <w:rPr>
              <w:b/>
              <w:bCs/>
              <w:noProof/>
            </w:rPr>
            <w:fldChar w:fldCharType="end"/>
          </w:r>
        </w:p>
      </w:sdtContent>
    </w:sdt>
    <w:p w14:paraId="1170BC32" w14:textId="77777777" w:rsidR="003675CB" w:rsidRDefault="003675CB">
      <w:pPr>
        <w:widowControl/>
        <w:autoSpaceDE/>
        <w:autoSpaceDN/>
        <w:spacing w:after="160" w:line="259" w:lineRule="auto"/>
        <w:jc w:val="left"/>
      </w:pPr>
      <w:r>
        <w:br w:type="page"/>
      </w:r>
    </w:p>
    <w:p w14:paraId="2CF0813D" w14:textId="77777777" w:rsidR="004F1363" w:rsidRDefault="004F1363" w:rsidP="003675CB">
      <w:pPr>
        <w:pStyle w:val="Heading1"/>
      </w:pPr>
      <w:bookmarkStart w:id="0" w:name="_Toc129843699"/>
      <w:r>
        <w:lastRenderedPageBreak/>
        <w:t>Introduction</w:t>
      </w:r>
      <w:bookmarkEnd w:id="0"/>
    </w:p>
    <w:p w14:paraId="2AE3261C" w14:textId="77777777" w:rsidR="005772AB" w:rsidRPr="005772AB" w:rsidRDefault="005772AB" w:rsidP="005772AB"/>
    <w:p w14:paraId="219AC80B" w14:textId="77777777" w:rsidR="004F1363" w:rsidRDefault="004F1363">
      <w:r w:rsidRPr="004F1363">
        <w:t>An international oil and petrol corporation with operations in over 70 nations is called British Petroleum (BP). Being a major player in the global oil and petrol sector, BP must assess a wide range of initiatives to secure its long-term viability and expansion. This essay will examine the efficiency of BP's project appraisal techniques and whether they take project effects beyond financial viability into account. Additionally, it will look at BP's dividend policy and assess how it affects business performance and shareholder value. The efficient market hypothesis idea will also be examined in this article, along with how well it applies to BP's business practi</w:t>
      </w:r>
      <w:r w:rsidR="00B22154">
        <w:t>c</w:t>
      </w:r>
      <w:r w:rsidRPr="004F1363">
        <w:t>es. We hope to provide a thorough understanding of BP's operations and decision-making procedures through this investigation.</w:t>
      </w:r>
      <w:r>
        <w:t xml:space="preserve"> </w:t>
      </w:r>
    </w:p>
    <w:p w14:paraId="49F92164" w14:textId="77777777" w:rsidR="003675CB" w:rsidRDefault="003675CB"/>
    <w:p w14:paraId="7582D988" w14:textId="77777777" w:rsidR="003675CB" w:rsidRDefault="003675CB"/>
    <w:p w14:paraId="37E03F4D" w14:textId="77777777" w:rsidR="003675CB" w:rsidRDefault="003675CB"/>
    <w:p w14:paraId="30E9416B" w14:textId="77777777" w:rsidR="003675CB" w:rsidRDefault="003675CB"/>
    <w:p w14:paraId="7F7F748B" w14:textId="77777777" w:rsidR="003675CB" w:rsidRDefault="003675CB"/>
    <w:p w14:paraId="57A6EE0F" w14:textId="77777777" w:rsidR="003675CB" w:rsidRDefault="003675CB"/>
    <w:p w14:paraId="3A078F24" w14:textId="77777777" w:rsidR="003675CB" w:rsidRDefault="003675CB"/>
    <w:p w14:paraId="4F0B1BD0" w14:textId="77777777" w:rsidR="003675CB" w:rsidRDefault="003675CB"/>
    <w:p w14:paraId="7836DC31" w14:textId="77777777" w:rsidR="003675CB" w:rsidRDefault="003675CB"/>
    <w:p w14:paraId="6BAA37A3" w14:textId="77777777" w:rsidR="003675CB" w:rsidRDefault="003675CB"/>
    <w:p w14:paraId="7C256185" w14:textId="77777777" w:rsidR="003675CB" w:rsidRDefault="003675CB"/>
    <w:p w14:paraId="411B2E84" w14:textId="77777777" w:rsidR="003675CB" w:rsidRDefault="003675CB"/>
    <w:p w14:paraId="4AD459E4" w14:textId="77777777" w:rsidR="003675CB" w:rsidRDefault="003675CB"/>
    <w:p w14:paraId="4F8954CC" w14:textId="77777777" w:rsidR="003675CB" w:rsidRDefault="003675CB"/>
    <w:p w14:paraId="6286EF33" w14:textId="77777777" w:rsidR="003675CB" w:rsidRDefault="003675CB"/>
    <w:p w14:paraId="6D93503D" w14:textId="77777777" w:rsidR="003675CB" w:rsidRDefault="003675CB"/>
    <w:p w14:paraId="477A36C3" w14:textId="77777777" w:rsidR="003675CB" w:rsidRDefault="003675CB"/>
    <w:p w14:paraId="3693A165" w14:textId="77777777" w:rsidR="003675CB" w:rsidRDefault="003675CB"/>
    <w:p w14:paraId="58A36F44" w14:textId="77777777" w:rsidR="003675CB" w:rsidRDefault="003675CB"/>
    <w:p w14:paraId="6FB1B5A2" w14:textId="77777777" w:rsidR="003675CB" w:rsidRDefault="003675CB"/>
    <w:p w14:paraId="0F91EF7B" w14:textId="77777777" w:rsidR="003675CB" w:rsidRDefault="003675CB" w:rsidP="003675CB">
      <w:pPr>
        <w:pStyle w:val="Heading1"/>
      </w:pPr>
      <w:bookmarkStart w:id="1" w:name="_Toc129843700"/>
      <w:r>
        <w:lastRenderedPageBreak/>
        <w:t>Analysis</w:t>
      </w:r>
      <w:bookmarkEnd w:id="1"/>
      <w:r>
        <w:t xml:space="preserve"> </w:t>
      </w:r>
    </w:p>
    <w:p w14:paraId="2CEFAA7E" w14:textId="77777777" w:rsidR="005772AB" w:rsidRPr="005772AB" w:rsidRDefault="005772AB" w:rsidP="005772AB"/>
    <w:p w14:paraId="6C9CFD40" w14:textId="77777777" w:rsidR="0050177B" w:rsidRDefault="004F1363" w:rsidP="003675CB">
      <w:pPr>
        <w:pStyle w:val="Heading2"/>
      </w:pPr>
      <w:bookmarkStart w:id="2" w:name="_Toc129843701"/>
      <w:r>
        <w:t>Dividend distribution policy of British Petroleum (BP)</w:t>
      </w:r>
      <w:bookmarkEnd w:id="2"/>
      <w:r>
        <w:t xml:space="preserve"> </w:t>
      </w:r>
    </w:p>
    <w:p w14:paraId="5DAC6999" w14:textId="77777777" w:rsidR="008607A3" w:rsidRDefault="008607A3" w:rsidP="008607A3">
      <w:r>
        <w:t>One of the top international oil and petrol corporations, BP is based in London, United Kingdom. The firm has a long history of paying dividends to its shareholders, and experts and investors have disagreed on BP's dividend distribution strategy.</w:t>
      </w:r>
    </w:p>
    <w:p w14:paraId="3A5BFB68" w14:textId="77777777" w:rsidR="008607A3" w:rsidRDefault="008607A3" w:rsidP="008607A3">
      <w:r>
        <w:t>BP maintains a dividend distribution policy designed to give its stockholders a steady and predictable return. The size of the quarterly dividend is determined by the board of directors based on the company's financial performance and expectations for the future. BP has been disbursing a $0.315 per share dividend in recent years (BP, 2020).</w:t>
      </w:r>
    </w:p>
    <w:p w14:paraId="75C8A30A" w14:textId="77777777" w:rsidR="008607A3" w:rsidRDefault="008607A3" w:rsidP="008607A3">
      <w:r>
        <w:t xml:space="preserve">The method by which BP distributes its dividends is highly influenced by the price of crude. Dividend pay-outs have fluctuated in recent years along with the price of oil, making it challenging for investors to plan their investments (Egan, 2020). Investors' faith in BP's capacity to provide consistent returns has been badly influenced by the company's prior dividend reductions. For instance, as a result of COVID-19's effects on the oil industry in 2020, BP cut its dividend by 50% (Harrison, 2020). The way that BP distributes its dividends has also come under fire for not supporting the business's dedication to sustainable measures. The demand for fossil fuels is projected to decline as the globe moves towards renewable energy sources, which might </w:t>
      </w:r>
      <w:r w:rsidR="00B22154">
        <w:t>affect</w:t>
      </w:r>
      <w:r>
        <w:t xml:space="preserve"> BP's future earnings and, consequently, its capacity to pay dividends.</w:t>
      </w:r>
    </w:p>
    <w:p w14:paraId="2D23A3CE" w14:textId="77777777" w:rsidR="008607A3" w:rsidRDefault="008607A3" w:rsidP="008607A3">
      <w:r>
        <w:t xml:space="preserve">Despite the complaints, BP's dividend distribution strategy has </w:t>
      </w:r>
      <w:r w:rsidR="00B22154">
        <w:t>several</w:t>
      </w:r>
      <w:r>
        <w:t xml:space="preserve"> advantages. The business has a long history of returning profits to shareholders through dividend payments. Also, BP has a low dividend pay-out ratio, which suggests that it keeps a sizable amount of its earnings to reinvest in its operations and finance expansion prospects </w:t>
      </w:r>
      <w:r w:rsidRPr="008607A3">
        <w:t>(Arnold, 2012)</w:t>
      </w:r>
      <w:r>
        <w:t>.</w:t>
      </w:r>
    </w:p>
    <w:p w14:paraId="4B4FE256" w14:textId="77777777" w:rsidR="008607A3" w:rsidRDefault="008607A3" w:rsidP="008607A3">
      <w:r>
        <w:t xml:space="preserve">BP's dividend distribution programme contains both merits and problems. Despite the company's lengthy history of dividend payments and relatively low pay-out ratio, the dependency of the policy on oil prices and dividend cuts in the past have hurt investors' confidence </w:t>
      </w:r>
      <w:r w:rsidRPr="008607A3">
        <w:t>(Bekaert and Hodrick, 2011)</w:t>
      </w:r>
      <w:r>
        <w:t>. Furthermore, BP's business model's sustainability issues may affect the company's capacity to pay dividends in the future.</w:t>
      </w:r>
    </w:p>
    <w:p w14:paraId="52AAE88A" w14:textId="77777777" w:rsidR="00D94034" w:rsidRDefault="00D94034" w:rsidP="008607A3"/>
    <w:p w14:paraId="01A7D42C" w14:textId="77777777" w:rsidR="00D94034" w:rsidRDefault="00D94034" w:rsidP="008607A3"/>
    <w:p w14:paraId="1E834DE4" w14:textId="77777777" w:rsidR="004F1363" w:rsidRDefault="004F1363" w:rsidP="003675CB">
      <w:pPr>
        <w:pStyle w:val="Heading2"/>
      </w:pPr>
      <w:bookmarkStart w:id="3" w:name="_Toc129843702"/>
      <w:r>
        <w:lastRenderedPageBreak/>
        <w:t>Efficient market hypothesis theory</w:t>
      </w:r>
      <w:bookmarkEnd w:id="3"/>
      <w:r>
        <w:t xml:space="preserve"> </w:t>
      </w:r>
    </w:p>
    <w:p w14:paraId="39DC848E" w14:textId="77777777" w:rsidR="005772AB" w:rsidRPr="005772AB" w:rsidRDefault="005772AB" w:rsidP="005772AB"/>
    <w:p w14:paraId="2E4FD642" w14:textId="77777777" w:rsidR="008607A3" w:rsidRDefault="008607A3" w:rsidP="008607A3">
      <w:r>
        <w:t xml:space="preserve">According to the Efficient Market Hypothesis (EMH), asset prices consistently represent all available information and financial markets are efficient </w:t>
      </w:r>
      <w:r w:rsidRPr="008607A3">
        <w:t>(Arnold, 2012b)</w:t>
      </w:r>
      <w:r>
        <w:t>. This hypothesis has generated a lot of discussion among investors and academics, and its relevance to the operations of businesses like British Petroleum (BP) has garnered attention.</w:t>
      </w:r>
    </w:p>
    <w:p w14:paraId="47DB6A52" w14:textId="77777777" w:rsidR="008607A3" w:rsidRDefault="008607A3" w:rsidP="008607A3">
      <w:r>
        <w:t xml:space="preserve">BP is a global oil and gas corporation with operations throughout the world. Exploration, production, refining, and selling of crude oil and natural gas are all part of the company's operations. The price of BP's stock is influenced by </w:t>
      </w:r>
      <w:r w:rsidR="00B22154">
        <w:t>several</w:t>
      </w:r>
      <w:r>
        <w:t xml:space="preserve"> variables, including oil prices, geopolitical threats, and environmental laws (British Petroleum, 2021).</w:t>
      </w:r>
    </w:p>
    <w:p w14:paraId="478AA0CC" w14:textId="77777777" w:rsidR="008607A3" w:rsidRDefault="008607A3" w:rsidP="008607A3">
      <w:r>
        <w:t xml:space="preserve">According to the EMH theory, the stock price reflects all </w:t>
      </w:r>
      <w:r w:rsidR="00B22154">
        <w:t>publicly available information</w:t>
      </w:r>
      <w:r>
        <w:t xml:space="preserve">, making it difficult for investors to continuously generate excess returns </w:t>
      </w:r>
      <w:r w:rsidRPr="008607A3">
        <w:t>(Atrill, 2011)</w:t>
      </w:r>
      <w:r>
        <w:t xml:space="preserve">. Yet, </w:t>
      </w:r>
      <w:r w:rsidR="00B22154">
        <w:t>several</w:t>
      </w:r>
      <w:r>
        <w:t xml:space="preserve"> studies have shown that BP's stock price is not always accurate and that </w:t>
      </w:r>
      <w:r w:rsidR="00B22154">
        <w:t xml:space="preserve">by </w:t>
      </w:r>
      <w:r>
        <w:t>utilising information that is openly accessible, investors can get anomalous returns.</w:t>
      </w:r>
    </w:p>
    <w:p w14:paraId="2C477B8A" w14:textId="77777777" w:rsidR="008607A3" w:rsidRDefault="008607A3" w:rsidP="008607A3">
      <w:r>
        <w:t>According to the EMH hypothesis, all market players have equal access to information</w:t>
      </w:r>
      <w:r w:rsidR="00F3689A">
        <w:t xml:space="preserve"> </w:t>
      </w:r>
      <w:r w:rsidR="00F3689A" w:rsidRPr="00F3689A">
        <w:t>(Mclaney, 2011)</w:t>
      </w:r>
      <w:r>
        <w:t>. Information asymmetry between various market participants, including institutional investors and ordinary investors, however, may exist in practi</w:t>
      </w:r>
      <w:r w:rsidR="00B22154">
        <w:t>c</w:t>
      </w:r>
      <w:r>
        <w:t>e. Compared to regular investors, institutional investors may have access to more thorough research and analysis.</w:t>
      </w:r>
    </w:p>
    <w:p w14:paraId="4D5B3745" w14:textId="77777777" w:rsidR="008607A3" w:rsidRDefault="00F3689A" w:rsidP="008607A3">
      <w:r>
        <w:t>As per</w:t>
      </w:r>
      <w:r w:rsidR="008607A3">
        <w:t xml:space="preserve"> </w:t>
      </w:r>
      <w:r>
        <w:t>the</w:t>
      </w:r>
      <w:r w:rsidR="008607A3">
        <w:t xml:space="preserve"> theory, investors are rational and base their decisions on all available information. Yet, in practi</w:t>
      </w:r>
      <w:r w:rsidR="00B22154">
        <w:t>c</w:t>
      </w:r>
      <w:r w:rsidR="008607A3">
        <w:t>e, investors may be susceptible to cognitive biases including overconfidence, confirmation bias, and herding behaviour, which can result in inefficient asset pricing</w:t>
      </w:r>
      <w:r>
        <w:t xml:space="preserve"> </w:t>
      </w:r>
      <w:r w:rsidRPr="00F3689A">
        <w:t>(Arnold, 2012b)</w:t>
      </w:r>
      <w:r w:rsidR="008607A3">
        <w:t>. According to the EMH theory, markets are always effective. Insider trading, market bubbles, market collapses, and other market inefficiencies could, however, cause considerable price deviations from efficient pricing.</w:t>
      </w:r>
    </w:p>
    <w:p w14:paraId="3F643F9D" w14:textId="77777777" w:rsidR="008607A3" w:rsidRDefault="008607A3" w:rsidP="008607A3">
      <w:r>
        <w:t>The EMH theory has numerous drawbacks, but it also has some advantages. According to the hypothesis, markets are long-term efficient, and investors cannot continuously generate excess returns by utilising knowledge that is available to the public</w:t>
      </w:r>
      <w:r w:rsidR="00F3689A">
        <w:t xml:space="preserve"> </w:t>
      </w:r>
      <w:r w:rsidR="00F3689A" w:rsidRPr="00F3689A">
        <w:t>(Bekaert and Hodrick, 2011)</w:t>
      </w:r>
      <w:r>
        <w:t>. The theory also offers a framework for examining how asset prices and information interact.</w:t>
      </w:r>
    </w:p>
    <w:p w14:paraId="03E932F2" w14:textId="77777777" w:rsidR="004F1363" w:rsidRDefault="008607A3" w:rsidP="008607A3">
      <w:r>
        <w:t xml:space="preserve">An effective framework for examining the effectiveness of financial markets is provided by the EMH hypothesis. The theory might not always apply to BP's activities, though. Departures from optimum pricing may be caused by information asymmetry, behavioural biases, and market </w:t>
      </w:r>
      <w:r>
        <w:lastRenderedPageBreak/>
        <w:t>inefficiencies</w:t>
      </w:r>
      <w:r w:rsidR="00F3689A">
        <w:t xml:space="preserve"> </w:t>
      </w:r>
      <w:r w:rsidR="00F3689A" w:rsidRPr="00F3689A">
        <w:t>(Atrill, 2011)</w:t>
      </w:r>
      <w:r>
        <w:t xml:space="preserve">. Investors should exercise caution and make wise investment selections by carefully examining the company's operations using </w:t>
      </w:r>
      <w:r w:rsidR="00B22154">
        <w:t>several</w:t>
      </w:r>
      <w:r>
        <w:t xml:space="preserve"> analytical techniques.</w:t>
      </w:r>
    </w:p>
    <w:p w14:paraId="1F6381A9" w14:textId="77777777" w:rsidR="00FE25DD" w:rsidRDefault="00FE25DD" w:rsidP="008607A3"/>
    <w:p w14:paraId="24541747" w14:textId="77777777" w:rsidR="004F1363" w:rsidRDefault="004F1363" w:rsidP="003675CB">
      <w:pPr>
        <w:pStyle w:val="Heading2"/>
      </w:pPr>
      <w:bookmarkStart w:id="4" w:name="_Toc129843703"/>
      <w:r>
        <w:t>Methods of project appraisal</w:t>
      </w:r>
      <w:bookmarkEnd w:id="4"/>
      <w:r>
        <w:t xml:space="preserve"> </w:t>
      </w:r>
    </w:p>
    <w:p w14:paraId="3B467EAC" w14:textId="77777777" w:rsidR="005772AB" w:rsidRPr="005772AB" w:rsidRDefault="005772AB" w:rsidP="005772AB"/>
    <w:p w14:paraId="490DBC75" w14:textId="77777777" w:rsidR="008607A3" w:rsidRDefault="008607A3" w:rsidP="008607A3">
      <w:r>
        <w:t>In any organisation, project evaluation is a crucial component of decision-making. It entails determining a project's viability by weighing its likely advantages, disadvantages, and dangers. The multinational oil and gas business British Petroleum (BP) must assess a variety of projects. Thus, it is crucial to critically assess BP's project appraisal techniques.</w:t>
      </w:r>
    </w:p>
    <w:p w14:paraId="2F03C127" w14:textId="77777777" w:rsidR="008607A3" w:rsidRDefault="008607A3" w:rsidP="008607A3">
      <w:r>
        <w:t xml:space="preserve">BP has an effective system for assessing projects that include weighing several factors. </w:t>
      </w:r>
      <w:r w:rsidR="00B22154">
        <w:t>T</w:t>
      </w:r>
      <w:r>
        <w:t>o determine a project's economic viability, its net present value (NPV), internal rate of return (IRR), and payback period must be examined</w:t>
      </w:r>
      <w:r w:rsidR="00F3689A">
        <w:t xml:space="preserve"> (British Petroleum, 2021)</w:t>
      </w:r>
      <w:r>
        <w:t xml:space="preserve">. To assess the project's financial viability, BP uses a variety of financial models, such as discounted cash flow analysis and scenario analysis. </w:t>
      </w:r>
      <w:r w:rsidR="00F3689A">
        <w:t>Analysing</w:t>
      </w:r>
      <w:r>
        <w:t xml:space="preserve"> the project's technical viability entails determining if it can be finished with the technology and resources at hand</w:t>
      </w:r>
      <w:r w:rsidR="00F3689A">
        <w:t xml:space="preserve"> (Chan and </w:t>
      </w:r>
      <w:r w:rsidR="00F3689A" w:rsidRPr="00F3689A">
        <w:t>Lakshminarayanan</w:t>
      </w:r>
      <w:r w:rsidR="00F3689A">
        <w:t>, 2015)</w:t>
      </w:r>
      <w:r>
        <w:t>. By examining the project's architecture, machinery, and processes, BP's team of engineers and technical experts evaluates the project's technical viability. Environmental impact involves assessing the project's possible emissions, waste disposal, and other environmental issues to determine how they will affect the environment. To detect potential environmental problems and create effective mitigation strategies, BP conducts environmental impact studies and stakeholder participation</w:t>
      </w:r>
      <w:r w:rsidR="00F3689A">
        <w:t xml:space="preserve"> (Thomson, 2017)</w:t>
      </w:r>
      <w:r>
        <w:t>. By examining potential hazards, such as market, technical, environmental, and political issues, risk assessment entails assessing the project's dangers. To find possible risks and create effective risk management plans, BP uses a variety of risk assessment technologies, such as Monte Carlo simulations.</w:t>
      </w:r>
    </w:p>
    <w:p w14:paraId="3E15B72E" w14:textId="77777777" w:rsidR="008607A3" w:rsidRDefault="008607A3" w:rsidP="008607A3">
      <w:r>
        <w:t xml:space="preserve">The local community's social influence on the project is not given much weight by BP's methods of </w:t>
      </w:r>
      <w:r w:rsidR="00B22154">
        <w:t xml:space="preserve">the </w:t>
      </w:r>
      <w:r>
        <w:t>project evaluation</w:t>
      </w:r>
      <w:r w:rsidR="00F3689A">
        <w:t xml:space="preserve"> </w:t>
      </w:r>
      <w:r w:rsidR="00F3689A" w:rsidRPr="00F3689A">
        <w:t>(Mclaney, 2011)</w:t>
      </w:r>
      <w:r>
        <w:t>. For instance, the effect on economic possibilities, lifestyle, and social facilities in the neighbourhood is not fully taken into account. BP's project appraisal techniques rely primarily on financial models, which could not always adequately account for the project's broader social and environmental effects</w:t>
      </w:r>
      <w:r w:rsidR="00F3689A">
        <w:t xml:space="preserve"> </w:t>
      </w:r>
      <w:r w:rsidR="00F3689A" w:rsidRPr="00F3689A">
        <w:t>(Bekaert and Hodrick, 2011)</w:t>
      </w:r>
      <w:r>
        <w:t>. Inherent biases and uncertainties in the models may also contribute to unreliable outcomes.</w:t>
      </w:r>
    </w:p>
    <w:p w14:paraId="62213A86" w14:textId="77777777" w:rsidR="008607A3" w:rsidRDefault="008607A3" w:rsidP="008607A3">
      <w:r>
        <w:t xml:space="preserve">Although BP's methods for evaluating projects have significant drawbacks, they also have some </w:t>
      </w:r>
      <w:r>
        <w:lastRenderedPageBreak/>
        <w:t>advantages. The business has a strict methodology that includes evaluating the project's risk, technical viability, environmental effect, and financial viability</w:t>
      </w:r>
      <w:r w:rsidR="00F3689A">
        <w:t xml:space="preserve"> </w:t>
      </w:r>
      <w:r w:rsidR="00F3689A" w:rsidRPr="00F3689A">
        <w:t>(Atrill, 2011)</w:t>
      </w:r>
      <w:r>
        <w:t>. Also, BP has created thorough risk management plans that aid in reducing the project's hazards.</w:t>
      </w:r>
    </w:p>
    <w:p w14:paraId="2FCF0637" w14:textId="77777777" w:rsidR="008607A3" w:rsidRDefault="008607A3" w:rsidP="008607A3">
      <w:r>
        <w:t>The procedures used by BP to evaluate projects are thorough and involve assessing a variety of factors, such as the project's risk level, technical viability, environmental effect, and financial viability. There may be drawbacks to depending primarily on financial models, and the methodologies could benefit from a stronger emphasis on the project's social impact</w:t>
      </w:r>
      <w:r w:rsidR="00F3689A">
        <w:t xml:space="preserve"> </w:t>
      </w:r>
      <w:r w:rsidR="00F3689A" w:rsidRPr="00F3689A">
        <w:t>(Arnold, 2012b)</w:t>
      </w:r>
      <w:r>
        <w:t>. As a result, BP ought to think about creating more thorough procedures that take into account a wider range of variables than just financial viability.</w:t>
      </w:r>
    </w:p>
    <w:p w14:paraId="342E3629" w14:textId="77777777" w:rsidR="003675CB" w:rsidRDefault="003675CB" w:rsidP="008607A3"/>
    <w:p w14:paraId="6BE095FD" w14:textId="77777777" w:rsidR="003675CB" w:rsidRDefault="003675CB" w:rsidP="008607A3"/>
    <w:p w14:paraId="21E6F59C" w14:textId="77777777" w:rsidR="003675CB" w:rsidRDefault="003675CB" w:rsidP="008607A3"/>
    <w:p w14:paraId="34692E53" w14:textId="77777777" w:rsidR="003675CB" w:rsidRDefault="003675CB" w:rsidP="008607A3"/>
    <w:p w14:paraId="4222F906" w14:textId="77777777" w:rsidR="003675CB" w:rsidRDefault="003675CB" w:rsidP="008607A3"/>
    <w:p w14:paraId="52B830F9" w14:textId="77777777" w:rsidR="003675CB" w:rsidRDefault="003675CB" w:rsidP="008607A3"/>
    <w:p w14:paraId="7F3B9978" w14:textId="77777777" w:rsidR="003675CB" w:rsidRDefault="003675CB" w:rsidP="008607A3"/>
    <w:p w14:paraId="2C7B88B5" w14:textId="77777777" w:rsidR="003675CB" w:rsidRDefault="003675CB" w:rsidP="008607A3"/>
    <w:p w14:paraId="1A3841D3" w14:textId="77777777" w:rsidR="003675CB" w:rsidRDefault="003675CB" w:rsidP="008607A3"/>
    <w:p w14:paraId="7B420CB9" w14:textId="77777777" w:rsidR="003675CB" w:rsidRDefault="003675CB" w:rsidP="008607A3"/>
    <w:p w14:paraId="2FEF0394" w14:textId="77777777" w:rsidR="003675CB" w:rsidRDefault="003675CB" w:rsidP="008607A3"/>
    <w:p w14:paraId="7F690DAB" w14:textId="77777777" w:rsidR="003675CB" w:rsidRDefault="003675CB" w:rsidP="008607A3"/>
    <w:p w14:paraId="7C3E4F34" w14:textId="77777777" w:rsidR="003675CB" w:rsidRDefault="003675CB" w:rsidP="008607A3"/>
    <w:p w14:paraId="7D718848" w14:textId="77777777" w:rsidR="003675CB" w:rsidRDefault="003675CB" w:rsidP="008607A3"/>
    <w:p w14:paraId="07861EE2" w14:textId="77777777" w:rsidR="003675CB" w:rsidRDefault="003675CB" w:rsidP="008607A3"/>
    <w:p w14:paraId="3F5B66CB" w14:textId="77777777" w:rsidR="003675CB" w:rsidRDefault="003675CB" w:rsidP="008607A3"/>
    <w:p w14:paraId="30835768" w14:textId="77777777" w:rsidR="003675CB" w:rsidRDefault="003675CB" w:rsidP="008607A3"/>
    <w:p w14:paraId="39BD0C92" w14:textId="77777777" w:rsidR="003675CB" w:rsidRDefault="003675CB" w:rsidP="008607A3"/>
    <w:p w14:paraId="24980413" w14:textId="77777777" w:rsidR="003675CB" w:rsidRDefault="003675CB" w:rsidP="008607A3"/>
    <w:p w14:paraId="76E107DE" w14:textId="77777777" w:rsidR="003675CB" w:rsidRDefault="003675CB" w:rsidP="008607A3"/>
    <w:p w14:paraId="31F7CDFB" w14:textId="77777777" w:rsidR="003675CB" w:rsidRDefault="003675CB" w:rsidP="008607A3"/>
    <w:p w14:paraId="59694DDB" w14:textId="77777777" w:rsidR="003675CB" w:rsidRDefault="003675CB" w:rsidP="008607A3"/>
    <w:p w14:paraId="37DC9FE7" w14:textId="77777777" w:rsidR="004F1363" w:rsidRDefault="004F1363" w:rsidP="003675CB">
      <w:pPr>
        <w:pStyle w:val="Heading1"/>
      </w:pPr>
      <w:bookmarkStart w:id="5" w:name="_Toc129843704"/>
      <w:r>
        <w:lastRenderedPageBreak/>
        <w:t>Conclusion</w:t>
      </w:r>
      <w:bookmarkEnd w:id="5"/>
      <w:r>
        <w:t xml:space="preserve"> </w:t>
      </w:r>
    </w:p>
    <w:p w14:paraId="480D14AF" w14:textId="77777777" w:rsidR="005772AB" w:rsidRPr="005772AB" w:rsidRDefault="005772AB" w:rsidP="005772AB"/>
    <w:p w14:paraId="25EF367D" w14:textId="77777777" w:rsidR="008607A3" w:rsidRDefault="008607A3" w:rsidP="004F1363">
      <w:r w:rsidRPr="008607A3">
        <w:t>This examination of BP's techniques for valuing projects demonstrates that, despite the company's strict system for evaluating various project elements, a greater focus on social effect and more thorough methodologies that include a wider variety of criteria beyond financial viability are required. Similar</w:t>
      </w:r>
      <w:r w:rsidR="00B22154">
        <w:t>ly</w:t>
      </w:r>
      <w:r w:rsidRPr="008607A3">
        <w:t xml:space="preserve"> to that, our analysis of BP's dividend distribution policy indicates that, despite the company's continuous dividend payments, more flexibility is required to strike a balance between shareholders' interests and the company's long-term objectives. Notwithstanding certain drawbacks, the efficient market hypothesis theory offers a good foundation for comprehending BP's activities </w:t>
      </w:r>
      <w:r w:rsidR="00B22154">
        <w:t>from</w:t>
      </w:r>
      <w:r w:rsidRPr="008607A3">
        <w:t xml:space="preserve"> the perspective of market efficiency, according to this analysis of the theory. In conclusion, this article highlights the necessity for businesses like BP to strike a balance between financial success and broader social and environmental factors while making decisions that are ultimately advantageous to all stakeholders.</w:t>
      </w:r>
    </w:p>
    <w:p w14:paraId="650A1D85" w14:textId="77777777" w:rsidR="003675CB" w:rsidRDefault="003675CB" w:rsidP="004F1363"/>
    <w:p w14:paraId="501B556D" w14:textId="77777777" w:rsidR="003675CB" w:rsidRDefault="003675CB" w:rsidP="004F1363"/>
    <w:p w14:paraId="43A915D5" w14:textId="77777777" w:rsidR="003675CB" w:rsidRDefault="003675CB" w:rsidP="004F1363"/>
    <w:p w14:paraId="48B7610C" w14:textId="77777777" w:rsidR="003675CB" w:rsidRDefault="003675CB" w:rsidP="004F1363"/>
    <w:p w14:paraId="3E12ECF1" w14:textId="77777777" w:rsidR="003675CB" w:rsidRDefault="003675CB" w:rsidP="004F1363"/>
    <w:p w14:paraId="77189C62" w14:textId="77777777" w:rsidR="003675CB" w:rsidRDefault="003675CB" w:rsidP="004F1363"/>
    <w:p w14:paraId="06345CB5" w14:textId="77777777" w:rsidR="003675CB" w:rsidRDefault="003675CB" w:rsidP="004F1363"/>
    <w:p w14:paraId="21D53E08" w14:textId="77777777" w:rsidR="003675CB" w:rsidRDefault="003675CB" w:rsidP="004F1363"/>
    <w:p w14:paraId="0CB98E2E" w14:textId="77777777" w:rsidR="003675CB" w:rsidRDefault="003675CB" w:rsidP="004F1363"/>
    <w:p w14:paraId="459022F3" w14:textId="77777777" w:rsidR="003675CB" w:rsidRDefault="003675CB" w:rsidP="004F1363"/>
    <w:p w14:paraId="45998C82" w14:textId="77777777" w:rsidR="003675CB" w:rsidRDefault="003675CB" w:rsidP="004F1363"/>
    <w:p w14:paraId="2EB034F7" w14:textId="77777777" w:rsidR="003675CB" w:rsidRDefault="003675CB" w:rsidP="004F1363"/>
    <w:p w14:paraId="38ECA420" w14:textId="77777777" w:rsidR="003675CB" w:rsidRDefault="003675CB" w:rsidP="004F1363"/>
    <w:p w14:paraId="69612289" w14:textId="77777777" w:rsidR="003675CB" w:rsidRDefault="003675CB" w:rsidP="004F1363"/>
    <w:p w14:paraId="6CF1AAEF" w14:textId="77777777" w:rsidR="003675CB" w:rsidRDefault="003675CB" w:rsidP="004F1363"/>
    <w:p w14:paraId="0E3792CE" w14:textId="77777777" w:rsidR="003675CB" w:rsidRDefault="003675CB" w:rsidP="004F1363"/>
    <w:p w14:paraId="0507A59B" w14:textId="77777777" w:rsidR="006A7E3C" w:rsidRDefault="00F3689A" w:rsidP="006A7E3C">
      <w:pPr>
        <w:pStyle w:val="Heading1"/>
      </w:pPr>
      <w:bookmarkStart w:id="6" w:name="_Toc129843705"/>
      <w:r>
        <w:lastRenderedPageBreak/>
        <w:t>References</w:t>
      </w:r>
      <w:bookmarkEnd w:id="6"/>
      <w:r>
        <w:t xml:space="preserve"> </w:t>
      </w:r>
    </w:p>
    <w:p w14:paraId="68E1C96E" w14:textId="77777777" w:rsidR="005772AB" w:rsidRPr="005772AB" w:rsidRDefault="005772AB" w:rsidP="005772AB"/>
    <w:p w14:paraId="1168EAB3" w14:textId="77777777" w:rsidR="006A7E3C" w:rsidRDefault="006A7E3C" w:rsidP="006A7E3C">
      <w:pPr>
        <w:rPr>
          <w:szCs w:val="24"/>
        </w:rPr>
      </w:pPr>
      <w:r>
        <w:t xml:space="preserve">Arnold, G. (2012a). </w:t>
      </w:r>
      <w:r>
        <w:rPr>
          <w:i/>
          <w:iCs/>
        </w:rPr>
        <w:t>Corporate financial management</w:t>
      </w:r>
      <w:r>
        <w:t>. 5th ed. Harlow, England ; New York: Pearson.</w:t>
      </w:r>
    </w:p>
    <w:p w14:paraId="0100A222" w14:textId="77777777" w:rsidR="006A7E3C" w:rsidRDefault="006A7E3C" w:rsidP="006A7E3C">
      <w:r>
        <w:t xml:space="preserve">Arnold, G. (2012b). </w:t>
      </w:r>
      <w:r>
        <w:rPr>
          <w:i/>
          <w:iCs/>
        </w:rPr>
        <w:t>Essentials of corporate financial management</w:t>
      </w:r>
      <w:r>
        <w:t>. Harlow, England ; New York: Pearson.</w:t>
      </w:r>
    </w:p>
    <w:p w14:paraId="1058A24F" w14:textId="77777777" w:rsidR="006A7E3C" w:rsidRDefault="006A7E3C" w:rsidP="006A7E3C">
      <w:r>
        <w:t xml:space="preserve">Atrill, P. (2011). </w:t>
      </w:r>
      <w:r>
        <w:rPr>
          <w:i/>
          <w:iCs/>
        </w:rPr>
        <w:t>Financial management for decision makers</w:t>
      </w:r>
      <w:r>
        <w:t>. 4th ed. Harlow, England ; New York: Ft/Prentice Hall / Financial Times.</w:t>
      </w:r>
    </w:p>
    <w:p w14:paraId="33576DC5" w14:textId="77777777" w:rsidR="006A7E3C" w:rsidRDefault="006A7E3C" w:rsidP="006A7E3C">
      <w:r>
        <w:t xml:space="preserve">Bekaert, G.J. and Hodrick, R.J. (2011). </w:t>
      </w:r>
      <w:r>
        <w:rPr>
          <w:i/>
          <w:iCs/>
        </w:rPr>
        <w:t>International Financial Management</w:t>
      </w:r>
      <w:r>
        <w:t>. Pearson Higher Ed.</w:t>
      </w:r>
    </w:p>
    <w:p w14:paraId="3C1ADEF8" w14:textId="77777777" w:rsidR="006A7E3C" w:rsidRDefault="006A7E3C" w:rsidP="006A7E3C">
      <w:r>
        <w:t>BP. (2020). Dividends. Retrieved from https://www.bp.com/en/global/corporate/investors/dividends.html</w:t>
      </w:r>
    </w:p>
    <w:p w14:paraId="6DE89B5B" w14:textId="77777777" w:rsidR="006A7E3C" w:rsidRDefault="006A7E3C" w:rsidP="006A7E3C">
      <w:r>
        <w:t>British Petroleum. (2021). About us. Retrieved from https://www.bp.com/en/global/corporate/about-bp.html</w:t>
      </w:r>
    </w:p>
    <w:p w14:paraId="0F9CF0B1" w14:textId="77777777" w:rsidR="006A7E3C" w:rsidRDefault="006A7E3C" w:rsidP="006A7E3C">
      <w:r>
        <w:t>Chan, L. K. C., and Lakshminarayanan, V. (2015). Project Appraisal and Risk Management. Hoboken: John Wiley &amp; Sons.</w:t>
      </w:r>
    </w:p>
    <w:p w14:paraId="12CA68E1" w14:textId="468AFCB9" w:rsidR="006A7E3C" w:rsidRDefault="006A7E3C" w:rsidP="006A7E3C">
      <w:r>
        <w:t xml:space="preserve">Egan, M. (2020). BP cuts </w:t>
      </w:r>
      <w:r w:rsidR="00230B1A">
        <w:t>dividends</w:t>
      </w:r>
      <w:r>
        <w:t xml:space="preserve"> for </w:t>
      </w:r>
      <w:r w:rsidR="00230B1A">
        <w:t xml:space="preserve">the </w:t>
      </w:r>
      <w:r>
        <w:t xml:space="preserve">first time in a decade after </w:t>
      </w:r>
      <w:r w:rsidR="00230B1A">
        <w:t xml:space="preserve">a </w:t>
      </w:r>
      <w:r>
        <w:t>record loss. CNN Business. Retrieved from https://www.cnn.com/2020/08/04/business/bp-dividend-cut/index.html</w:t>
      </w:r>
    </w:p>
    <w:p w14:paraId="7A264A83" w14:textId="77777777" w:rsidR="006A7E3C" w:rsidRDefault="006A7E3C" w:rsidP="006A7E3C">
      <w:r>
        <w:t>Harrison, K. (2020). BP dividend cut: What it means for investors. BBC News. Retrieved from https://www.bbc.com/news/business-53641231</w:t>
      </w:r>
    </w:p>
    <w:p w14:paraId="2A058E6F" w14:textId="0CD11EB4" w:rsidR="006A7E3C" w:rsidRDefault="006A7E3C" w:rsidP="006A7E3C">
      <w:r>
        <w:t xml:space="preserve">Mclaney, E.J. (2011). </w:t>
      </w:r>
      <w:r>
        <w:rPr>
          <w:i/>
          <w:iCs/>
        </w:rPr>
        <w:t>Business finance: theory and practice</w:t>
      </w:r>
      <w:r>
        <w:t>. 7th ed. Harlow, England; New York: Pearson.</w:t>
      </w:r>
    </w:p>
    <w:p w14:paraId="32360221" w14:textId="77777777" w:rsidR="006A7E3C" w:rsidRDefault="006A7E3C" w:rsidP="006A7E3C">
      <w:r>
        <w:t xml:space="preserve">Thomson, G. (2017). Evaluating project appraisal methods: A critical review. International Journal of Project Management, 35(8), 1610-1623. doi:10 </w:t>
      </w:r>
    </w:p>
    <w:sectPr w:rsidR="006A7E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8E18" w14:textId="77777777" w:rsidR="002F45C5" w:rsidRDefault="002F45C5" w:rsidP="003675CB">
      <w:pPr>
        <w:spacing w:line="240" w:lineRule="auto"/>
      </w:pPr>
      <w:r>
        <w:separator/>
      </w:r>
    </w:p>
  </w:endnote>
  <w:endnote w:type="continuationSeparator" w:id="0">
    <w:p w14:paraId="07B58A15" w14:textId="77777777" w:rsidR="002F45C5" w:rsidRDefault="002F45C5" w:rsidP="003675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744876"/>
      <w:docPartObj>
        <w:docPartGallery w:val="Page Numbers (Bottom of Page)"/>
        <w:docPartUnique/>
      </w:docPartObj>
    </w:sdtPr>
    <w:sdtEndPr>
      <w:rPr>
        <w:noProof/>
      </w:rPr>
    </w:sdtEndPr>
    <w:sdtContent>
      <w:p w14:paraId="51BC3E59" w14:textId="77777777" w:rsidR="003675CB" w:rsidRDefault="003675CB">
        <w:pPr>
          <w:pStyle w:val="Footer"/>
          <w:jc w:val="center"/>
        </w:pPr>
        <w:r>
          <w:fldChar w:fldCharType="begin"/>
        </w:r>
        <w:r>
          <w:instrText xml:space="preserve"> PAGE   \* MERGEFORMAT </w:instrText>
        </w:r>
        <w:r>
          <w:fldChar w:fldCharType="separate"/>
        </w:r>
        <w:r w:rsidR="00AC65C5">
          <w:rPr>
            <w:noProof/>
          </w:rPr>
          <w:t>1</w:t>
        </w:r>
        <w:r>
          <w:rPr>
            <w:noProof/>
          </w:rPr>
          <w:fldChar w:fldCharType="end"/>
        </w:r>
      </w:p>
    </w:sdtContent>
  </w:sdt>
  <w:p w14:paraId="3DB0C109" w14:textId="77777777" w:rsidR="003675CB" w:rsidRDefault="00367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12AA7" w14:textId="77777777" w:rsidR="002F45C5" w:rsidRDefault="002F45C5" w:rsidP="003675CB">
      <w:pPr>
        <w:spacing w:line="240" w:lineRule="auto"/>
      </w:pPr>
      <w:r>
        <w:separator/>
      </w:r>
    </w:p>
  </w:footnote>
  <w:footnote w:type="continuationSeparator" w:id="0">
    <w:p w14:paraId="64EE5A47" w14:textId="77777777" w:rsidR="002F45C5" w:rsidRDefault="002F45C5" w:rsidP="003675C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xAFGGhgYmhhbGSjpKwanFxZn5eSAFRrUABGUmPiwAAAA="/>
  </w:docVars>
  <w:rsids>
    <w:rsidRoot w:val="008265F9"/>
    <w:rsid w:val="00183A00"/>
    <w:rsid w:val="00230B1A"/>
    <w:rsid w:val="002A5FF1"/>
    <w:rsid w:val="002F45C5"/>
    <w:rsid w:val="003675CB"/>
    <w:rsid w:val="004519CD"/>
    <w:rsid w:val="004F1363"/>
    <w:rsid w:val="0050177B"/>
    <w:rsid w:val="00505E8A"/>
    <w:rsid w:val="005772AB"/>
    <w:rsid w:val="005A4D7A"/>
    <w:rsid w:val="006A7E3C"/>
    <w:rsid w:val="00732C4E"/>
    <w:rsid w:val="008265F9"/>
    <w:rsid w:val="00832FB9"/>
    <w:rsid w:val="008607A3"/>
    <w:rsid w:val="008F1BC7"/>
    <w:rsid w:val="00AC65C5"/>
    <w:rsid w:val="00AF6C67"/>
    <w:rsid w:val="00B22154"/>
    <w:rsid w:val="00BC615D"/>
    <w:rsid w:val="00BE3A28"/>
    <w:rsid w:val="00CB6664"/>
    <w:rsid w:val="00D41F9F"/>
    <w:rsid w:val="00D866D4"/>
    <w:rsid w:val="00D93C04"/>
    <w:rsid w:val="00D94034"/>
    <w:rsid w:val="00DE4E67"/>
    <w:rsid w:val="00E87783"/>
    <w:rsid w:val="00E87852"/>
    <w:rsid w:val="00E92F58"/>
    <w:rsid w:val="00EA00FD"/>
    <w:rsid w:val="00ED4140"/>
    <w:rsid w:val="00F3689A"/>
    <w:rsid w:val="00FE25D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EB933"/>
  <w15:docId w15:val="{2453DDF4-D56C-4256-8DAB-843D128B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66D4"/>
    <w:pPr>
      <w:widowControl w:val="0"/>
      <w:autoSpaceDE w:val="0"/>
      <w:autoSpaceDN w:val="0"/>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NormalWeb">
    <w:name w:val="Normal (Web)"/>
    <w:basedOn w:val="Normal"/>
    <w:uiPriority w:val="99"/>
    <w:semiHidden/>
    <w:unhideWhenUsed/>
    <w:rsid w:val="00F3689A"/>
    <w:pPr>
      <w:widowControl/>
      <w:autoSpaceDE/>
      <w:autoSpaceDN/>
      <w:spacing w:before="100" w:beforeAutospacing="1" w:after="100" w:afterAutospacing="1" w:line="240" w:lineRule="auto"/>
      <w:jc w:val="left"/>
    </w:pPr>
    <w:rPr>
      <w:szCs w:val="24"/>
      <w:lang w:eastAsia="en-GB"/>
    </w:rPr>
  </w:style>
  <w:style w:type="paragraph" w:customStyle="1" w:styleId="Default">
    <w:name w:val="Default"/>
    <w:rsid w:val="008F1BC7"/>
    <w:pPr>
      <w:autoSpaceDE w:val="0"/>
      <w:autoSpaceDN w:val="0"/>
      <w:adjustRightInd w:val="0"/>
      <w:spacing w:after="0" w:line="240" w:lineRule="auto"/>
    </w:pPr>
    <w:rPr>
      <w:rFonts w:ascii="Arial" w:hAnsi="Arial" w:cs="Arial"/>
      <w:color w:val="000000"/>
      <w:sz w:val="24"/>
      <w:szCs w:val="24"/>
      <w:lang w:val="en-GB"/>
    </w:rPr>
  </w:style>
  <w:style w:type="paragraph" w:styleId="Header">
    <w:name w:val="header"/>
    <w:basedOn w:val="Normal"/>
    <w:link w:val="HeaderChar"/>
    <w:uiPriority w:val="99"/>
    <w:unhideWhenUsed/>
    <w:rsid w:val="003675CB"/>
    <w:pPr>
      <w:tabs>
        <w:tab w:val="center" w:pos="4680"/>
        <w:tab w:val="right" w:pos="9360"/>
      </w:tabs>
      <w:spacing w:line="240" w:lineRule="auto"/>
    </w:pPr>
  </w:style>
  <w:style w:type="character" w:customStyle="1" w:styleId="HeaderChar">
    <w:name w:val="Header Char"/>
    <w:basedOn w:val="DefaultParagraphFont"/>
    <w:link w:val="Header"/>
    <w:uiPriority w:val="99"/>
    <w:rsid w:val="003675CB"/>
    <w:rPr>
      <w:rFonts w:ascii="Times New Roman" w:hAnsi="Times New Roman" w:cs="Times New Roman"/>
      <w:sz w:val="24"/>
      <w:lang w:val="en-GB"/>
    </w:rPr>
  </w:style>
  <w:style w:type="paragraph" w:styleId="Footer">
    <w:name w:val="footer"/>
    <w:basedOn w:val="Normal"/>
    <w:link w:val="FooterChar"/>
    <w:uiPriority w:val="99"/>
    <w:unhideWhenUsed/>
    <w:rsid w:val="003675CB"/>
    <w:pPr>
      <w:tabs>
        <w:tab w:val="center" w:pos="4680"/>
        <w:tab w:val="right" w:pos="9360"/>
      </w:tabs>
      <w:spacing w:line="240" w:lineRule="auto"/>
    </w:pPr>
  </w:style>
  <w:style w:type="character" w:customStyle="1" w:styleId="FooterChar">
    <w:name w:val="Footer Char"/>
    <w:basedOn w:val="DefaultParagraphFont"/>
    <w:link w:val="Footer"/>
    <w:uiPriority w:val="99"/>
    <w:rsid w:val="003675CB"/>
    <w:rPr>
      <w:rFonts w:ascii="Times New Roman" w:hAnsi="Times New Roman" w:cs="Times New Roman"/>
      <w:sz w:val="24"/>
      <w:lang w:val="en-GB"/>
    </w:rPr>
  </w:style>
  <w:style w:type="paragraph" w:styleId="ListParagraph">
    <w:name w:val="List Paragraph"/>
    <w:basedOn w:val="Normal"/>
    <w:uiPriority w:val="34"/>
    <w:qFormat/>
    <w:rsid w:val="006A7E3C"/>
    <w:pPr>
      <w:ind w:left="720"/>
      <w:contextualSpacing/>
    </w:pPr>
  </w:style>
  <w:style w:type="paragraph" w:styleId="TOCHeading">
    <w:name w:val="TOC Heading"/>
    <w:basedOn w:val="Heading1"/>
    <w:next w:val="Normal"/>
    <w:uiPriority w:val="39"/>
    <w:unhideWhenUsed/>
    <w:qFormat/>
    <w:rsid w:val="00183A00"/>
    <w:pPr>
      <w:widowControl/>
      <w:autoSpaceDE/>
      <w:autoSpaceDN/>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83A00"/>
    <w:pPr>
      <w:spacing w:after="100"/>
    </w:pPr>
  </w:style>
  <w:style w:type="paragraph" w:styleId="TOC2">
    <w:name w:val="toc 2"/>
    <w:basedOn w:val="Normal"/>
    <w:next w:val="Normal"/>
    <w:autoRedefine/>
    <w:uiPriority w:val="39"/>
    <w:unhideWhenUsed/>
    <w:rsid w:val="00183A00"/>
    <w:pPr>
      <w:spacing w:after="100"/>
      <w:ind w:left="240"/>
    </w:pPr>
  </w:style>
  <w:style w:type="character" w:styleId="Hyperlink">
    <w:name w:val="Hyperlink"/>
    <w:basedOn w:val="DefaultParagraphFont"/>
    <w:uiPriority w:val="99"/>
    <w:unhideWhenUsed/>
    <w:rsid w:val="00183A00"/>
    <w:rPr>
      <w:color w:val="0563C1" w:themeColor="hyperlink"/>
      <w:u w:val="single"/>
    </w:rPr>
  </w:style>
  <w:style w:type="paragraph" w:styleId="BalloonText">
    <w:name w:val="Balloon Text"/>
    <w:basedOn w:val="Normal"/>
    <w:link w:val="BalloonTextChar"/>
    <w:uiPriority w:val="99"/>
    <w:semiHidden/>
    <w:unhideWhenUsed/>
    <w:rsid w:val="00AC65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5C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59030">
      <w:bodyDiv w:val="1"/>
      <w:marLeft w:val="0"/>
      <w:marRight w:val="0"/>
      <w:marTop w:val="0"/>
      <w:marBottom w:val="0"/>
      <w:divBdr>
        <w:top w:val="none" w:sz="0" w:space="0" w:color="auto"/>
        <w:left w:val="none" w:sz="0" w:space="0" w:color="auto"/>
        <w:bottom w:val="none" w:sz="0" w:space="0" w:color="auto"/>
        <w:right w:val="none" w:sz="0" w:space="0" w:color="auto"/>
      </w:divBdr>
    </w:div>
    <w:div w:id="895971536">
      <w:bodyDiv w:val="1"/>
      <w:marLeft w:val="0"/>
      <w:marRight w:val="0"/>
      <w:marTop w:val="0"/>
      <w:marBottom w:val="0"/>
      <w:divBdr>
        <w:top w:val="none" w:sz="0" w:space="0" w:color="auto"/>
        <w:left w:val="none" w:sz="0" w:space="0" w:color="auto"/>
        <w:bottom w:val="none" w:sz="0" w:space="0" w:color="auto"/>
        <w:right w:val="none" w:sz="0" w:space="0" w:color="auto"/>
      </w:divBdr>
      <w:divsChild>
        <w:div w:id="1075514113">
          <w:marLeft w:val="0"/>
          <w:marRight w:val="0"/>
          <w:marTop w:val="0"/>
          <w:marBottom w:val="0"/>
          <w:divBdr>
            <w:top w:val="none" w:sz="0" w:space="0" w:color="auto"/>
            <w:left w:val="none" w:sz="0" w:space="0" w:color="auto"/>
            <w:bottom w:val="none" w:sz="0" w:space="0" w:color="auto"/>
            <w:right w:val="none" w:sz="0" w:space="0" w:color="auto"/>
          </w:divBdr>
        </w:div>
      </w:divsChild>
    </w:div>
    <w:div w:id="126676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5004B-4EC4-474C-A2A4-BC2AB86A1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Kirova (2018270)</dc:creator>
  <cp:keywords/>
  <dc:description/>
  <cp:lastModifiedBy>Nina Kirova (2018270)</cp:lastModifiedBy>
  <cp:revision>22</cp:revision>
  <dcterms:created xsi:type="dcterms:W3CDTF">2023-03-16T00:48:00Z</dcterms:created>
  <dcterms:modified xsi:type="dcterms:W3CDTF">2023-04-26T16:30:00Z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7e9cae5cd50949ba6c69ea53563c31b0535d9daee4635bd7b41e9e30572e9843</vt:lpwstr>
  </property>
</Properties>
</file>