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209F6" w14:textId="01438931" w:rsidR="006B78DA" w:rsidRPr="006B78DA" w:rsidRDefault="006B78DA" w:rsidP="006B78DA">
      <w:pPr>
        <w:jc w:val="center"/>
        <w:rPr>
          <w:rFonts w:ascii="Adobe Gothic Std B" w:eastAsia="Adobe Gothic Std B" w:hAnsi="Adobe Gothic Std B"/>
          <w:b/>
          <w:bCs/>
          <w:sz w:val="28"/>
          <w:szCs w:val="28"/>
          <w:u w:val="single"/>
        </w:rPr>
      </w:pPr>
      <w:r>
        <w:rPr>
          <w:rFonts w:ascii="Adobe Gothic Std B" w:eastAsia="Adobe Gothic Std B" w:hAnsi="Adobe Gothic Std B"/>
          <w:b/>
          <w:bCs/>
          <w:sz w:val="28"/>
          <w:szCs w:val="28"/>
          <w:u w:val="single"/>
        </w:rPr>
        <w:t>Is the law regarding homicide in dire need of reform?</w:t>
      </w:r>
    </w:p>
    <w:p w14:paraId="133187E4" w14:textId="77777777" w:rsidR="006B78DA" w:rsidRDefault="006B78DA">
      <w:pPr>
        <w:rPr>
          <w:rFonts w:ascii="Adobe Gothic Std B" w:eastAsia="Adobe Gothic Std B" w:hAnsi="Adobe Gothic Std B"/>
          <w:b/>
          <w:bCs/>
          <w:u w:val="single"/>
        </w:rPr>
      </w:pPr>
    </w:p>
    <w:p w14:paraId="3CE0CCEF" w14:textId="39F0CF96" w:rsidR="0080029F" w:rsidRPr="003A5DB5" w:rsidRDefault="0080029F" w:rsidP="0080029F">
      <w:pPr>
        <w:pStyle w:val="NormalWeb"/>
        <w:rPr>
          <w:rFonts w:eastAsia="Times New Roman"/>
          <w:lang w:eastAsia="en-GB"/>
        </w:rPr>
      </w:pPr>
      <w:r w:rsidRPr="003A5DB5">
        <w:rPr>
          <w:rFonts w:eastAsia="Times New Roman"/>
          <w:lang w:eastAsia="en-GB"/>
        </w:rPr>
        <w:t>The law governing homicide in England and Wales is often criticized as a "rickety structure set upon shaky foundations." This argument stems from the numerous inconsistencies and ambiguities within the legal framework, leading to unfair outcomes and a lack of clarity for both victims and perpetrators.</w:t>
      </w:r>
    </w:p>
    <w:p w14:paraId="796802AB" w14:textId="77777777" w:rsidR="00C70188" w:rsidRDefault="0080029F" w:rsidP="00E6544D">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One of the main issues with the current law is its classification of different types of homicide. The distinction between murder, manslaughter, and other forms of unlawful killing can be subjective and open to interpretation. This subjectivity allows for inconsistent sentencing, where similar cases may receive vastly different outcomes. Furthermore, this lack of clarity can lead to confusion among jurors who are tasked with determining guilt or innocence.</w:t>
      </w:r>
    </w:p>
    <w:p w14:paraId="4CD87B66" w14:textId="57086DC5" w:rsidR="00E6544D" w:rsidRPr="003A5DB5" w:rsidRDefault="0080029F" w:rsidP="00E6544D">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 xml:space="preserve">Additionally, the law's reliance on outdated principles such as "provocation" further highlights its shaky foundations. The concept of provocation assumes that individuals have limited control over their actions when faced with extreme emotional distress. However, this notion fails to consider modern understandings of mental health and self-control. As a result, individuals who commit heinous acts may receive reduced charges based on an outdated understanding of human </w:t>
      </w:r>
      <w:r w:rsidR="00BE0B8B" w:rsidRPr="003A5DB5">
        <w:rPr>
          <w:rFonts w:ascii="Times New Roman" w:eastAsia="Times New Roman" w:hAnsi="Times New Roman" w:cs="Times New Roman"/>
          <w:sz w:val="24"/>
          <w:szCs w:val="24"/>
          <w:lang w:eastAsia="en-GB"/>
        </w:rPr>
        <w:t>behaviour</w:t>
      </w:r>
      <w:r w:rsidR="00E6544D" w:rsidRPr="003A5DB5">
        <w:rPr>
          <w:rFonts w:ascii="Times New Roman" w:eastAsia="Times New Roman" w:hAnsi="Times New Roman" w:cs="Times New Roman"/>
          <w:sz w:val="24"/>
          <w:szCs w:val="24"/>
          <w:lang w:eastAsia="en-GB"/>
        </w:rPr>
        <w:t>.</w:t>
      </w:r>
      <w:r w:rsidR="00674E48" w:rsidRPr="003A5DB5">
        <w:rPr>
          <w:rFonts w:ascii="Times New Roman" w:eastAsia="Times New Roman" w:hAnsi="Times New Roman" w:cs="Times New Roman"/>
          <w:sz w:val="24"/>
          <w:szCs w:val="24"/>
          <w:lang w:eastAsia="en-GB"/>
        </w:rPr>
        <w:t xml:space="preserve"> </w:t>
      </w:r>
      <w:r w:rsidR="00167850" w:rsidRPr="003A5DB5">
        <w:rPr>
          <w:rFonts w:ascii="Times New Roman" w:eastAsia="Times New Roman" w:hAnsi="Times New Roman" w:cs="Times New Roman"/>
          <w:sz w:val="24"/>
          <w:szCs w:val="24"/>
          <w:lang w:eastAsia="en-GB"/>
        </w:rPr>
        <w:t xml:space="preserve"> </w:t>
      </w:r>
    </w:p>
    <w:p w14:paraId="310CF3BE" w14:textId="2ED35B4D" w:rsidR="005709BA" w:rsidRPr="003A5DB5" w:rsidRDefault="005709BA" w:rsidP="005709BA">
      <w:pPr>
        <w:rPr>
          <w:rFonts w:ascii="Times New Roman" w:hAnsi="Times New Roman" w:cs="Times New Roman"/>
          <w:sz w:val="24"/>
          <w:szCs w:val="24"/>
        </w:rPr>
      </w:pPr>
      <w:r w:rsidRPr="003A5DB5">
        <w:rPr>
          <w:rFonts w:ascii="Times New Roman" w:hAnsi="Times New Roman" w:cs="Times New Roman"/>
          <w:sz w:val="24"/>
          <w:szCs w:val="24"/>
        </w:rPr>
        <w:t>The old defence of provocation contained in S3 of the homicide act 1957 has been abolished and replaced with the new partial defence to murder loss of self-control by S55 and55 of the coroners and Justice Act 2009. There are a few similarities between the old and new law and of course some stark differences the old law contained in free of the homicide act 1957 were largely based on Devlin J's famous</w:t>
      </w:r>
      <w:r w:rsidR="00C7563B">
        <w:rPr>
          <w:rFonts w:ascii="Times New Roman" w:hAnsi="Times New Roman" w:cs="Times New Roman"/>
          <w:sz w:val="24"/>
          <w:szCs w:val="24"/>
        </w:rPr>
        <w:t xml:space="preserve"> case</w:t>
      </w:r>
      <w:r w:rsidRPr="003A5DB5">
        <w:rPr>
          <w:rFonts w:ascii="Times New Roman" w:hAnsi="Times New Roman" w:cs="Times New Roman"/>
          <w:sz w:val="24"/>
          <w:szCs w:val="24"/>
        </w:rPr>
        <w:t xml:space="preserve"> in r v Duffy.</w:t>
      </w:r>
    </w:p>
    <w:p w14:paraId="12AA9775" w14:textId="3E2E9EC5" w:rsidR="002772E4" w:rsidRPr="003A5DB5" w:rsidRDefault="005709BA" w:rsidP="002772E4">
      <w:pPr>
        <w:rPr>
          <w:rFonts w:ascii="Times New Roman" w:hAnsi="Times New Roman" w:cs="Times New Roman"/>
          <w:sz w:val="24"/>
          <w:szCs w:val="24"/>
        </w:rPr>
      </w:pPr>
      <w:r w:rsidRPr="003A5DB5">
        <w:rPr>
          <w:rFonts w:ascii="Times New Roman" w:hAnsi="Times New Roman" w:cs="Times New Roman"/>
          <w:sz w:val="24"/>
          <w:szCs w:val="24"/>
        </w:rPr>
        <w:t xml:space="preserve">Provocation is some act or series of acts done by the dead man to the accused which would cause in any reasonable man and </w:t>
      </w:r>
      <w:r w:rsidR="00C3625C" w:rsidRPr="003A5DB5">
        <w:rPr>
          <w:rFonts w:ascii="Times New Roman" w:hAnsi="Times New Roman" w:cs="Times New Roman"/>
          <w:sz w:val="24"/>
          <w:szCs w:val="24"/>
        </w:rPr>
        <w:t>causes</w:t>
      </w:r>
      <w:r w:rsidRPr="003A5DB5">
        <w:rPr>
          <w:rFonts w:ascii="Times New Roman" w:hAnsi="Times New Roman" w:cs="Times New Roman"/>
          <w:sz w:val="24"/>
          <w:szCs w:val="24"/>
        </w:rPr>
        <w:t xml:space="preserve"> in the accused a sudden temporary loss of self-control rendering the accused subject to passion as to make him or her for the moment not master of his mind.</w:t>
      </w:r>
      <w:r w:rsidR="002772E4" w:rsidRPr="003A5DB5">
        <w:rPr>
          <w:rFonts w:ascii="Times New Roman" w:hAnsi="Times New Roman" w:cs="Times New Roman"/>
          <w:sz w:val="24"/>
          <w:szCs w:val="24"/>
        </w:rPr>
        <w:t xml:space="preserve"> The homicide act revised the common law rule as to when the provocation defence would arise the loss of self-control must have been sudden and temporary therefore excluding the opportunity for defendants suffering from domestic violence the chan</w:t>
      </w:r>
      <w:r w:rsidR="000B6044">
        <w:rPr>
          <w:rFonts w:ascii="Times New Roman" w:hAnsi="Times New Roman" w:cs="Times New Roman"/>
          <w:sz w:val="24"/>
          <w:szCs w:val="24"/>
        </w:rPr>
        <w:t>c</w:t>
      </w:r>
      <w:r w:rsidR="002772E4" w:rsidRPr="003A5DB5">
        <w:rPr>
          <w:rFonts w:ascii="Times New Roman" w:hAnsi="Times New Roman" w:cs="Times New Roman"/>
          <w:sz w:val="24"/>
          <w:szCs w:val="24"/>
        </w:rPr>
        <w:t xml:space="preserve">e to raise their defence in their retaliation resulting in the death of their abuser </w:t>
      </w:r>
      <w:r w:rsidR="00CC2E1B" w:rsidRPr="003A5DB5">
        <w:rPr>
          <w:rFonts w:ascii="Times New Roman" w:hAnsi="Times New Roman" w:cs="Times New Roman"/>
          <w:sz w:val="24"/>
          <w:szCs w:val="24"/>
        </w:rPr>
        <w:t>if</w:t>
      </w:r>
      <w:r w:rsidR="002772E4" w:rsidRPr="003A5DB5">
        <w:rPr>
          <w:rFonts w:ascii="Times New Roman" w:hAnsi="Times New Roman" w:cs="Times New Roman"/>
          <w:sz w:val="24"/>
          <w:szCs w:val="24"/>
        </w:rPr>
        <w:t xml:space="preserve"> the loss of self-control was not sudden and temporary.</w:t>
      </w:r>
    </w:p>
    <w:p w14:paraId="7234C813" w14:textId="77777777" w:rsidR="00CA0657" w:rsidRDefault="00CF399D" w:rsidP="00E6544D">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However, there are also important differences between the two legal systems. For instance, England has retained the concept of "diminished responsibility," which allows defendants to argue that their mental state at the time of the offense should reduce their culpability. In contrast, Wales abolished this defence in 2010, adopting a more stringent approach to mental health issues in murder cases.</w:t>
      </w:r>
    </w:p>
    <w:p w14:paraId="14EF517A" w14:textId="3856BA45" w:rsidR="00CE7472" w:rsidRPr="003A5DB5" w:rsidRDefault="00CE7472" w:rsidP="00E6544D">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hAnsi="Times New Roman" w:cs="Times New Roman"/>
          <w:sz w:val="24"/>
          <w:szCs w:val="24"/>
        </w:rPr>
        <w:t xml:space="preserve">Section 52 of the act significantly improves on the definition by section two of the homicide act 1957. The new definition includes that the abnormality requirement may arise from a recognised medical condition as well as allowing more weight to be attached to the expert testimony of a medical professionals in determining under 1A whether the defendant can form a rational judgement of exercise self-control. This is a </w:t>
      </w:r>
      <w:r w:rsidR="00B8129D" w:rsidRPr="003A5DB5">
        <w:rPr>
          <w:rFonts w:ascii="Times New Roman" w:hAnsi="Times New Roman" w:cs="Times New Roman"/>
          <w:sz w:val="24"/>
          <w:szCs w:val="24"/>
        </w:rPr>
        <w:t>much-welcomed</w:t>
      </w:r>
      <w:r w:rsidRPr="003A5DB5">
        <w:rPr>
          <w:rFonts w:ascii="Times New Roman" w:hAnsi="Times New Roman" w:cs="Times New Roman"/>
          <w:sz w:val="24"/>
          <w:szCs w:val="24"/>
        </w:rPr>
        <w:t xml:space="preserve"> development as the old law had caused much confusion</w:t>
      </w:r>
      <w:r w:rsidR="00B8129D" w:rsidRPr="003A5DB5">
        <w:rPr>
          <w:rFonts w:ascii="Times New Roman" w:hAnsi="Times New Roman" w:cs="Times New Roman"/>
          <w:sz w:val="24"/>
          <w:szCs w:val="24"/>
        </w:rPr>
        <w:t>.</w:t>
      </w:r>
    </w:p>
    <w:p w14:paraId="7C61ACEB" w14:textId="37B68C95" w:rsidR="00CA0657" w:rsidRDefault="00E6544D" w:rsidP="00E6544D">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lastRenderedPageBreak/>
        <w:t xml:space="preserve">Another weakness is the lack of consistency in sentencing. Critics argue that there is </w:t>
      </w:r>
      <w:r w:rsidR="00BB0FEE">
        <w:rPr>
          <w:rFonts w:ascii="Times New Roman" w:eastAsia="Times New Roman" w:hAnsi="Times New Roman" w:cs="Times New Roman"/>
          <w:sz w:val="24"/>
          <w:szCs w:val="24"/>
          <w:lang w:eastAsia="en-GB"/>
        </w:rPr>
        <w:t>‘</w:t>
      </w:r>
      <w:r w:rsidRPr="003A5DB5">
        <w:rPr>
          <w:rFonts w:ascii="Times New Roman" w:eastAsia="Times New Roman" w:hAnsi="Times New Roman" w:cs="Times New Roman"/>
          <w:sz w:val="24"/>
          <w:szCs w:val="24"/>
          <w:lang w:eastAsia="en-GB"/>
        </w:rPr>
        <w:t>no clear guidance</w:t>
      </w:r>
      <w:r w:rsidR="00BB0FEE">
        <w:rPr>
          <w:rFonts w:ascii="Times New Roman" w:eastAsia="Times New Roman" w:hAnsi="Times New Roman" w:cs="Times New Roman"/>
          <w:sz w:val="24"/>
          <w:szCs w:val="24"/>
          <w:lang w:eastAsia="en-GB"/>
        </w:rPr>
        <w:t>’</w:t>
      </w:r>
      <w:r w:rsidRPr="003A5DB5">
        <w:rPr>
          <w:rFonts w:ascii="Times New Roman" w:eastAsia="Times New Roman" w:hAnsi="Times New Roman" w:cs="Times New Roman"/>
          <w:sz w:val="24"/>
          <w:szCs w:val="24"/>
          <w:lang w:eastAsia="en-GB"/>
        </w:rPr>
        <w:t xml:space="preserve"> on how to determine appropriate punishments for different types of homicides. This leads to disparities in sentencing outcomes, which undermines public confidence in the justice system. In comparison, some countries have established guidelines or mandatory minimum sentences to ensure more consistent outcomes.</w:t>
      </w:r>
    </w:p>
    <w:p w14:paraId="1137D8FA" w14:textId="10112268" w:rsidR="00E6544D" w:rsidRPr="003A5DB5" w:rsidRDefault="00E92653" w:rsidP="00E6544D">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I</w:t>
      </w:r>
      <w:r w:rsidR="00E6544D" w:rsidRPr="003A5DB5">
        <w:rPr>
          <w:rFonts w:ascii="Times New Roman" w:eastAsia="Times New Roman" w:hAnsi="Times New Roman" w:cs="Times New Roman"/>
          <w:sz w:val="24"/>
          <w:szCs w:val="24"/>
          <w:lang w:eastAsia="en-GB"/>
        </w:rPr>
        <w:t>t is important to acknowledge some strengths of the English and Welsh legal framework. The system allows for flexibility in considering individual circumstances when determining culpability and punishment. This allows judges to consider factors such as provocation or diminished responsibility when deciding on charges or sentencing.</w:t>
      </w:r>
    </w:p>
    <w:p w14:paraId="268BA153" w14:textId="374974E5" w:rsidR="00E6544D" w:rsidRPr="003A5DB5" w:rsidRDefault="00E6544D" w:rsidP="00E6544D">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 xml:space="preserve"> </w:t>
      </w:r>
      <w:r w:rsidR="004B27E4" w:rsidRPr="003A5DB5">
        <w:rPr>
          <w:rFonts w:ascii="Times New Roman" w:eastAsia="Times New Roman" w:hAnsi="Times New Roman" w:cs="Times New Roman"/>
          <w:sz w:val="24"/>
          <w:szCs w:val="24"/>
          <w:lang w:eastAsia="en-GB"/>
        </w:rPr>
        <w:t>T</w:t>
      </w:r>
      <w:r w:rsidRPr="003A5DB5">
        <w:rPr>
          <w:rFonts w:ascii="Times New Roman" w:eastAsia="Times New Roman" w:hAnsi="Times New Roman" w:cs="Times New Roman"/>
          <w:sz w:val="24"/>
          <w:szCs w:val="24"/>
          <w:lang w:eastAsia="en-GB"/>
        </w:rPr>
        <w:t>he law provides safeguards against wrongful convictions by requiring a high burden of proof for murder charges. The requirement for intent or recklessness ensures that individuals are not unjustly punished for accidental deaths.</w:t>
      </w:r>
    </w:p>
    <w:p w14:paraId="0A1F5A0A" w14:textId="5AC00219" w:rsidR="00BF12A1" w:rsidRPr="003A5DB5" w:rsidRDefault="00BF12A1" w:rsidP="00BF12A1">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Homicide laws in England and Wales have</w:t>
      </w:r>
      <w:r w:rsidR="00202F47" w:rsidRPr="003A5DB5">
        <w:rPr>
          <w:rFonts w:ascii="Times New Roman" w:eastAsia="Times New Roman" w:hAnsi="Times New Roman" w:cs="Times New Roman"/>
          <w:sz w:val="24"/>
          <w:szCs w:val="24"/>
          <w:lang w:eastAsia="en-GB"/>
        </w:rPr>
        <w:t xml:space="preserve"> also</w:t>
      </w:r>
      <w:r w:rsidRPr="003A5DB5">
        <w:rPr>
          <w:rFonts w:ascii="Times New Roman" w:eastAsia="Times New Roman" w:hAnsi="Times New Roman" w:cs="Times New Roman"/>
          <w:sz w:val="24"/>
          <w:szCs w:val="24"/>
          <w:lang w:eastAsia="en-GB"/>
        </w:rPr>
        <w:t xml:space="preserve"> evolved over the years to reflect changing societal values and legal principles. While both jurisdictions share similarities in their approach to homicide, there are also notable differences.</w:t>
      </w:r>
    </w:p>
    <w:p w14:paraId="5FCC6D25" w14:textId="77777777" w:rsidR="00C41D31" w:rsidRPr="003A5DB5" w:rsidRDefault="00E80BBC" w:rsidP="00BF12A1">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while England and Wales share some similarities in their homicide laws regarding murder charges, there are distinct differences concerning diminished responsibility and manslaughter offenses. These variations highlight how each jurisdiction has tailored its legal framework to address specific concerns within its society.</w:t>
      </w:r>
    </w:p>
    <w:p w14:paraId="48FAD36C" w14:textId="1BE5F3F3" w:rsidR="00BF12A1" w:rsidRPr="003A5DB5" w:rsidRDefault="00BF12A1" w:rsidP="00BF12A1">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One key similarity is that both England and Wales recognize murder as the most serious form of homicide, punishable by life imprisonment. In both jurisdictions, a person can be charged with murder if they unlawfully cause the death of another person with intent or foresight of causing serious harm. This shared understanding reflects a common commitment to protecting human life.</w:t>
      </w:r>
      <w:bookmarkStart w:id="0" w:name="_Hlk139588453"/>
    </w:p>
    <w:bookmarkEnd w:id="0"/>
    <w:p w14:paraId="598DA8BB" w14:textId="77777777" w:rsidR="00BF12A1" w:rsidRDefault="00BF12A1" w:rsidP="00BF12A1">
      <w:pPr>
        <w:spacing w:before="100" w:beforeAutospacing="1" w:after="100" w:afterAutospacing="1" w:line="240" w:lineRule="auto"/>
        <w:rPr>
          <w:rFonts w:ascii="Times New Roman" w:eastAsia="Times New Roman" w:hAnsi="Times New Roman" w:cs="Times New Roman"/>
          <w:sz w:val="24"/>
          <w:szCs w:val="24"/>
          <w:lang w:eastAsia="en-GB"/>
        </w:rPr>
      </w:pPr>
      <w:r w:rsidRPr="003A5DB5">
        <w:rPr>
          <w:rFonts w:ascii="Times New Roman" w:eastAsia="Times New Roman" w:hAnsi="Times New Roman" w:cs="Times New Roman"/>
          <w:sz w:val="24"/>
          <w:szCs w:val="24"/>
          <w:lang w:eastAsia="en-GB"/>
        </w:rPr>
        <w:t>Additionally, England and Wales differ in their treatment of manslaughter offenses. While both jurisdictions recognize voluntary manslaughter (where there is an intention to kill but with mitigating circumstances), only England has a separate offense for involuntary manslaughter (where death occurs due to negligence or recklessness). In Wales, such cases are typically prosecuted under a broader category of unlawful act manslaughter.</w:t>
      </w:r>
    </w:p>
    <w:p w14:paraId="0566BA73" w14:textId="77777777" w:rsidR="00E63E84" w:rsidRPr="00E63E84" w:rsidRDefault="00E63E84" w:rsidP="00E63E84">
      <w:pPr>
        <w:spacing w:before="100" w:beforeAutospacing="1" w:after="100" w:afterAutospacing="1" w:line="240" w:lineRule="auto"/>
        <w:rPr>
          <w:rFonts w:ascii="Times New Roman" w:eastAsia="Times New Roman" w:hAnsi="Times New Roman" w:cs="Times New Roman"/>
          <w:sz w:val="24"/>
          <w:szCs w:val="24"/>
          <w:lang w:eastAsia="en-GB"/>
        </w:rPr>
      </w:pPr>
      <w:r w:rsidRPr="00E63E84">
        <w:rPr>
          <w:rFonts w:ascii="Times New Roman" w:eastAsia="Times New Roman" w:hAnsi="Times New Roman" w:cs="Times New Roman"/>
          <w:sz w:val="24"/>
          <w:szCs w:val="24"/>
          <w:lang w:eastAsia="en-GB"/>
        </w:rPr>
        <w:t>The government's acceptance or rejection of proposals for reform is a complex decision-making process that involves various factors. One reason why the government accepts some proposals is their potential to address pressing issues and improve the overall well-being of society. For instance, if a proposal aims to reduce income inequality or enhance public healthcare, it may be more likely to gain acceptance as it aligns with the government's goals.</w:t>
      </w:r>
    </w:p>
    <w:p w14:paraId="510B7FC1" w14:textId="77777777" w:rsidR="00E63E84" w:rsidRPr="00E63E84" w:rsidRDefault="00E63E84" w:rsidP="00E63E84">
      <w:pPr>
        <w:spacing w:before="100" w:beforeAutospacing="1" w:after="100" w:afterAutospacing="1" w:line="240" w:lineRule="auto"/>
        <w:rPr>
          <w:rFonts w:ascii="Times New Roman" w:eastAsia="Times New Roman" w:hAnsi="Times New Roman" w:cs="Times New Roman"/>
          <w:sz w:val="24"/>
          <w:szCs w:val="24"/>
          <w:lang w:eastAsia="en-GB"/>
        </w:rPr>
      </w:pPr>
      <w:r w:rsidRPr="00E63E84">
        <w:rPr>
          <w:rFonts w:ascii="Times New Roman" w:eastAsia="Times New Roman" w:hAnsi="Times New Roman" w:cs="Times New Roman"/>
          <w:sz w:val="24"/>
          <w:szCs w:val="24"/>
          <w:lang w:eastAsia="en-GB"/>
        </w:rPr>
        <w:t>On the other hand, proposals that are deemed impractical or too costly may be rejected. The government has limited resources and must prioritize which reforms are feasible within their budget constraints. Additionally, political considerations play a significant role in decision-making. Proposals that align with the ruling party's ideology or promises made during election campaigns are more likely to be accepted, while those contradicting these principles may face rejection.</w:t>
      </w:r>
    </w:p>
    <w:p w14:paraId="4130EEDF" w14:textId="77777777" w:rsidR="00E63E84" w:rsidRDefault="00E63E84" w:rsidP="00E63E84">
      <w:pPr>
        <w:spacing w:before="100" w:beforeAutospacing="1" w:after="100" w:afterAutospacing="1" w:line="240" w:lineRule="auto"/>
        <w:rPr>
          <w:rFonts w:ascii="Times New Roman" w:eastAsia="Times New Roman" w:hAnsi="Times New Roman" w:cs="Times New Roman"/>
          <w:sz w:val="24"/>
          <w:szCs w:val="24"/>
          <w:lang w:eastAsia="en-GB"/>
        </w:rPr>
      </w:pPr>
      <w:r w:rsidRPr="00E63E84">
        <w:rPr>
          <w:rFonts w:ascii="Times New Roman" w:eastAsia="Times New Roman" w:hAnsi="Times New Roman" w:cs="Times New Roman"/>
          <w:sz w:val="24"/>
          <w:szCs w:val="24"/>
          <w:lang w:eastAsia="en-GB"/>
        </w:rPr>
        <w:lastRenderedPageBreak/>
        <w:t>Furthermore, lobbying and public opinion can influence the government's decision-making process. Powerful interest groups often advocate for reforms that benefit their members, leading to some proposals being accepted due to pressure from these groups. Similarly, public support or opposition can sway the government's stance on certain reforms.</w:t>
      </w:r>
    </w:p>
    <w:p w14:paraId="729D0266" w14:textId="77777777" w:rsidR="00BF15DB" w:rsidRPr="00BF15DB" w:rsidRDefault="00BF15DB" w:rsidP="00BF15DB">
      <w:pPr>
        <w:spacing w:before="100" w:beforeAutospacing="1" w:after="100" w:afterAutospacing="1" w:line="240" w:lineRule="auto"/>
        <w:rPr>
          <w:rFonts w:ascii="Times New Roman" w:eastAsia="Times New Roman" w:hAnsi="Times New Roman" w:cs="Times New Roman"/>
          <w:sz w:val="24"/>
          <w:szCs w:val="24"/>
          <w:lang w:eastAsia="en-GB"/>
        </w:rPr>
      </w:pPr>
      <w:r w:rsidRPr="00BF15DB">
        <w:rPr>
          <w:rFonts w:ascii="Times New Roman" w:eastAsia="Times New Roman" w:hAnsi="Times New Roman" w:cs="Times New Roman"/>
          <w:sz w:val="24"/>
          <w:szCs w:val="24"/>
          <w:lang w:eastAsia="en-GB"/>
        </w:rPr>
        <w:t>Reform is an essential aspect of any society, as it allows for progress and improvement. However, there are arguments against reform that should be considered. One argument against reform is the fear of change. Many individuals are resistant to change because they find comfort in the familiar. They worry that reform will disrupt their lives and lead to uncertainty. Additionally, some argue that reform can be costly and time-consuming. Implementing new policies or systems often requires significant financial resources and may take a long time to see tangible results.</w:t>
      </w:r>
    </w:p>
    <w:p w14:paraId="0C7200F0" w14:textId="77777777" w:rsidR="00BF15DB" w:rsidRPr="00BF15DB" w:rsidRDefault="00BF15DB" w:rsidP="00BF15DB">
      <w:pPr>
        <w:spacing w:before="100" w:beforeAutospacing="1" w:after="100" w:afterAutospacing="1" w:line="240" w:lineRule="auto"/>
        <w:rPr>
          <w:rFonts w:ascii="Times New Roman" w:eastAsia="Times New Roman" w:hAnsi="Times New Roman" w:cs="Times New Roman"/>
          <w:sz w:val="24"/>
          <w:szCs w:val="24"/>
          <w:lang w:eastAsia="en-GB"/>
        </w:rPr>
      </w:pPr>
      <w:r w:rsidRPr="00BF15DB">
        <w:rPr>
          <w:rFonts w:ascii="Times New Roman" w:eastAsia="Times New Roman" w:hAnsi="Times New Roman" w:cs="Times New Roman"/>
          <w:sz w:val="24"/>
          <w:szCs w:val="24"/>
          <w:lang w:eastAsia="en-GB"/>
        </w:rPr>
        <w:t>Another argument against reform is the belief that the current system is sufficient. Some individuals argue that if something has been working for a long time, there is no need for change. They believe that reforms may do more harm than good by disrupting established structures and processes.</w:t>
      </w:r>
    </w:p>
    <w:p w14:paraId="0C9AB0A9" w14:textId="77777777" w:rsidR="00BF15DB" w:rsidRPr="00BF15DB" w:rsidRDefault="00BF15DB" w:rsidP="00BF15DB">
      <w:pPr>
        <w:spacing w:before="100" w:beforeAutospacing="1" w:after="100" w:afterAutospacing="1" w:line="240" w:lineRule="auto"/>
        <w:rPr>
          <w:rFonts w:ascii="Times New Roman" w:eastAsia="Times New Roman" w:hAnsi="Times New Roman" w:cs="Times New Roman"/>
          <w:sz w:val="24"/>
          <w:szCs w:val="24"/>
          <w:lang w:eastAsia="en-GB"/>
        </w:rPr>
      </w:pPr>
      <w:r w:rsidRPr="00BF15DB">
        <w:rPr>
          <w:rFonts w:ascii="Times New Roman" w:eastAsia="Times New Roman" w:hAnsi="Times New Roman" w:cs="Times New Roman"/>
          <w:sz w:val="24"/>
          <w:szCs w:val="24"/>
          <w:lang w:eastAsia="en-GB"/>
        </w:rPr>
        <w:t>Furthermore, opponents of reform argue that it can lead to unintended consequences. They claim that even well-intentioned reforms can have negative impacts on certain groups or sectors of society. For example, a policy aimed at reducing income inequality may inadvertently discourage entrepreneurship or stifle economic growth.</w:t>
      </w:r>
    </w:p>
    <w:p w14:paraId="25780316" w14:textId="77777777" w:rsidR="00BF15DB" w:rsidRPr="00BF15DB" w:rsidRDefault="00BF15DB" w:rsidP="00BF15DB">
      <w:pPr>
        <w:spacing w:before="100" w:beforeAutospacing="1" w:after="100" w:afterAutospacing="1" w:line="240" w:lineRule="auto"/>
        <w:rPr>
          <w:rFonts w:ascii="Times New Roman" w:eastAsia="Times New Roman" w:hAnsi="Times New Roman" w:cs="Times New Roman"/>
          <w:sz w:val="24"/>
          <w:szCs w:val="24"/>
          <w:lang w:eastAsia="en-GB"/>
        </w:rPr>
      </w:pPr>
      <w:r w:rsidRPr="00BF15DB">
        <w:rPr>
          <w:rFonts w:ascii="Times New Roman" w:eastAsia="Times New Roman" w:hAnsi="Times New Roman" w:cs="Times New Roman"/>
          <w:sz w:val="24"/>
          <w:szCs w:val="24"/>
          <w:lang w:eastAsia="en-GB"/>
        </w:rPr>
        <w:t>In contrast, proponents of reform argue that it is necessary for addressing societal issues and improving living conditions for all citizens. They believe that without reform, problems such as social inequality, environmental degradation, and political corruption will persist.</w:t>
      </w:r>
    </w:p>
    <w:p w14:paraId="081B259B" w14:textId="44A74D8C" w:rsidR="00BF15DB" w:rsidRPr="00BF15DB" w:rsidRDefault="00BF15DB" w:rsidP="00BF15DB">
      <w:pPr>
        <w:spacing w:before="100" w:beforeAutospacing="1" w:after="100" w:afterAutospacing="1" w:line="240" w:lineRule="auto"/>
        <w:rPr>
          <w:rFonts w:ascii="Times New Roman" w:eastAsia="Times New Roman" w:hAnsi="Times New Roman" w:cs="Times New Roman"/>
          <w:sz w:val="24"/>
          <w:szCs w:val="24"/>
          <w:lang w:eastAsia="en-GB"/>
        </w:rPr>
      </w:pPr>
      <w:r w:rsidRPr="00BF15DB">
        <w:rPr>
          <w:rFonts w:ascii="Times New Roman" w:eastAsia="Times New Roman" w:hAnsi="Times New Roman" w:cs="Times New Roman"/>
          <w:sz w:val="24"/>
          <w:szCs w:val="24"/>
          <w:lang w:eastAsia="en-GB"/>
        </w:rPr>
        <w:t xml:space="preserve"> while there are valid arguments against reform such as fear of change, costliness, and potential unintended consequences; proponents emphasize its importance in tackling societal challenges effectively. Striking a balance between preserving what works in the current system while embracing necessary changes is crucial for achieving progress in any society</w:t>
      </w:r>
      <w:r>
        <w:rPr>
          <w:rFonts w:ascii="Times New Roman" w:eastAsia="Times New Roman" w:hAnsi="Times New Roman" w:cs="Times New Roman"/>
          <w:sz w:val="24"/>
          <w:szCs w:val="24"/>
          <w:lang w:eastAsia="en-GB"/>
        </w:rPr>
        <w:t>.</w:t>
      </w:r>
    </w:p>
    <w:p w14:paraId="2AD3406E" w14:textId="77777777" w:rsidR="004C72D6" w:rsidRDefault="00E63E84" w:rsidP="006F0535">
      <w:pPr>
        <w:spacing w:before="100" w:beforeAutospacing="1" w:after="100" w:afterAutospacing="1" w:line="240" w:lineRule="auto"/>
        <w:rPr>
          <w:rFonts w:ascii="Times New Roman" w:eastAsia="Times New Roman" w:hAnsi="Times New Roman" w:cs="Times New Roman"/>
          <w:sz w:val="24"/>
          <w:szCs w:val="24"/>
          <w:lang w:eastAsia="en-GB"/>
        </w:rPr>
      </w:pPr>
      <w:r w:rsidRPr="00E63E84">
        <w:rPr>
          <w:rFonts w:ascii="Times New Roman" w:eastAsia="Times New Roman" w:hAnsi="Times New Roman" w:cs="Times New Roman"/>
          <w:sz w:val="24"/>
          <w:szCs w:val="24"/>
          <w:lang w:eastAsia="en-GB"/>
        </w:rPr>
        <w:t>In conclusion, the acceptance or rejection of reform proposals by governments depends on several factors such as their alignment with societal needs and political ideologies, feasibility within budget constraints, lobbying efforts by interest groups, and public opinion. Understanding these dynamics helps shed light on why some proposals are embraced while others are rejected by governments worldwide.</w:t>
      </w:r>
      <w:r w:rsidR="0064305A">
        <w:rPr>
          <w:rFonts w:ascii="Times New Roman" w:eastAsia="Times New Roman" w:hAnsi="Times New Roman" w:cs="Times New Roman"/>
          <w:sz w:val="24"/>
          <w:szCs w:val="24"/>
          <w:lang w:eastAsia="en-GB"/>
        </w:rPr>
        <w:t xml:space="preserve"> </w:t>
      </w:r>
    </w:p>
    <w:p w14:paraId="3269D82A" w14:textId="35313177" w:rsidR="0058389E" w:rsidRPr="00C61B37" w:rsidRDefault="00107285" w:rsidP="00C61B37">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t>
      </w:r>
      <w:r w:rsidR="006F0535" w:rsidRPr="003A5DB5">
        <w:rPr>
          <w:rFonts w:ascii="Times New Roman" w:eastAsia="Times New Roman" w:hAnsi="Times New Roman" w:cs="Times New Roman"/>
          <w:sz w:val="24"/>
          <w:szCs w:val="24"/>
          <w:lang w:eastAsia="en-GB"/>
        </w:rPr>
        <w:t>hile there are valid criticisms regarding the complexity and inconsistency of homicide laws in England and Wales, there are also important strengths that should not be overlooked. Efforts should be made to simplify the legislation while maintaining flexibility and ensuring fairness in sentencing outcomes.</w:t>
      </w:r>
    </w:p>
    <w:sectPr w:rsidR="0058389E" w:rsidRPr="00C61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obe Gothic Std B">
    <w:panose1 w:val="020B0800000000000000"/>
    <w:charset w:val="80"/>
    <w:family w:val="swiss"/>
    <w:notTrueType/>
    <w:pitch w:val="variable"/>
    <w:sig w:usb0="00000203" w:usb1="29D72C10" w:usb2="00000010" w:usb3="00000000" w:csb0="002A0005"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C56"/>
    <w:rsid w:val="00021E92"/>
    <w:rsid w:val="00082F51"/>
    <w:rsid w:val="000B6044"/>
    <w:rsid w:val="000E08A9"/>
    <w:rsid w:val="000F4E43"/>
    <w:rsid w:val="00107285"/>
    <w:rsid w:val="00132DD6"/>
    <w:rsid w:val="00167850"/>
    <w:rsid w:val="0018106A"/>
    <w:rsid w:val="001B7BBD"/>
    <w:rsid w:val="001F3551"/>
    <w:rsid w:val="00202F47"/>
    <w:rsid w:val="0027692D"/>
    <w:rsid w:val="002772E4"/>
    <w:rsid w:val="002B0D89"/>
    <w:rsid w:val="002D0DC9"/>
    <w:rsid w:val="00322B78"/>
    <w:rsid w:val="003A5DB5"/>
    <w:rsid w:val="0044581D"/>
    <w:rsid w:val="00452DA2"/>
    <w:rsid w:val="004B27E4"/>
    <w:rsid w:val="004C72D6"/>
    <w:rsid w:val="004D7572"/>
    <w:rsid w:val="004E2494"/>
    <w:rsid w:val="005113EA"/>
    <w:rsid w:val="005133BE"/>
    <w:rsid w:val="005430AB"/>
    <w:rsid w:val="005709BA"/>
    <w:rsid w:val="005762E8"/>
    <w:rsid w:val="0058389E"/>
    <w:rsid w:val="005F7C56"/>
    <w:rsid w:val="00605E0D"/>
    <w:rsid w:val="0064305A"/>
    <w:rsid w:val="006732FE"/>
    <w:rsid w:val="00674E48"/>
    <w:rsid w:val="006B78DA"/>
    <w:rsid w:val="006F0535"/>
    <w:rsid w:val="00767929"/>
    <w:rsid w:val="0077216B"/>
    <w:rsid w:val="007D47D3"/>
    <w:rsid w:val="0080029F"/>
    <w:rsid w:val="008960F5"/>
    <w:rsid w:val="009258DD"/>
    <w:rsid w:val="009F0B0B"/>
    <w:rsid w:val="00A1438E"/>
    <w:rsid w:val="00A94228"/>
    <w:rsid w:val="00AF1F27"/>
    <w:rsid w:val="00B0670B"/>
    <w:rsid w:val="00B8129D"/>
    <w:rsid w:val="00BB0FEE"/>
    <w:rsid w:val="00BD2652"/>
    <w:rsid w:val="00BE0B8B"/>
    <w:rsid w:val="00BF12A1"/>
    <w:rsid w:val="00BF15DB"/>
    <w:rsid w:val="00C2458D"/>
    <w:rsid w:val="00C31347"/>
    <w:rsid w:val="00C3625C"/>
    <w:rsid w:val="00C41D31"/>
    <w:rsid w:val="00C61B37"/>
    <w:rsid w:val="00C70188"/>
    <w:rsid w:val="00C7563B"/>
    <w:rsid w:val="00CA0657"/>
    <w:rsid w:val="00CC2E1B"/>
    <w:rsid w:val="00CE7472"/>
    <w:rsid w:val="00CF399D"/>
    <w:rsid w:val="00D6762B"/>
    <w:rsid w:val="00E52710"/>
    <w:rsid w:val="00E63E84"/>
    <w:rsid w:val="00E6544D"/>
    <w:rsid w:val="00E80BBC"/>
    <w:rsid w:val="00E92653"/>
    <w:rsid w:val="00EB0C89"/>
    <w:rsid w:val="00EB415E"/>
    <w:rsid w:val="00EB7296"/>
    <w:rsid w:val="00F76203"/>
    <w:rsid w:val="00FC5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7EF95"/>
  <w15:chartTrackingRefBased/>
  <w15:docId w15:val="{89786CC3-6F7D-4576-B2D1-F14E01689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EB7296"/>
  </w:style>
  <w:style w:type="character" w:customStyle="1" w:styleId="kx21rb">
    <w:name w:val="kx21rb"/>
    <w:basedOn w:val="DefaultParagraphFont"/>
    <w:rsid w:val="00EB7296"/>
  </w:style>
  <w:style w:type="paragraph" w:styleId="NormalWeb">
    <w:name w:val="Normal (Web)"/>
    <w:basedOn w:val="Normal"/>
    <w:uiPriority w:val="99"/>
    <w:semiHidden/>
    <w:unhideWhenUsed/>
    <w:rsid w:val="004E249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3553">
      <w:bodyDiv w:val="1"/>
      <w:marLeft w:val="0"/>
      <w:marRight w:val="0"/>
      <w:marTop w:val="0"/>
      <w:marBottom w:val="0"/>
      <w:divBdr>
        <w:top w:val="none" w:sz="0" w:space="0" w:color="auto"/>
        <w:left w:val="none" w:sz="0" w:space="0" w:color="auto"/>
        <w:bottom w:val="none" w:sz="0" w:space="0" w:color="auto"/>
        <w:right w:val="none" w:sz="0" w:space="0" w:color="auto"/>
      </w:divBdr>
    </w:div>
    <w:div w:id="244649905">
      <w:bodyDiv w:val="1"/>
      <w:marLeft w:val="0"/>
      <w:marRight w:val="0"/>
      <w:marTop w:val="0"/>
      <w:marBottom w:val="0"/>
      <w:divBdr>
        <w:top w:val="none" w:sz="0" w:space="0" w:color="auto"/>
        <w:left w:val="none" w:sz="0" w:space="0" w:color="auto"/>
        <w:bottom w:val="none" w:sz="0" w:space="0" w:color="auto"/>
        <w:right w:val="none" w:sz="0" w:space="0" w:color="auto"/>
      </w:divBdr>
    </w:div>
    <w:div w:id="969361057">
      <w:bodyDiv w:val="1"/>
      <w:marLeft w:val="0"/>
      <w:marRight w:val="0"/>
      <w:marTop w:val="0"/>
      <w:marBottom w:val="0"/>
      <w:divBdr>
        <w:top w:val="none" w:sz="0" w:space="0" w:color="auto"/>
        <w:left w:val="none" w:sz="0" w:space="0" w:color="auto"/>
        <w:bottom w:val="none" w:sz="0" w:space="0" w:color="auto"/>
        <w:right w:val="none" w:sz="0" w:space="0" w:color="auto"/>
      </w:divBdr>
    </w:div>
    <w:div w:id="1301958030">
      <w:bodyDiv w:val="1"/>
      <w:marLeft w:val="0"/>
      <w:marRight w:val="0"/>
      <w:marTop w:val="0"/>
      <w:marBottom w:val="0"/>
      <w:divBdr>
        <w:top w:val="none" w:sz="0" w:space="0" w:color="auto"/>
        <w:left w:val="none" w:sz="0" w:space="0" w:color="auto"/>
        <w:bottom w:val="none" w:sz="0" w:space="0" w:color="auto"/>
        <w:right w:val="none" w:sz="0" w:space="0" w:color="auto"/>
      </w:divBdr>
    </w:div>
    <w:div w:id="1327855135">
      <w:bodyDiv w:val="1"/>
      <w:marLeft w:val="0"/>
      <w:marRight w:val="0"/>
      <w:marTop w:val="0"/>
      <w:marBottom w:val="0"/>
      <w:divBdr>
        <w:top w:val="none" w:sz="0" w:space="0" w:color="auto"/>
        <w:left w:val="none" w:sz="0" w:space="0" w:color="auto"/>
        <w:bottom w:val="none" w:sz="0" w:space="0" w:color="auto"/>
        <w:right w:val="none" w:sz="0" w:space="0" w:color="auto"/>
      </w:divBdr>
    </w:div>
    <w:div w:id="189897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4" ma:contentTypeDescription="Create a new document." ma:contentTypeScope="" ma:versionID="5ecb6ab68ac8d508677a30010483b529">
  <xsd:schema xmlns:xsd="http://www.w3.org/2001/XMLSchema" xmlns:xs="http://www.w3.org/2001/XMLSchema" xmlns:p="http://schemas.microsoft.com/office/2006/metadata/properties" xmlns:ns3="6f3ab0a0-177c-4664-a7c5-83ebe3d5d33a" targetNamespace="http://schemas.microsoft.com/office/2006/metadata/properties" ma:root="true" ma:fieldsID="cc75013cb17f96069760c6cf976f31c9" ns3:_="">
    <xsd:import namespace="6f3ab0a0-177c-4664-a7c5-83ebe3d5d33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47AF66-D6C0-4B44-9D7A-3A810919C7D5}">
  <ds:schemaRefs>
    <ds:schemaRef ds:uri="http://schemas.microsoft.com/sharepoint/v3/contenttype/forms"/>
  </ds:schemaRefs>
</ds:datastoreItem>
</file>

<file path=customXml/itemProps2.xml><?xml version="1.0" encoding="utf-8"?>
<ds:datastoreItem xmlns:ds="http://schemas.openxmlformats.org/officeDocument/2006/customXml" ds:itemID="{DB02AEE3-563F-4B2D-A167-C3F9FC3EF29D}">
  <ds:schemaRefs>
    <ds:schemaRef ds:uri="http://purl.org/dc/elements/1.1/"/>
    <ds:schemaRef ds:uri="6f3ab0a0-177c-4664-a7c5-83ebe3d5d33a"/>
    <ds:schemaRef ds:uri="http://purl.org/dc/terms/"/>
    <ds:schemaRef ds:uri="http://schemas.microsoft.com/office/2006/documentManagement/types"/>
    <ds:schemaRef ds:uri="http://www.w3.org/XML/1998/namespace"/>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C6A87C48-785D-419A-B3BF-DF1FCB2A3B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1414</Words>
  <Characters>8063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Shalena Rosalyn Brown (2240360)</dc:creator>
  <cp:keywords/>
  <dc:description/>
  <cp:lastModifiedBy>Shalena Rosalyn Brown (2240360)</cp:lastModifiedBy>
  <cp:revision>2</cp:revision>
  <dcterms:created xsi:type="dcterms:W3CDTF">2023-07-19T14:34:00Z</dcterms:created>
  <dcterms:modified xsi:type="dcterms:W3CDTF">2023-07-19T14:34:00Z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y fmtid="{D5CDD505-2E9C-101B-9397-08002B2CF9AE}" pid="3" name="GrammarlyDocumentId">
    <vt:lpwstr>cc4aa8235ff69acb525a33511ba53c6cafe0977ba1ff7fb1b7bf6622cc335017</vt:lpwstr>
  </property>
</Properties>
</file>