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C7280" w14:textId="006A63AE" w:rsidR="00F16B5F" w:rsidRDefault="00F16B5F" w:rsidP="00694527">
      <w:pPr>
        <w:spacing w:line="360" w:lineRule="auto"/>
        <w:rPr>
          <w:rFonts w:ascii="Arial" w:hAnsi="Arial" w:cs="Arial"/>
          <w:b/>
          <w:bCs/>
          <w:sz w:val="22"/>
          <w:szCs w:val="22"/>
        </w:rPr>
      </w:pPr>
    </w:p>
    <w:p w14:paraId="74E357E5" w14:textId="77777777" w:rsidR="00E9062D" w:rsidRDefault="00E9062D">
      <w:pPr>
        <w:rPr>
          <w:rFonts w:ascii="Arial" w:hAnsi="Arial" w:cs="Arial"/>
          <w:b/>
          <w:bCs/>
          <w:sz w:val="22"/>
          <w:szCs w:val="22"/>
        </w:rPr>
      </w:pPr>
      <w:r>
        <w:rPr>
          <w:rFonts w:ascii="Arial" w:hAnsi="Arial" w:cs="Arial"/>
          <w:b/>
          <w:bCs/>
          <w:noProof/>
          <w:sz w:val="22"/>
          <w:szCs w:val="22"/>
        </w:rPr>
        <w:drawing>
          <wp:inline distT="0" distB="0" distL="0" distR="0" wp14:anchorId="7647D876" wp14:editId="00E02048">
            <wp:extent cx="5697855" cy="16086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9060" cy="1614653"/>
                    </a:xfrm>
                    <a:prstGeom prst="rect">
                      <a:avLst/>
                    </a:prstGeom>
                    <a:noFill/>
                  </pic:spPr>
                </pic:pic>
              </a:graphicData>
            </a:graphic>
          </wp:inline>
        </w:drawing>
      </w:r>
    </w:p>
    <w:p w14:paraId="5762E543" w14:textId="77777777" w:rsidR="000318EC" w:rsidRDefault="000318EC">
      <w:pPr>
        <w:rPr>
          <w:rFonts w:ascii="Arial" w:hAnsi="Arial" w:cs="Arial"/>
          <w:b/>
          <w:bCs/>
          <w:sz w:val="22"/>
          <w:szCs w:val="22"/>
        </w:rPr>
      </w:pPr>
    </w:p>
    <w:p w14:paraId="08022930" w14:textId="77777777" w:rsidR="000318EC" w:rsidRPr="0099167E" w:rsidRDefault="000318EC" w:rsidP="000318EC">
      <w:pPr>
        <w:spacing w:line="360" w:lineRule="auto"/>
        <w:rPr>
          <w:rFonts w:ascii="Arial" w:hAnsi="Arial" w:cs="Arial"/>
          <w:sz w:val="36"/>
          <w:szCs w:val="36"/>
        </w:rPr>
      </w:pPr>
      <w:r w:rsidRPr="0099167E">
        <w:rPr>
          <w:rFonts w:ascii="Arial" w:hAnsi="Arial" w:cs="Arial"/>
          <w:sz w:val="36"/>
          <w:szCs w:val="36"/>
        </w:rPr>
        <w:t>Name: Shazad Hussain Shah</w:t>
      </w:r>
    </w:p>
    <w:p w14:paraId="55F2D4DA" w14:textId="77777777" w:rsidR="000318EC" w:rsidRPr="0099167E" w:rsidRDefault="000318EC" w:rsidP="000318EC">
      <w:pPr>
        <w:spacing w:line="360" w:lineRule="auto"/>
        <w:rPr>
          <w:rFonts w:ascii="Arial" w:hAnsi="Arial" w:cs="Arial"/>
          <w:sz w:val="36"/>
          <w:szCs w:val="36"/>
        </w:rPr>
      </w:pPr>
      <w:r w:rsidRPr="0099167E">
        <w:rPr>
          <w:rFonts w:ascii="Arial" w:hAnsi="Arial" w:cs="Arial"/>
          <w:sz w:val="36"/>
          <w:szCs w:val="36"/>
        </w:rPr>
        <w:t>Student Number: 2311387</w:t>
      </w:r>
    </w:p>
    <w:p w14:paraId="39B23708" w14:textId="77777777" w:rsidR="00364FB7" w:rsidRDefault="000318EC" w:rsidP="000318EC">
      <w:pPr>
        <w:spacing w:line="360" w:lineRule="auto"/>
        <w:rPr>
          <w:rFonts w:ascii="Arial" w:hAnsi="Arial" w:cs="Arial"/>
          <w:sz w:val="36"/>
          <w:szCs w:val="36"/>
        </w:rPr>
      </w:pPr>
      <w:r w:rsidRPr="0099167E">
        <w:rPr>
          <w:rFonts w:ascii="Arial" w:hAnsi="Arial" w:cs="Arial"/>
          <w:sz w:val="36"/>
          <w:szCs w:val="36"/>
        </w:rPr>
        <w:t xml:space="preserve">Module Code and Title: </w:t>
      </w:r>
      <w:r w:rsidR="002F1D1B" w:rsidRPr="002F1D1B">
        <w:rPr>
          <w:rFonts w:ascii="Arial" w:hAnsi="Arial" w:cs="Arial"/>
          <w:sz w:val="36"/>
          <w:szCs w:val="36"/>
        </w:rPr>
        <w:t>LCBB5010</w:t>
      </w:r>
      <w:r w:rsidRPr="0099167E">
        <w:rPr>
          <w:rFonts w:ascii="Arial" w:hAnsi="Arial" w:cs="Arial"/>
          <w:sz w:val="36"/>
          <w:szCs w:val="36"/>
        </w:rPr>
        <w:t xml:space="preserve"> / </w:t>
      </w:r>
      <w:r w:rsidR="00364FB7" w:rsidRPr="00364FB7">
        <w:rPr>
          <w:rFonts w:ascii="Arial" w:hAnsi="Arial" w:cs="Arial"/>
          <w:sz w:val="36"/>
          <w:szCs w:val="36"/>
        </w:rPr>
        <w:t xml:space="preserve">Management Accounting for Managers </w:t>
      </w:r>
    </w:p>
    <w:p w14:paraId="2C453BA4" w14:textId="15470346" w:rsidR="000318EC" w:rsidRPr="0099167E" w:rsidRDefault="000318EC" w:rsidP="000318EC">
      <w:pPr>
        <w:spacing w:line="360" w:lineRule="auto"/>
        <w:rPr>
          <w:rFonts w:ascii="Arial" w:hAnsi="Arial" w:cs="Arial"/>
          <w:sz w:val="36"/>
          <w:szCs w:val="36"/>
        </w:rPr>
      </w:pPr>
      <w:r w:rsidRPr="0099167E">
        <w:rPr>
          <w:rFonts w:ascii="Arial" w:hAnsi="Arial" w:cs="Arial"/>
          <w:sz w:val="36"/>
          <w:szCs w:val="36"/>
        </w:rPr>
        <w:t xml:space="preserve">Lecturer: </w:t>
      </w:r>
      <w:r w:rsidR="00E351AB">
        <w:rPr>
          <w:rFonts w:ascii="Arial" w:hAnsi="Arial" w:cs="Arial"/>
          <w:sz w:val="36"/>
          <w:szCs w:val="36"/>
        </w:rPr>
        <w:t>Babar Syed</w:t>
      </w:r>
    </w:p>
    <w:p w14:paraId="0C7ECACD" w14:textId="39BB095C" w:rsidR="00F16B5F" w:rsidRDefault="00F16B5F">
      <w:pPr>
        <w:rPr>
          <w:rFonts w:ascii="Arial" w:hAnsi="Arial" w:cs="Arial"/>
          <w:b/>
          <w:bCs/>
          <w:sz w:val="22"/>
          <w:szCs w:val="22"/>
        </w:rPr>
      </w:pPr>
      <w:r>
        <w:rPr>
          <w:rFonts w:ascii="Arial" w:hAnsi="Arial" w:cs="Arial"/>
          <w:b/>
          <w:bCs/>
          <w:sz w:val="22"/>
          <w:szCs w:val="22"/>
        </w:rPr>
        <w:br w:type="page"/>
      </w:r>
    </w:p>
    <w:sdt>
      <w:sdtPr>
        <w:rPr>
          <w:rFonts w:asciiTheme="minorHAnsi" w:eastAsiaTheme="minorHAnsi" w:hAnsiTheme="minorHAnsi" w:cstheme="minorBidi"/>
          <w:color w:val="auto"/>
          <w:kern w:val="2"/>
          <w:sz w:val="24"/>
          <w:szCs w:val="24"/>
          <w:lang w:val="en-GB"/>
          <w14:ligatures w14:val="standardContextual"/>
        </w:rPr>
        <w:id w:val="-2116894087"/>
        <w:docPartObj>
          <w:docPartGallery w:val="Table of Contents"/>
          <w:docPartUnique/>
        </w:docPartObj>
      </w:sdtPr>
      <w:sdtEndPr>
        <w:rPr>
          <w:b/>
          <w:bCs/>
          <w:noProof/>
        </w:rPr>
      </w:sdtEndPr>
      <w:sdtContent>
        <w:p w14:paraId="4274C6C1" w14:textId="6F76F033" w:rsidR="00C460D9" w:rsidRDefault="00C460D9">
          <w:pPr>
            <w:pStyle w:val="TOCHeading"/>
          </w:pPr>
          <w:r>
            <w:t>Contents</w:t>
          </w:r>
        </w:p>
        <w:p w14:paraId="55283837" w14:textId="16C20EB9" w:rsidR="003B33A4" w:rsidRDefault="00C460D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560763" w:history="1">
            <w:r w:rsidR="003B33A4" w:rsidRPr="00781B46">
              <w:rPr>
                <w:rStyle w:val="Hyperlink"/>
                <w:rFonts w:ascii="Arial" w:hAnsi="Arial" w:cs="Arial"/>
                <w:noProof/>
              </w:rPr>
              <w:t>1. Introduction</w:t>
            </w:r>
            <w:r w:rsidR="003B33A4">
              <w:rPr>
                <w:noProof/>
                <w:webHidden/>
              </w:rPr>
              <w:tab/>
            </w:r>
            <w:r w:rsidR="003B33A4">
              <w:rPr>
                <w:noProof/>
                <w:webHidden/>
              </w:rPr>
              <w:fldChar w:fldCharType="begin"/>
            </w:r>
            <w:r w:rsidR="003B33A4">
              <w:rPr>
                <w:noProof/>
                <w:webHidden/>
              </w:rPr>
              <w:instrText xml:space="preserve"> PAGEREF _Toc233560763 \h </w:instrText>
            </w:r>
            <w:r w:rsidR="003B33A4">
              <w:rPr>
                <w:noProof/>
                <w:webHidden/>
              </w:rPr>
            </w:r>
            <w:r w:rsidR="003B33A4">
              <w:rPr>
                <w:noProof/>
                <w:webHidden/>
              </w:rPr>
              <w:fldChar w:fldCharType="separate"/>
            </w:r>
            <w:r w:rsidR="003B33A4">
              <w:rPr>
                <w:noProof/>
                <w:webHidden/>
              </w:rPr>
              <w:t>3</w:t>
            </w:r>
            <w:r w:rsidR="003B33A4">
              <w:rPr>
                <w:noProof/>
                <w:webHidden/>
              </w:rPr>
              <w:fldChar w:fldCharType="end"/>
            </w:r>
          </w:hyperlink>
        </w:p>
        <w:p w14:paraId="03017644" w14:textId="63520769" w:rsidR="003B33A4" w:rsidRDefault="003B33A4">
          <w:pPr>
            <w:pStyle w:val="TOC1"/>
            <w:tabs>
              <w:tab w:val="right" w:leader="dot" w:pos="9016"/>
            </w:tabs>
            <w:rPr>
              <w:rFonts w:eastAsiaTheme="minorEastAsia"/>
              <w:noProof/>
              <w:lang w:eastAsia="en-GB"/>
            </w:rPr>
          </w:pPr>
          <w:hyperlink w:anchor="_Toc233560764" w:history="1">
            <w:r w:rsidRPr="00781B46">
              <w:rPr>
                <w:rStyle w:val="Hyperlink"/>
                <w:rFonts w:ascii="Arial" w:hAnsi="Arial" w:cs="Arial"/>
                <w:noProof/>
              </w:rPr>
              <w:t>2. Cost Analysis and Business Model</w:t>
            </w:r>
            <w:r>
              <w:rPr>
                <w:noProof/>
                <w:webHidden/>
              </w:rPr>
              <w:tab/>
            </w:r>
            <w:r>
              <w:rPr>
                <w:noProof/>
                <w:webHidden/>
              </w:rPr>
              <w:fldChar w:fldCharType="begin"/>
            </w:r>
            <w:r>
              <w:rPr>
                <w:noProof/>
                <w:webHidden/>
              </w:rPr>
              <w:instrText xml:space="preserve"> PAGEREF _Toc233560764 \h </w:instrText>
            </w:r>
            <w:r>
              <w:rPr>
                <w:noProof/>
                <w:webHidden/>
              </w:rPr>
            </w:r>
            <w:r>
              <w:rPr>
                <w:noProof/>
                <w:webHidden/>
              </w:rPr>
              <w:fldChar w:fldCharType="separate"/>
            </w:r>
            <w:r>
              <w:rPr>
                <w:noProof/>
                <w:webHidden/>
              </w:rPr>
              <w:t>3</w:t>
            </w:r>
            <w:r>
              <w:rPr>
                <w:noProof/>
                <w:webHidden/>
              </w:rPr>
              <w:fldChar w:fldCharType="end"/>
            </w:r>
          </w:hyperlink>
        </w:p>
        <w:p w14:paraId="6A22D1D6" w14:textId="6CE42E54" w:rsidR="003B33A4" w:rsidRDefault="003B33A4">
          <w:pPr>
            <w:pStyle w:val="TOC1"/>
            <w:tabs>
              <w:tab w:val="right" w:leader="dot" w:pos="9016"/>
            </w:tabs>
            <w:rPr>
              <w:rFonts w:eastAsiaTheme="minorEastAsia"/>
              <w:noProof/>
              <w:lang w:eastAsia="en-GB"/>
            </w:rPr>
          </w:pPr>
          <w:hyperlink w:anchor="_Toc233560765" w:history="1">
            <w:r w:rsidRPr="00781B46">
              <w:rPr>
                <w:rStyle w:val="Hyperlink"/>
                <w:rFonts w:ascii="Arial" w:hAnsi="Arial" w:cs="Arial"/>
                <w:noProof/>
              </w:rPr>
              <w:t>3. Budgeting and Financial Planning</w:t>
            </w:r>
            <w:r>
              <w:rPr>
                <w:noProof/>
                <w:webHidden/>
              </w:rPr>
              <w:tab/>
            </w:r>
            <w:r>
              <w:rPr>
                <w:noProof/>
                <w:webHidden/>
              </w:rPr>
              <w:fldChar w:fldCharType="begin"/>
            </w:r>
            <w:r>
              <w:rPr>
                <w:noProof/>
                <w:webHidden/>
              </w:rPr>
              <w:instrText xml:space="preserve"> PAGEREF _Toc233560765 \h </w:instrText>
            </w:r>
            <w:r>
              <w:rPr>
                <w:noProof/>
                <w:webHidden/>
              </w:rPr>
            </w:r>
            <w:r>
              <w:rPr>
                <w:noProof/>
                <w:webHidden/>
              </w:rPr>
              <w:fldChar w:fldCharType="separate"/>
            </w:r>
            <w:r>
              <w:rPr>
                <w:noProof/>
                <w:webHidden/>
              </w:rPr>
              <w:t>6</w:t>
            </w:r>
            <w:r>
              <w:rPr>
                <w:noProof/>
                <w:webHidden/>
              </w:rPr>
              <w:fldChar w:fldCharType="end"/>
            </w:r>
          </w:hyperlink>
        </w:p>
        <w:p w14:paraId="54D8F55B" w14:textId="1AA8BDD3" w:rsidR="003B33A4" w:rsidRDefault="003B33A4">
          <w:pPr>
            <w:pStyle w:val="TOC1"/>
            <w:tabs>
              <w:tab w:val="right" w:leader="dot" w:pos="9016"/>
            </w:tabs>
            <w:rPr>
              <w:rFonts w:eastAsiaTheme="minorEastAsia"/>
              <w:noProof/>
              <w:lang w:eastAsia="en-GB"/>
            </w:rPr>
          </w:pPr>
          <w:hyperlink w:anchor="_Toc233560766" w:history="1">
            <w:r w:rsidRPr="00781B46">
              <w:rPr>
                <w:rStyle w:val="Hyperlink"/>
                <w:rFonts w:ascii="Arial" w:hAnsi="Arial" w:cs="Arial"/>
                <w:noProof/>
              </w:rPr>
              <w:t>4. Performance Measurement and Decision-Making</w:t>
            </w:r>
            <w:r>
              <w:rPr>
                <w:noProof/>
                <w:webHidden/>
              </w:rPr>
              <w:tab/>
            </w:r>
            <w:r>
              <w:rPr>
                <w:noProof/>
                <w:webHidden/>
              </w:rPr>
              <w:fldChar w:fldCharType="begin"/>
            </w:r>
            <w:r>
              <w:rPr>
                <w:noProof/>
                <w:webHidden/>
              </w:rPr>
              <w:instrText xml:space="preserve"> PAGEREF _Toc233560766 \h </w:instrText>
            </w:r>
            <w:r>
              <w:rPr>
                <w:noProof/>
                <w:webHidden/>
              </w:rPr>
            </w:r>
            <w:r>
              <w:rPr>
                <w:noProof/>
                <w:webHidden/>
              </w:rPr>
              <w:fldChar w:fldCharType="separate"/>
            </w:r>
            <w:r>
              <w:rPr>
                <w:noProof/>
                <w:webHidden/>
              </w:rPr>
              <w:t>7</w:t>
            </w:r>
            <w:r>
              <w:rPr>
                <w:noProof/>
                <w:webHidden/>
              </w:rPr>
              <w:fldChar w:fldCharType="end"/>
            </w:r>
          </w:hyperlink>
        </w:p>
        <w:p w14:paraId="22498325" w14:textId="7C8CC92F" w:rsidR="003B33A4" w:rsidRDefault="003B33A4">
          <w:pPr>
            <w:pStyle w:val="TOC1"/>
            <w:tabs>
              <w:tab w:val="right" w:leader="dot" w:pos="9016"/>
            </w:tabs>
            <w:rPr>
              <w:rFonts w:eastAsiaTheme="minorEastAsia"/>
              <w:noProof/>
              <w:lang w:eastAsia="en-GB"/>
            </w:rPr>
          </w:pPr>
          <w:hyperlink w:anchor="_Toc233560767" w:history="1">
            <w:r w:rsidRPr="00781B46">
              <w:rPr>
                <w:rStyle w:val="Hyperlink"/>
                <w:rFonts w:ascii="Arial" w:hAnsi="Arial" w:cs="Arial"/>
                <w:noProof/>
              </w:rPr>
              <w:t>5. Sustainability, ESG and Ethical Considerations</w:t>
            </w:r>
            <w:r>
              <w:rPr>
                <w:noProof/>
                <w:webHidden/>
              </w:rPr>
              <w:tab/>
            </w:r>
            <w:r>
              <w:rPr>
                <w:noProof/>
                <w:webHidden/>
              </w:rPr>
              <w:fldChar w:fldCharType="begin"/>
            </w:r>
            <w:r>
              <w:rPr>
                <w:noProof/>
                <w:webHidden/>
              </w:rPr>
              <w:instrText xml:space="preserve"> PAGEREF _Toc233560767 \h </w:instrText>
            </w:r>
            <w:r>
              <w:rPr>
                <w:noProof/>
                <w:webHidden/>
              </w:rPr>
            </w:r>
            <w:r>
              <w:rPr>
                <w:noProof/>
                <w:webHidden/>
              </w:rPr>
              <w:fldChar w:fldCharType="separate"/>
            </w:r>
            <w:r>
              <w:rPr>
                <w:noProof/>
                <w:webHidden/>
              </w:rPr>
              <w:t>8</w:t>
            </w:r>
            <w:r>
              <w:rPr>
                <w:noProof/>
                <w:webHidden/>
              </w:rPr>
              <w:fldChar w:fldCharType="end"/>
            </w:r>
          </w:hyperlink>
        </w:p>
        <w:p w14:paraId="7938E92C" w14:textId="48E6D9B4" w:rsidR="003B33A4" w:rsidRDefault="003B33A4">
          <w:pPr>
            <w:pStyle w:val="TOC1"/>
            <w:tabs>
              <w:tab w:val="right" w:leader="dot" w:pos="9016"/>
            </w:tabs>
            <w:rPr>
              <w:rFonts w:eastAsiaTheme="minorEastAsia"/>
              <w:noProof/>
              <w:lang w:eastAsia="en-GB"/>
            </w:rPr>
          </w:pPr>
          <w:hyperlink w:anchor="_Toc233560768" w:history="1">
            <w:r w:rsidRPr="00781B46">
              <w:rPr>
                <w:rStyle w:val="Hyperlink"/>
                <w:rFonts w:ascii="Arial" w:hAnsi="Arial" w:cs="Arial"/>
                <w:noProof/>
              </w:rPr>
              <w:t>6. Conclusion and Recommendations</w:t>
            </w:r>
            <w:r>
              <w:rPr>
                <w:noProof/>
                <w:webHidden/>
              </w:rPr>
              <w:tab/>
            </w:r>
            <w:r>
              <w:rPr>
                <w:noProof/>
                <w:webHidden/>
              </w:rPr>
              <w:fldChar w:fldCharType="begin"/>
            </w:r>
            <w:r>
              <w:rPr>
                <w:noProof/>
                <w:webHidden/>
              </w:rPr>
              <w:instrText xml:space="preserve"> PAGEREF _Toc233560768 \h </w:instrText>
            </w:r>
            <w:r>
              <w:rPr>
                <w:noProof/>
                <w:webHidden/>
              </w:rPr>
            </w:r>
            <w:r>
              <w:rPr>
                <w:noProof/>
                <w:webHidden/>
              </w:rPr>
              <w:fldChar w:fldCharType="separate"/>
            </w:r>
            <w:r>
              <w:rPr>
                <w:noProof/>
                <w:webHidden/>
              </w:rPr>
              <w:t>9</w:t>
            </w:r>
            <w:r>
              <w:rPr>
                <w:noProof/>
                <w:webHidden/>
              </w:rPr>
              <w:fldChar w:fldCharType="end"/>
            </w:r>
          </w:hyperlink>
        </w:p>
        <w:p w14:paraId="175628CF" w14:textId="15370845" w:rsidR="003B33A4" w:rsidRDefault="003B33A4">
          <w:pPr>
            <w:pStyle w:val="TOC1"/>
            <w:tabs>
              <w:tab w:val="right" w:leader="dot" w:pos="9016"/>
            </w:tabs>
            <w:rPr>
              <w:rFonts w:eastAsiaTheme="minorEastAsia"/>
              <w:noProof/>
              <w:lang w:eastAsia="en-GB"/>
            </w:rPr>
          </w:pPr>
          <w:hyperlink w:anchor="_Toc233560769" w:history="1">
            <w:r w:rsidRPr="00781B46">
              <w:rPr>
                <w:rStyle w:val="Hyperlink"/>
                <w:rFonts w:ascii="Arial" w:hAnsi="Arial" w:cs="Arial"/>
                <w:noProof/>
              </w:rPr>
              <w:t>7. Reference List</w:t>
            </w:r>
            <w:r>
              <w:rPr>
                <w:noProof/>
                <w:webHidden/>
              </w:rPr>
              <w:tab/>
            </w:r>
            <w:r>
              <w:rPr>
                <w:noProof/>
                <w:webHidden/>
              </w:rPr>
              <w:fldChar w:fldCharType="begin"/>
            </w:r>
            <w:r>
              <w:rPr>
                <w:noProof/>
                <w:webHidden/>
              </w:rPr>
              <w:instrText xml:space="preserve"> PAGEREF _Toc233560769 \h </w:instrText>
            </w:r>
            <w:r>
              <w:rPr>
                <w:noProof/>
                <w:webHidden/>
              </w:rPr>
            </w:r>
            <w:r>
              <w:rPr>
                <w:noProof/>
                <w:webHidden/>
              </w:rPr>
              <w:fldChar w:fldCharType="separate"/>
            </w:r>
            <w:r>
              <w:rPr>
                <w:noProof/>
                <w:webHidden/>
              </w:rPr>
              <w:t>10</w:t>
            </w:r>
            <w:r>
              <w:rPr>
                <w:noProof/>
                <w:webHidden/>
              </w:rPr>
              <w:fldChar w:fldCharType="end"/>
            </w:r>
          </w:hyperlink>
        </w:p>
        <w:p w14:paraId="14F9BC59" w14:textId="5F684F5C" w:rsidR="00C460D9" w:rsidRDefault="00C460D9">
          <w:r>
            <w:rPr>
              <w:b/>
              <w:bCs/>
              <w:noProof/>
            </w:rPr>
            <w:fldChar w:fldCharType="end"/>
          </w:r>
        </w:p>
      </w:sdtContent>
    </w:sdt>
    <w:p w14:paraId="4C1FF0EC" w14:textId="77777777" w:rsidR="00F16B5F" w:rsidRDefault="00F16B5F" w:rsidP="00694527">
      <w:pPr>
        <w:spacing w:line="360" w:lineRule="auto"/>
        <w:rPr>
          <w:rFonts w:ascii="Arial" w:hAnsi="Arial" w:cs="Arial"/>
          <w:b/>
          <w:bCs/>
          <w:sz w:val="22"/>
          <w:szCs w:val="22"/>
        </w:rPr>
      </w:pPr>
    </w:p>
    <w:p w14:paraId="3723443E" w14:textId="77777777" w:rsidR="00F16B5F" w:rsidRDefault="00F16B5F">
      <w:pPr>
        <w:rPr>
          <w:rFonts w:ascii="Arial" w:hAnsi="Arial" w:cs="Arial"/>
          <w:b/>
          <w:bCs/>
          <w:sz w:val="22"/>
          <w:szCs w:val="22"/>
        </w:rPr>
      </w:pPr>
      <w:r>
        <w:rPr>
          <w:rFonts w:ascii="Arial" w:hAnsi="Arial" w:cs="Arial"/>
          <w:b/>
          <w:bCs/>
          <w:sz w:val="22"/>
          <w:szCs w:val="22"/>
        </w:rPr>
        <w:br w:type="page"/>
      </w:r>
    </w:p>
    <w:p w14:paraId="15E5543D" w14:textId="2E8172F1" w:rsidR="00BD4DD2" w:rsidRPr="00BD4DD2" w:rsidRDefault="00BD4DD2" w:rsidP="00916AF1">
      <w:pPr>
        <w:spacing w:line="360" w:lineRule="auto"/>
        <w:jc w:val="both"/>
        <w:rPr>
          <w:rFonts w:ascii="Arial" w:hAnsi="Arial" w:cs="Arial"/>
          <w:sz w:val="32"/>
          <w:szCs w:val="32"/>
        </w:rPr>
      </w:pPr>
      <w:r w:rsidRPr="00BD4DD2">
        <w:rPr>
          <w:rFonts w:ascii="Arial" w:hAnsi="Arial" w:cs="Arial"/>
          <w:b/>
          <w:bCs/>
          <w:sz w:val="32"/>
          <w:szCs w:val="32"/>
        </w:rPr>
        <w:lastRenderedPageBreak/>
        <w:t>Management Accounting and Financial Decision-Making at Microsoft Corporation</w:t>
      </w:r>
    </w:p>
    <w:p w14:paraId="19DD5F27" w14:textId="77777777" w:rsidR="00BD4DD2" w:rsidRPr="00E351AB" w:rsidRDefault="00BD4DD2" w:rsidP="00916AF1">
      <w:pPr>
        <w:pStyle w:val="Heading1"/>
        <w:jc w:val="both"/>
        <w:rPr>
          <w:rFonts w:ascii="Arial" w:hAnsi="Arial" w:cs="Arial"/>
        </w:rPr>
      </w:pPr>
      <w:bookmarkStart w:id="0" w:name="_Toc233560763"/>
      <w:r w:rsidRPr="00E351AB">
        <w:rPr>
          <w:rFonts w:ascii="Arial" w:hAnsi="Arial" w:cs="Arial"/>
        </w:rPr>
        <w:t>1. Introduction</w:t>
      </w:r>
      <w:bookmarkEnd w:id="0"/>
    </w:p>
    <w:p w14:paraId="5C980BD5"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Microsoft Corporation is a multinational technology company listed on NASDAQ under the ticker symbol MSFT. Its products and services include Microsoft 365, Windows, Azure, Dynamics 365, LinkedIn, GitHub, Xbox, Bing, cybersecurity products and artificial intelligence services such as Microsoft Copilot. Microsoft is one of the largest companies in the world. In June 2026, its market capitalisation was approximately £2.061 trillion, showing the scale of the business and the importance of effective financial planning and control (</w:t>
      </w:r>
      <w:proofErr w:type="spellStart"/>
      <w:r w:rsidRPr="00BD4DD2">
        <w:rPr>
          <w:rFonts w:ascii="Arial" w:hAnsi="Arial" w:cs="Arial"/>
          <w:sz w:val="22"/>
          <w:szCs w:val="22"/>
        </w:rPr>
        <w:t>CompaniesMarketCap</w:t>
      </w:r>
      <w:proofErr w:type="spellEnd"/>
      <w:r w:rsidRPr="00BD4DD2">
        <w:rPr>
          <w:rFonts w:ascii="Arial" w:hAnsi="Arial" w:cs="Arial"/>
          <w:sz w:val="22"/>
          <w:szCs w:val="22"/>
        </w:rPr>
        <w:t>, 2026). In the financial year ended 30 June 2025, Microsoft generated revenue of $281.7 billion and employed around 228,000 people worldwide (Microsoft, 2025a).</w:t>
      </w:r>
    </w:p>
    <w:p w14:paraId="500AD676"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Like every other company, management accounting is important because it provides managers with relevant financial and non-financial information for planning, decision-making, controlling costs and measuring performance. Unlike financial accounting, which mainly reports historical information to external users, management accounting supports internal decisions about budgets, pricing, investment, efficiency and strategy. The Chartered Global Management Accountant framework explains that effective management accounting helps organisations improve decisions and create sustainable value (AICPA and CIMA, 2023). This is particularly important for Microsoft because the company must make complex decisions about cloud infrastructure, artificial intelligence investment, product pricing, subscriptions, research and development, data centres and sustainability.</w:t>
      </w:r>
    </w:p>
    <w:p w14:paraId="4AD25A90" w14:textId="77777777" w:rsidR="00BD4DD2" w:rsidRPr="00E351AB" w:rsidRDefault="00BD4DD2" w:rsidP="00916AF1">
      <w:pPr>
        <w:pStyle w:val="Heading1"/>
        <w:jc w:val="both"/>
        <w:rPr>
          <w:rFonts w:ascii="Arial" w:hAnsi="Arial" w:cs="Arial"/>
        </w:rPr>
      </w:pPr>
      <w:bookmarkStart w:id="1" w:name="_Toc233560764"/>
      <w:r w:rsidRPr="00E351AB">
        <w:rPr>
          <w:rFonts w:ascii="Arial" w:hAnsi="Arial" w:cs="Arial"/>
        </w:rPr>
        <w:t>2. Cost Analysis and Business Model</w:t>
      </w:r>
      <w:bookmarkEnd w:id="1"/>
    </w:p>
    <w:p w14:paraId="02E91D29"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Microsoft’s business model combines subscription revenue, cloud consumption charges, software licences, advertising, gaming, hardware sales and professional services. A large proportion of its income is recurring because customers pay monthly or annually for services such as Microsoft 365, Dynamics 365, Xbox Game Pass and cloud security products. Azure revenue is mainly based on customer use of computing, storage, databases, networking and artificial intelligence services. This model gives Microsoft predictable revenue, but it also creates significant infrastructure and support costs.</w:t>
      </w:r>
    </w:p>
    <w:p w14:paraId="3F854C05" w14:textId="3123F7D1" w:rsidR="00B96D92" w:rsidRPr="00694527" w:rsidRDefault="00BD4DD2" w:rsidP="00916AF1">
      <w:pPr>
        <w:spacing w:line="360" w:lineRule="auto"/>
        <w:jc w:val="both"/>
        <w:rPr>
          <w:rFonts w:ascii="Arial" w:hAnsi="Arial" w:cs="Arial"/>
          <w:sz w:val="22"/>
          <w:szCs w:val="22"/>
        </w:rPr>
      </w:pPr>
      <w:r w:rsidRPr="00BD4DD2">
        <w:rPr>
          <w:rFonts w:ascii="Arial" w:hAnsi="Arial" w:cs="Arial"/>
          <w:sz w:val="22"/>
          <w:szCs w:val="22"/>
        </w:rPr>
        <w:t>Microsoft operates globally. A widely cited Microsoft company profile states that Microsoft operates in around 190 countries, and Microsoft’s annual report confirms that international operations provide a significant proportion of total revenue (</w:t>
      </w:r>
      <w:r w:rsidR="001474F5" w:rsidRPr="001474F5">
        <w:rPr>
          <w:rFonts w:ascii="Arial" w:hAnsi="Arial" w:cs="Arial"/>
          <w:sz w:val="22"/>
          <w:szCs w:val="22"/>
        </w:rPr>
        <w:t>Sciencebusiness.net, 2025</w:t>
      </w:r>
      <w:r w:rsidRPr="00BD4DD2">
        <w:rPr>
          <w:rFonts w:ascii="Arial" w:hAnsi="Arial" w:cs="Arial"/>
          <w:sz w:val="22"/>
          <w:szCs w:val="22"/>
        </w:rPr>
        <w:t xml:space="preserve">; </w:t>
      </w:r>
      <w:r w:rsidRPr="00BD4DD2">
        <w:rPr>
          <w:rFonts w:ascii="Arial" w:hAnsi="Arial" w:cs="Arial"/>
          <w:sz w:val="22"/>
          <w:szCs w:val="22"/>
        </w:rPr>
        <w:lastRenderedPageBreak/>
        <w:t xml:space="preserve">Microsoft, 2025a). However, the United States remains the largest single market. Microsoft’s 2025 annual report shows revenue of $144.55 billion from the United States and $137.18 billion from other countries, meaning North America, led by the United States, generated the most revenue (Microsoft, 2025a). </w:t>
      </w:r>
    </w:p>
    <w:p w14:paraId="44104F03" w14:textId="13881124" w:rsidR="00BD4DD2" w:rsidRPr="00694527" w:rsidRDefault="00B96D92" w:rsidP="00916AF1">
      <w:pPr>
        <w:spacing w:line="360" w:lineRule="auto"/>
        <w:jc w:val="both"/>
        <w:rPr>
          <w:rFonts w:ascii="Arial" w:hAnsi="Arial" w:cs="Arial"/>
          <w:sz w:val="22"/>
          <w:szCs w:val="22"/>
        </w:rPr>
      </w:pPr>
      <w:r w:rsidRPr="00694527">
        <w:rPr>
          <w:rFonts w:ascii="Arial" w:hAnsi="Arial" w:cs="Arial"/>
          <w:sz w:val="22"/>
          <w:szCs w:val="22"/>
        </w:rPr>
        <w:t>Below is a</w:t>
      </w:r>
      <w:r w:rsidR="00BD4DD2" w:rsidRPr="00BD4DD2">
        <w:rPr>
          <w:rFonts w:ascii="Arial" w:hAnsi="Arial" w:cs="Arial"/>
          <w:sz w:val="22"/>
          <w:szCs w:val="22"/>
        </w:rPr>
        <w:t xml:space="preserve"> useful chart showing Microsoft’s revenue by geography</w:t>
      </w:r>
      <w:r w:rsidRPr="00694527">
        <w:rPr>
          <w:rFonts w:ascii="Arial" w:hAnsi="Arial" w:cs="Arial"/>
          <w:sz w:val="22"/>
          <w:szCs w:val="22"/>
        </w:rPr>
        <w:t>:</w:t>
      </w:r>
    </w:p>
    <w:p w14:paraId="313E7AB5" w14:textId="36449B0A" w:rsidR="00150395" w:rsidRDefault="00150395" w:rsidP="00BD4DD2">
      <w:r w:rsidRPr="00150395">
        <w:rPr>
          <w:noProof/>
        </w:rPr>
        <w:drawing>
          <wp:inline distT="0" distB="0" distL="0" distR="0" wp14:anchorId="00FCA33B" wp14:editId="6BC5309B">
            <wp:extent cx="5731510" cy="33051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05175"/>
                    </a:xfrm>
                    <a:prstGeom prst="rect">
                      <a:avLst/>
                    </a:prstGeom>
                  </pic:spPr>
                </pic:pic>
              </a:graphicData>
            </a:graphic>
          </wp:inline>
        </w:drawing>
      </w:r>
    </w:p>
    <w:p w14:paraId="48229AFB" w14:textId="1114A3E5" w:rsidR="00B96D92" w:rsidRPr="00694527" w:rsidRDefault="00B96D92" w:rsidP="00916AF1">
      <w:pPr>
        <w:spacing w:line="360" w:lineRule="auto"/>
        <w:jc w:val="both"/>
        <w:rPr>
          <w:rFonts w:ascii="Arial" w:hAnsi="Arial" w:cs="Arial"/>
          <w:sz w:val="22"/>
          <w:szCs w:val="22"/>
        </w:rPr>
      </w:pPr>
      <w:r w:rsidRPr="00694527">
        <w:rPr>
          <w:rFonts w:ascii="Arial" w:hAnsi="Arial" w:cs="Arial"/>
          <w:sz w:val="22"/>
          <w:szCs w:val="22"/>
        </w:rPr>
        <w:t xml:space="preserve">Source: </w:t>
      </w:r>
      <w:proofErr w:type="spellStart"/>
      <w:r w:rsidRPr="00694527">
        <w:rPr>
          <w:rFonts w:ascii="Arial" w:hAnsi="Arial" w:cs="Arial"/>
          <w:sz w:val="22"/>
          <w:szCs w:val="22"/>
        </w:rPr>
        <w:t>Bullfincher</w:t>
      </w:r>
      <w:proofErr w:type="spellEnd"/>
      <w:r w:rsidRPr="00694527">
        <w:rPr>
          <w:rFonts w:ascii="Arial" w:hAnsi="Arial" w:cs="Arial"/>
          <w:sz w:val="22"/>
          <w:szCs w:val="22"/>
        </w:rPr>
        <w:t xml:space="preserve"> (2026)</w:t>
      </w:r>
    </w:p>
    <w:p w14:paraId="014353C9" w14:textId="4A076D3B" w:rsidR="00150395" w:rsidRPr="00694527" w:rsidRDefault="00150395" w:rsidP="00916AF1">
      <w:pPr>
        <w:spacing w:line="360" w:lineRule="auto"/>
        <w:jc w:val="both"/>
        <w:rPr>
          <w:rFonts w:ascii="Arial" w:hAnsi="Arial" w:cs="Arial"/>
          <w:sz w:val="22"/>
          <w:szCs w:val="22"/>
        </w:rPr>
      </w:pPr>
      <w:r w:rsidRPr="00694527">
        <w:rPr>
          <w:rFonts w:ascii="Arial" w:hAnsi="Arial" w:cs="Arial"/>
          <w:sz w:val="22"/>
          <w:szCs w:val="22"/>
        </w:rPr>
        <w:t>Below is a useful chart showing a summary of Microsoft Corporation’s revenue</w:t>
      </w:r>
      <w:r w:rsidR="00B96D92" w:rsidRPr="00694527">
        <w:rPr>
          <w:rFonts w:ascii="Arial" w:hAnsi="Arial" w:cs="Arial"/>
          <w:sz w:val="22"/>
          <w:szCs w:val="22"/>
        </w:rPr>
        <w:t>:</w:t>
      </w:r>
    </w:p>
    <w:p w14:paraId="197226C2" w14:textId="12141CE0" w:rsidR="00B96D92" w:rsidRDefault="00B96D92" w:rsidP="00BD4DD2">
      <w:r w:rsidRPr="00B96D92">
        <w:rPr>
          <w:noProof/>
        </w:rPr>
        <w:drawing>
          <wp:inline distT="0" distB="0" distL="0" distR="0" wp14:anchorId="28A466BD" wp14:editId="716A93EF">
            <wp:extent cx="5731510" cy="14376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437640"/>
                    </a:xfrm>
                    <a:prstGeom prst="rect">
                      <a:avLst/>
                    </a:prstGeom>
                  </pic:spPr>
                </pic:pic>
              </a:graphicData>
            </a:graphic>
          </wp:inline>
        </w:drawing>
      </w:r>
    </w:p>
    <w:p w14:paraId="3348D4E0" w14:textId="2522E84F" w:rsidR="00B96D92" w:rsidRPr="00BD4DD2" w:rsidRDefault="00B96D92" w:rsidP="00916AF1">
      <w:pPr>
        <w:spacing w:line="360" w:lineRule="auto"/>
        <w:jc w:val="both"/>
        <w:rPr>
          <w:rFonts w:ascii="Arial" w:hAnsi="Arial" w:cs="Arial"/>
          <w:sz w:val="22"/>
          <w:szCs w:val="22"/>
        </w:rPr>
      </w:pPr>
      <w:r w:rsidRPr="00694527">
        <w:rPr>
          <w:rFonts w:ascii="Arial" w:hAnsi="Arial" w:cs="Arial"/>
          <w:sz w:val="22"/>
          <w:szCs w:val="22"/>
        </w:rPr>
        <w:t xml:space="preserve">Source: </w:t>
      </w:r>
      <w:proofErr w:type="spellStart"/>
      <w:r w:rsidRPr="00694527">
        <w:rPr>
          <w:rFonts w:ascii="Arial" w:hAnsi="Arial" w:cs="Arial"/>
          <w:sz w:val="22"/>
          <w:szCs w:val="22"/>
        </w:rPr>
        <w:t>Bullfincher</w:t>
      </w:r>
      <w:proofErr w:type="spellEnd"/>
      <w:r w:rsidRPr="00694527">
        <w:rPr>
          <w:rFonts w:ascii="Arial" w:hAnsi="Arial" w:cs="Arial"/>
          <w:sz w:val="22"/>
          <w:szCs w:val="22"/>
        </w:rPr>
        <w:t xml:space="preserve"> (2026)</w:t>
      </w:r>
    </w:p>
    <w:p w14:paraId="40B40ADF"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 xml:space="preserve">Microsoft’s three reportable segments provide different but connected revenue streams. Productivity and Business Processes includes Microsoft 365, LinkedIn and Dynamics. Intelligent Cloud includes Azure, server products, GitHub and enterprise services. More Personal Computing includes Windows, gaming, devices, search and advertising. In 2025, Productivity and Business Processes generated $120.81 billion, Intelligent Cloud generated $106.27 billion and More Personal Computing generated $54.65 billion (Microsoft, 2025a). </w:t>
      </w:r>
      <w:r w:rsidRPr="00BD4DD2">
        <w:rPr>
          <w:rFonts w:ascii="Arial" w:hAnsi="Arial" w:cs="Arial"/>
          <w:sz w:val="22"/>
          <w:szCs w:val="22"/>
        </w:rPr>
        <w:lastRenderedPageBreak/>
        <w:t>This diversification reduces Microsoft’s dependence on a single product and allows it to cross-sell related services.</w:t>
      </w:r>
    </w:p>
    <w:p w14:paraId="5611E341"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Microsoft has fixed, variable and semi-variable costs. Fixed costs include employee salaries, software development, corporate offices, research facilities, data centres, long-term leases and depreciation of servers and equipment. These costs do not immediately change when customer numbers increase or decrease. Variable and semi-variable costs include electricity for data centres, cloud networking, customer support, sales commissions, payment processing, royalties, consulting delivery and device manufacturing. Microsoft’s cost of revenue includes data-centre operating costs, product support, royalties, manufacturing, distribution and traffic acquisition costs (Microsoft, 2025a).</w:t>
      </w:r>
    </w:p>
    <w:p w14:paraId="07481114"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Cost-volume-profit analysis is useful because it examines the relationship between sales volume, revenue, costs and profit. ACCA explains that CVP analysis focuses on how different activity levels affect financial results, especially where sales volume is uncertain (ACCA, 2026). For Microsoft, CVP analysis can help managers estimate how many Microsoft 365 subscribers, Azure consumption units or Copilot users are required to cover fixed engineering and data-centre costs. Once fixed costs are covered, additional digital subscriptions can generate strong contribution because the marginal cost of supplying another software licence may be relatively low. However, AI services can have higher marginal costs because they require expensive processors, energy, cooling and cloud capacity.</w:t>
      </w:r>
    </w:p>
    <w:p w14:paraId="72C3E549"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Activity-based costing would also support better decisions because Microsoft’s products consume resources differently. Cost drivers could include Azure computing hours, storage usage, customer-support incidents, software-development time, cybersecurity monitoring and sales activity. If costs were allocated only by revenue, Microsoft could underestimate the true cost of products that require heavy infrastructure or support. Microsoft already allocates some shared operating costs using measures such as relative gross margin and headcount, showing the importance of suitable cost drivers (Microsoft, 2025a).</w:t>
      </w:r>
    </w:p>
    <w:p w14:paraId="0D19DB48" w14:textId="77777777" w:rsidR="00BE0EEE" w:rsidRDefault="00BE0EEE" w:rsidP="00916AF1">
      <w:pPr>
        <w:pStyle w:val="Heading1"/>
        <w:jc w:val="both"/>
        <w:rPr>
          <w:rFonts w:ascii="Arial" w:hAnsi="Arial" w:cs="Arial"/>
        </w:rPr>
      </w:pPr>
    </w:p>
    <w:p w14:paraId="18E58143" w14:textId="77777777" w:rsidR="00C460D9" w:rsidRDefault="00C460D9" w:rsidP="00916AF1">
      <w:pPr>
        <w:jc w:val="both"/>
      </w:pPr>
    </w:p>
    <w:p w14:paraId="11199100" w14:textId="77777777" w:rsidR="00C460D9" w:rsidRDefault="00C460D9" w:rsidP="00916AF1">
      <w:pPr>
        <w:jc w:val="both"/>
      </w:pPr>
    </w:p>
    <w:p w14:paraId="50CF3310" w14:textId="77777777" w:rsidR="00C460D9" w:rsidRDefault="00C460D9" w:rsidP="00916AF1">
      <w:pPr>
        <w:jc w:val="both"/>
      </w:pPr>
    </w:p>
    <w:p w14:paraId="2F22BB04" w14:textId="77777777" w:rsidR="00C460D9" w:rsidRDefault="00C460D9" w:rsidP="00916AF1">
      <w:pPr>
        <w:jc w:val="both"/>
      </w:pPr>
    </w:p>
    <w:p w14:paraId="60400420" w14:textId="37E6DFC1" w:rsidR="00BD4DD2" w:rsidRPr="00C460D9" w:rsidRDefault="00BD4DD2" w:rsidP="00916AF1">
      <w:pPr>
        <w:pStyle w:val="Heading1"/>
        <w:jc w:val="both"/>
        <w:rPr>
          <w:rFonts w:ascii="Arial" w:hAnsi="Arial" w:cs="Arial"/>
        </w:rPr>
      </w:pPr>
      <w:bookmarkStart w:id="2" w:name="_Toc233560765"/>
      <w:r w:rsidRPr="00C460D9">
        <w:rPr>
          <w:rFonts w:ascii="Arial" w:hAnsi="Arial" w:cs="Arial"/>
        </w:rPr>
        <w:lastRenderedPageBreak/>
        <w:t>3. Budgeting and Financial Planning</w:t>
      </w:r>
      <w:bookmarkEnd w:id="2"/>
    </w:p>
    <w:p w14:paraId="12EB1AF7"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Budgeting plays a vital role at Microsoft because it converts strategic objectives into financial and operational plans. Evidence from the Government Finance Function explains that accurate and timely forecasts help budget holders make better decisions, manage resources and identify risks early (HM Treasury, 2023). For Microsoft, budgets are needed for employee costs, research and development, marketing, acquisitions, cybersecurity, data-centre construction and cloud capacity. Budgets also allow managers to compare actual spending with planned spending and investigate significant variances.</w:t>
      </w:r>
    </w:p>
    <w:p w14:paraId="60763950"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Budgeting is particularly important because Microsoft is investing heavily in artificial intelligence and cloud infrastructure. The company’s operating expenses increased from $61.58 billion in 2024 to $65.37 billion in 2025, a rise of approximately $3.79 billion or 6.2% (Microsoft, 2025a). Research and development expenses increased by 10%, from $29.51 billion to $32.49 billion, while sales and marketing costs increased by 5%. These figures show that budgeting helps managers understand where spending is increasing and whether those increases are linked to strategic priorities.</w:t>
      </w:r>
    </w:p>
    <w:p w14:paraId="3281AC1F"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A traditional annual budget may not be enough for Microsoft because the technology market changes quickly. Cloud computing, artificial intelligence, energy prices, competition and customer demand can change during the year. AICPA and CIMA state that rolling plans and forecasts are continuously updated when actual results become available, with new forecast periods added as older periods expire (AICPA and CIMA, 2026). This evidence supports the use of rolling forecasts at Microsoft because managers can revise spending plans when Azure demand, processor availability, electricity prices or Copilot adoption change. Flexible budgets would also help because they adjust planned costs according to actual levels of activity.</w:t>
      </w:r>
    </w:p>
    <w:p w14:paraId="33B4F6FB"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Microsoft’s planned investment in AI-enabled data centres demonstrates the importance of capital budgeting. Microsoft announced that it was on course to invest around $80 billion during its 2025 financial year in AI-enabled data centres used to train AI models and provide cloud applications (Smith, 2025). Investment appraisal techniques such as net present value, internal rate of return, payback period and sensitivity analysis would be important when evaluating these projects. Managers must compare expected future cash flows with the cost of construction, energy, processors and maintenance.</w:t>
      </w:r>
    </w:p>
    <w:p w14:paraId="4073CD3B"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 xml:space="preserve">External factors also influence Microsoft’s budgets. Generative AI has increased the need for advanced chips, electricity, cooling systems and data-centre capacity. Foreign exchange rates, inflation, environmental regulation and competition for skilled AI employees can also affect costs. Variance analysis should therefore distinguish between controllable internal </w:t>
      </w:r>
      <w:r w:rsidRPr="00BD4DD2">
        <w:rPr>
          <w:rFonts w:ascii="Arial" w:hAnsi="Arial" w:cs="Arial"/>
          <w:sz w:val="22"/>
          <w:szCs w:val="22"/>
        </w:rPr>
        <w:lastRenderedPageBreak/>
        <w:t>costs, such as staffing and marketing, and less controllable external costs, such as energy prices and hardware supply constraints.</w:t>
      </w:r>
    </w:p>
    <w:p w14:paraId="3595264D" w14:textId="77777777" w:rsidR="00BD4DD2" w:rsidRPr="00E351AB" w:rsidRDefault="00BD4DD2" w:rsidP="00916AF1">
      <w:pPr>
        <w:pStyle w:val="Heading1"/>
        <w:jc w:val="both"/>
        <w:rPr>
          <w:rFonts w:ascii="Arial" w:hAnsi="Arial" w:cs="Arial"/>
        </w:rPr>
      </w:pPr>
      <w:bookmarkStart w:id="3" w:name="_Toc233560766"/>
      <w:r w:rsidRPr="00E351AB">
        <w:rPr>
          <w:rFonts w:ascii="Arial" w:hAnsi="Arial" w:cs="Arial"/>
        </w:rPr>
        <w:t>4. Performance Measurement and Decision-Making</w:t>
      </w:r>
      <w:bookmarkEnd w:id="3"/>
    </w:p>
    <w:p w14:paraId="7FCA86FD" w14:textId="77777777" w:rsidR="00392268" w:rsidRDefault="00BD4DD2" w:rsidP="00916AF1">
      <w:pPr>
        <w:spacing w:line="360" w:lineRule="auto"/>
        <w:jc w:val="both"/>
        <w:rPr>
          <w:rFonts w:ascii="Arial" w:hAnsi="Arial" w:cs="Arial"/>
          <w:sz w:val="22"/>
          <w:szCs w:val="22"/>
        </w:rPr>
      </w:pPr>
      <w:r w:rsidRPr="00BD4DD2">
        <w:rPr>
          <w:rFonts w:ascii="Arial" w:hAnsi="Arial" w:cs="Arial"/>
          <w:sz w:val="22"/>
          <w:szCs w:val="22"/>
        </w:rPr>
        <w:t>Microsoft needs financial and non-financial key performance indicators to measure success. Important KPIs include revenue, operating income, Azure growth, Microsoft 365 subscriber numbers and Microsoft Cloud gross margin. In 2025, Microsoft’s revenue increased by 15%, from $245.12 billion to $281.72 billion, while operating income increased by 17%, from $109.43 billion to $128.53 billion (Microsoft, 2025a). These KPIs show that Microsoft increased profit while continuing to invest in AI and cloud infrastructure.</w:t>
      </w:r>
    </w:p>
    <w:p w14:paraId="1BCE7FA2" w14:textId="7ABEAB9C"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Azure and other cloud services revenue growth is another key KPI. Azure revenue increased by 34% in 2025 due to strong demand for cloud and AI services (Microsoft, 2025a). This indicator supports decisions about whether to expand data-centre capacity, recruit more engineers and invest in new AI infrastructure. However, Microsoft Cloud gross margin fell to 69%, partly because of the cost of expanding AI infrastructure (Microsoft, 2025a). This shows the trade-off between growth and the short-term cost of capacity expansion.</w:t>
      </w:r>
    </w:p>
    <w:p w14:paraId="5C032438"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Microsoft’s website and annual report do treat subscriber growth as an important performance measure, even if it is not always labelled formally as a KPI. Microsoft reported that Microsoft 365 Consumer subscribers increased by 8% to 89 million in 2025 (Microsoft, 2025a). Subscriber growth matters because it indicates customer retention, recurring revenue and opportunities to sell related services such as Copilot, OneDrive storage and security products.</w:t>
      </w:r>
    </w:p>
    <w:p w14:paraId="7F916549"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Consumers have benefited from Microsoft’s subscription pricing because Microsoft 365 gives users access to regularly updated applications, cloud storage and online services without needing to buy separate permanent licences. Microsoft’s consumer website describes Microsoft 365 as a subscription that includes familiar apps such as Word, Excel and PowerPoint, plus services such as OneDrive, Teams, Outlook and Copilot features (Microsoft, 2026a). This can improve affordability for users who prefer regular monthly or annual payments rather than a large one-off purchase. However, price increases can reduce this benefit, so management accounting should assess customer value, retention and affordability alongside contribution margin.</w:t>
      </w:r>
    </w:p>
    <w:p w14:paraId="07E7A5C6"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 xml:space="preserve">Balanced scorecard measures would strengthen Microsoft’s decision-making. Financial indicators should be combined with customer, internal process, innovation and sustainability measures. Relevant non-financial measures include service availability, cybersecurity </w:t>
      </w:r>
      <w:r w:rsidRPr="00BD4DD2">
        <w:rPr>
          <w:rFonts w:ascii="Arial" w:hAnsi="Arial" w:cs="Arial"/>
          <w:sz w:val="22"/>
          <w:szCs w:val="22"/>
        </w:rPr>
        <w:lastRenderedPageBreak/>
        <w:t>incidents, customer satisfaction, Copilot adoption, employee retention, energy efficiency and carbon emissions. This would reduce the risk of managers focusing only on revenue and profit while ignoring quality, ethics and long-term sustainability.</w:t>
      </w:r>
    </w:p>
    <w:p w14:paraId="5CCF40F8" w14:textId="697A5A5A" w:rsidR="00BD4DD2" w:rsidRPr="00E351AB" w:rsidRDefault="00BD4DD2" w:rsidP="00916AF1">
      <w:pPr>
        <w:pStyle w:val="Heading1"/>
        <w:jc w:val="both"/>
        <w:rPr>
          <w:rFonts w:ascii="Arial" w:hAnsi="Arial" w:cs="Arial"/>
        </w:rPr>
      </w:pPr>
      <w:bookmarkStart w:id="4" w:name="_Toc233560767"/>
      <w:r w:rsidRPr="00E351AB">
        <w:rPr>
          <w:rFonts w:ascii="Arial" w:hAnsi="Arial" w:cs="Arial"/>
        </w:rPr>
        <w:t>5. Sustainability, ESG and Ethical Considerations</w:t>
      </w:r>
      <w:bookmarkEnd w:id="4"/>
    </w:p>
    <w:p w14:paraId="15FC5219"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Microsoft has set major sustainability targets. It aims to become carbon negative, water positive and zero waste by 2030, and by 2050 it aims to remove from the atmosphere the equivalent of all carbon dioxide it has emitted since its founding in 1975 (Microsoft, 2025b). These targets affect management accounting because investment decisions should include environmental costs, not only financial costs. For example, data-centre budgets should consider electricity sources, water use, construction emissions and local community impact.</w:t>
      </w:r>
    </w:p>
    <w:p w14:paraId="5EC19687" w14:textId="47C0DC78" w:rsidR="00CF09E5" w:rsidRDefault="00CF09E5" w:rsidP="00916AF1">
      <w:pPr>
        <w:spacing w:line="360" w:lineRule="auto"/>
        <w:jc w:val="both"/>
        <w:rPr>
          <w:rFonts w:ascii="Arial" w:hAnsi="Arial" w:cs="Arial"/>
          <w:sz w:val="22"/>
          <w:szCs w:val="22"/>
        </w:rPr>
      </w:pPr>
      <w:r w:rsidRPr="00CF09E5">
        <w:rPr>
          <w:rFonts w:ascii="Arial" w:hAnsi="Arial" w:cs="Arial"/>
          <w:sz w:val="22"/>
          <w:szCs w:val="22"/>
        </w:rPr>
        <w:t xml:space="preserve">Microsoft’s ESG and CSR performance is measured by several independent rating organisations, although each uses a different methodology. Microsoft states that MSCI awarded it an AAA ESG rating in 2023, the highest rating available, while Sustainalytics also recognised Microsoft as a top ESG performer (Microsoft, 2026b). </w:t>
      </w:r>
      <w:proofErr w:type="spellStart"/>
      <w:r w:rsidRPr="00CF09E5">
        <w:rPr>
          <w:rFonts w:ascii="Arial" w:hAnsi="Arial" w:cs="Arial"/>
          <w:sz w:val="22"/>
          <w:szCs w:val="22"/>
        </w:rPr>
        <w:t>CSRHub</w:t>
      </w:r>
      <w:proofErr w:type="spellEnd"/>
      <w:r w:rsidRPr="00CF09E5">
        <w:rPr>
          <w:rFonts w:ascii="Arial" w:hAnsi="Arial" w:cs="Arial"/>
          <w:sz w:val="22"/>
          <w:szCs w:val="22"/>
        </w:rPr>
        <w:t xml:space="preserve"> currently gives Microsoft an ESG score of 59 out of 100 (</w:t>
      </w:r>
      <w:proofErr w:type="spellStart"/>
      <w:r w:rsidRPr="00CF09E5">
        <w:rPr>
          <w:rFonts w:ascii="Arial" w:hAnsi="Arial" w:cs="Arial"/>
          <w:sz w:val="22"/>
          <w:szCs w:val="22"/>
        </w:rPr>
        <w:t>CSRHub</w:t>
      </w:r>
      <w:proofErr w:type="spellEnd"/>
      <w:r w:rsidRPr="00CF09E5">
        <w:rPr>
          <w:rFonts w:ascii="Arial" w:hAnsi="Arial" w:cs="Arial"/>
          <w:sz w:val="22"/>
          <w:szCs w:val="22"/>
        </w:rPr>
        <w:t>, 2026). In addition, S&amp;P Global reported Microsoft’s ESG score as 51 and its Corporate Sustainability Assessment (CSA) score as 48 in May 2026 (S&amp;P Global, 202</w:t>
      </w:r>
      <w:r w:rsidR="00D363E8">
        <w:rPr>
          <w:rFonts w:ascii="Arial" w:hAnsi="Arial" w:cs="Arial"/>
          <w:sz w:val="22"/>
          <w:szCs w:val="22"/>
        </w:rPr>
        <w:t>5</w:t>
      </w:r>
      <w:r w:rsidRPr="00CF09E5">
        <w:rPr>
          <w:rFonts w:ascii="Arial" w:hAnsi="Arial" w:cs="Arial"/>
          <w:sz w:val="22"/>
          <w:szCs w:val="22"/>
        </w:rPr>
        <w:t>). Over the past five years, Microsoft has consistently remained among the leading technology companies for ESG performance, although individual scores have varied because each rating provider applies different assessment criteria</w:t>
      </w:r>
      <w:r>
        <w:rPr>
          <w:rFonts w:ascii="Arial" w:hAnsi="Arial" w:cs="Arial"/>
          <w:sz w:val="22"/>
          <w:szCs w:val="22"/>
        </w:rPr>
        <w:t xml:space="preserve"> </w:t>
      </w:r>
      <w:r w:rsidRPr="00CF09E5">
        <w:rPr>
          <w:rFonts w:ascii="Arial" w:hAnsi="Arial" w:cs="Arial"/>
          <w:sz w:val="22"/>
          <w:szCs w:val="22"/>
        </w:rPr>
        <w:t>(S&amp;P Global, 202</w:t>
      </w:r>
      <w:r w:rsidR="00D363E8">
        <w:rPr>
          <w:rFonts w:ascii="Arial" w:hAnsi="Arial" w:cs="Arial"/>
          <w:sz w:val="22"/>
          <w:szCs w:val="22"/>
        </w:rPr>
        <w:t>5</w:t>
      </w:r>
      <w:r w:rsidRPr="00CF09E5">
        <w:rPr>
          <w:rFonts w:ascii="Arial" w:hAnsi="Arial" w:cs="Arial"/>
          <w:sz w:val="22"/>
          <w:szCs w:val="22"/>
        </w:rPr>
        <w:t>)</w:t>
      </w:r>
      <w:r>
        <w:rPr>
          <w:rFonts w:ascii="Arial" w:hAnsi="Arial" w:cs="Arial"/>
          <w:sz w:val="22"/>
          <w:szCs w:val="22"/>
        </w:rPr>
        <w:t>.</w:t>
      </w:r>
    </w:p>
    <w:p w14:paraId="1B5A83DD" w14:textId="4BB7A1A8"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Microsoft is taking action around the world to reduce its carbon footprint. Its 2025 sustainability reporting states that it has contracted 34 gigawatts of new renewable energy across 24 countries, helping expand carbon-free electricity supply (Microsoft, 2025b). Microsoft also reports investment in carbon removal, water replenishment, zero waste work and ecosystem protection. These actions show that Microsoft is not only measuring sustainability but also using sustainability information to guide procurement, infrastructure and investment decisions</w:t>
      </w:r>
      <w:r w:rsidR="00C87675">
        <w:rPr>
          <w:rFonts w:ascii="Arial" w:hAnsi="Arial" w:cs="Arial"/>
          <w:sz w:val="22"/>
          <w:szCs w:val="22"/>
        </w:rPr>
        <w:t xml:space="preserve"> (</w:t>
      </w:r>
      <w:r w:rsidR="00C87675" w:rsidRPr="00C87675">
        <w:rPr>
          <w:rFonts w:ascii="Arial" w:hAnsi="Arial" w:cs="Arial"/>
          <w:sz w:val="22"/>
          <w:szCs w:val="22"/>
        </w:rPr>
        <w:t>Microsoft</w:t>
      </w:r>
      <w:r w:rsidR="00C87675">
        <w:rPr>
          <w:rFonts w:ascii="Arial" w:hAnsi="Arial" w:cs="Arial"/>
          <w:sz w:val="22"/>
          <w:szCs w:val="22"/>
        </w:rPr>
        <w:t xml:space="preserve">, </w:t>
      </w:r>
      <w:r w:rsidR="00C87675" w:rsidRPr="00C87675">
        <w:rPr>
          <w:rFonts w:ascii="Arial" w:hAnsi="Arial" w:cs="Arial"/>
          <w:sz w:val="22"/>
          <w:szCs w:val="22"/>
        </w:rPr>
        <w:t>2025</w:t>
      </w:r>
      <w:r w:rsidR="006A7ACC">
        <w:rPr>
          <w:rFonts w:ascii="Arial" w:hAnsi="Arial" w:cs="Arial"/>
          <w:sz w:val="22"/>
          <w:szCs w:val="22"/>
        </w:rPr>
        <w:t>c</w:t>
      </w:r>
      <w:r w:rsidR="00C87675" w:rsidRPr="00C87675">
        <w:rPr>
          <w:rFonts w:ascii="Arial" w:hAnsi="Arial" w:cs="Arial"/>
          <w:sz w:val="22"/>
          <w:szCs w:val="22"/>
        </w:rPr>
        <w:t>)</w:t>
      </w:r>
      <w:r w:rsidR="00C87675">
        <w:rPr>
          <w:rFonts w:ascii="Arial" w:hAnsi="Arial" w:cs="Arial"/>
          <w:sz w:val="22"/>
          <w:szCs w:val="22"/>
        </w:rPr>
        <w:t>.</w:t>
      </w:r>
    </w:p>
    <w:p w14:paraId="7A817D96"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However, Microsoft faces a conflict between AI growth and environmental objectives. Building and operating data centres requires steel, cement, servers, processors, water and electricity. Microsoft’s own reporting recognises that cloud and AI infrastructure growth creates challenges for carbon reduction (Microsoft, 2025b). Environmental management accounting can help by assigning internal carbon and water costs to investment proposals. This would encourage managers to choose more efficient technology, renewable energy and lower-impact locations.</w:t>
      </w:r>
    </w:p>
    <w:p w14:paraId="54BBEE8F"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lastRenderedPageBreak/>
        <w:t>Ethical considerations also apply to cost management and pricing. Microsoft should not reduce costs in ways that weaken cybersecurity, responsible AI controls, employee wellbeing or customer support. AI products can create risks involving privacy, bias, misinformation and intellectual property. Microsoft should therefore treat responsible AI and cybersecurity spending as long-term value protection rather than costs to be minimised. Pricing should also be fair and transparent, because bundling strategies can raise competition concerns.</w:t>
      </w:r>
    </w:p>
    <w:p w14:paraId="489F9957" w14:textId="77777777" w:rsidR="00694527" w:rsidRPr="00694527" w:rsidRDefault="00694527" w:rsidP="00916AF1">
      <w:pPr>
        <w:spacing w:line="360" w:lineRule="auto"/>
        <w:jc w:val="both"/>
        <w:rPr>
          <w:rFonts w:ascii="Arial" w:hAnsi="Arial" w:cs="Arial"/>
          <w:b/>
          <w:bCs/>
          <w:sz w:val="22"/>
          <w:szCs w:val="22"/>
        </w:rPr>
      </w:pPr>
    </w:p>
    <w:p w14:paraId="48BBC295" w14:textId="287FB65A" w:rsidR="00BD4DD2" w:rsidRPr="00E351AB" w:rsidRDefault="00BD4DD2" w:rsidP="00916AF1">
      <w:pPr>
        <w:pStyle w:val="Heading1"/>
        <w:jc w:val="both"/>
        <w:rPr>
          <w:rFonts w:ascii="Arial" w:hAnsi="Arial" w:cs="Arial"/>
        </w:rPr>
      </w:pPr>
      <w:bookmarkStart w:id="5" w:name="_Toc233560768"/>
      <w:r w:rsidRPr="00E351AB">
        <w:rPr>
          <w:rFonts w:ascii="Arial" w:hAnsi="Arial" w:cs="Arial"/>
        </w:rPr>
        <w:t>6. Conclusion and Recommendations</w:t>
      </w:r>
      <w:bookmarkEnd w:id="5"/>
    </w:p>
    <w:p w14:paraId="6624B7C7"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Microsoft uses management accounting information to control costs, plan investment, evaluate performance and support strategic decisions.</w:t>
      </w:r>
    </w:p>
    <w:p w14:paraId="29AB2B7B" w14:textId="77777777" w:rsidR="00BD4DD2" w:rsidRPr="00BD4DD2" w:rsidRDefault="00BD4DD2" w:rsidP="00916AF1">
      <w:pPr>
        <w:spacing w:line="360" w:lineRule="auto"/>
        <w:jc w:val="both"/>
        <w:rPr>
          <w:rFonts w:ascii="Arial" w:hAnsi="Arial" w:cs="Arial"/>
          <w:sz w:val="22"/>
          <w:szCs w:val="22"/>
        </w:rPr>
      </w:pPr>
      <w:r w:rsidRPr="00BD4DD2">
        <w:rPr>
          <w:rFonts w:ascii="Arial" w:hAnsi="Arial" w:cs="Arial"/>
          <w:sz w:val="22"/>
          <w:szCs w:val="22"/>
        </w:rPr>
        <w:t>The main recommendation is that Microsoft should continue developing a balanced management accounting system that links financial performance with customer value, operational efficiency, innovation and sustainability. First, Microsoft should expand activity-based costing to identify the full cost and profitability of individual AI, cloud and subscription services. Second, it should use rolling forecasts and scenario analysis to manage uncertainty around AI demand, energy costs and data-centre capacity. Third, environmental and ethical measures should be included in capital budgets and balanced scorecards. This would help Microsoft pursue profitable growth while maintaining responsible pricing, fair competition and progress towards its sustainability commitments.</w:t>
      </w:r>
    </w:p>
    <w:p w14:paraId="26AFCD86" w14:textId="77777777" w:rsidR="00BD4DD2" w:rsidRPr="00BD4DD2" w:rsidRDefault="00BD4DD2" w:rsidP="00694527">
      <w:pPr>
        <w:spacing w:line="360" w:lineRule="auto"/>
        <w:rPr>
          <w:rFonts w:ascii="Arial" w:hAnsi="Arial" w:cs="Arial"/>
          <w:sz w:val="22"/>
          <w:szCs w:val="22"/>
        </w:rPr>
      </w:pPr>
      <w:r w:rsidRPr="00BD4DD2">
        <w:rPr>
          <w:rFonts w:ascii="Arial" w:hAnsi="Arial" w:cs="Arial"/>
          <w:b/>
          <w:bCs/>
          <w:sz w:val="22"/>
          <w:szCs w:val="22"/>
        </w:rPr>
        <w:t>Figure 1: How good management accounting supports Microsoft</w:t>
      </w:r>
    </w:p>
    <w:p w14:paraId="091E9F6A" w14:textId="77777777" w:rsidR="00C460D9" w:rsidRDefault="00BD4DD2" w:rsidP="00C460D9">
      <w:pPr>
        <w:spacing w:line="360" w:lineRule="auto"/>
        <w:rPr>
          <w:rFonts w:ascii="Arial" w:hAnsi="Arial" w:cs="Arial"/>
          <w:sz w:val="22"/>
          <w:szCs w:val="22"/>
        </w:rPr>
      </w:pPr>
      <w:r w:rsidRPr="00BD4DD2">
        <w:rPr>
          <w:rFonts w:ascii="Arial" w:hAnsi="Arial" w:cs="Arial"/>
          <w:sz w:val="22"/>
          <w:szCs w:val="22"/>
        </w:rPr>
        <w:t>Management accounting information</w:t>
      </w:r>
      <w:r w:rsidRPr="00BD4DD2">
        <w:rPr>
          <w:rFonts w:ascii="Arial" w:hAnsi="Arial" w:cs="Arial"/>
          <w:sz w:val="22"/>
          <w:szCs w:val="22"/>
        </w:rPr>
        <w:br/>
        <w:t>↓</w:t>
      </w:r>
      <w:r w:rsidRPr="00BD4DD2">
        <w:rPr>
          <w:rFonts w:ascii="Arial" w:hAnsi="Arial" w:cs="Arial"/>
          <w:sz w:val="22"/>
          <w:szCs w:val="22"/>
        </w:rPr>
        <w:br/>
        <w:t>Better budgeting, forecasting and cost analysis</w:t>
      </w:r>
      <w:r w:rsidRPr="00BD4DD2">
        <w:rPr>
          <w:rFonts w:ascii="Arial" w:hAnsi="Arial" w:cs="Arial"/>
          <w:sz w:val="22"/>
          <w:szCs w:val="22"/>
        </w:rPr>
        <w:br/>
        <w:t>↓</w:t>
      </w:r>
      <w:r w:rsidRPr="00BD4DD2">
        <w:rPr>
          <w:rFonts w:ascii="Arial" w:hAnsi="Arial" w:cs="Arial"/>
          <w:sz w:val="22"/>
          <w:szCs w:val="22"/>
        </w:rPr>
        <w:br/>
        <w:t>Stronger pricing, investment and performance decisions</w:t>
      </w:r>
      <w:r w:rsidRPr="00BD4DD2">
        <w:rPr>
          <w:rFonts w:ascii="Arial" w:hAnsi="Arial" w:cs="Arial"/>
          <w:sz w:val="22"/>
          <w:szCs w:val="22"/>
        </w:rPr>
        <w:br/>
        <w:t>↓</w:t>
      </w:r>
      <w:r w:rsidRPr="00BD4DD2">
        <w:rPr>
          <w:rFonts w:ascii="Arial" w:hAnsi="Arial" w:cs="Arial"/>
          <w:sz w:val="22"/>
          <w:szCs w:val="22"/>
        </w:rPr>
        <w:br/>
        <w:t>Improved profitability, customer value and sustainability</w:t>
      </w:r>
      <w:r w:rsidRPr="00BD4DD2">
        <w:rPr>
          <w:rFonts w:ascii="Arial" w:hAnsi="Arial" w:cs="Arial"/>
          <w:sz w:val="22"/>
          <w:szCs w:val="22"/>
        </w:rPr>
        <w:br/>
        <w:t>↓</w:t>
      </w:r>
      <w:r w:rsidRPr="00BD4DD2">
        <w:rPr>
          <w:rFonts w:ascii="Arial" w:hAnsi="Arial" w:cs="Arial"/>
          <w:sz w:val="22"/>
          <w:szCs w:val="22"/>
        </w:rPr>
        <w:br/>
        <w:t>Long-term business success</w:t>
      </w:r>
    </w:p>
    <w:p w14:paraId="7567BB06" w14:textId="68FB3B4B" w:rsidR="00BD4DD2" w:rsidRPr="003B33A4" w:rsidRDefault="00BE0EEE" w:rsidP="00C460D9">
      <w:pPr>
        <w:pStyle w:val="Heading1"/>
        <w:rPr>
          <w:rFonts w:ascii="Arial" w:hAnsi="Arial" w:cs="Arial"/>
          <w:sz w:val="22"/>
          <w:szCs w:val="22"/>
        </w:rPr>
      </w:pPr>
      <w:bookmarkStart w:id="6" w:name="_Toc233560769"/>
      <w:r w:rsidRPr="003B33A4">
        <w:rPr>
          <w:rFonts w:ascii="Arial" w:hAnsi="Arial" w:cs="Arial"/>
        </w:rPr>
        <w:lastRenderedPageBreak/>
        <w:t xml:space="preserve">7. </w:t>
      </w:r>
      <w:r w:rsidR="00BD4DD2" w:rsidRPr="003B33A4">
        <w:rPr>
          <w:rFonts w:ascii="Arial" w:hAnsi="Arial" w:cs="Arial"/>
        </w:rPr>
        <w:t>Reference List</w:t>
      </w:r>
      <w:bookmarkEnd w:id="6"/>
    </w:p>
    <w:p w14:paraId="277EBADC" w14:textId="6D2B0BC9" w:rsidR="00BD4DD2" w:rsidRPr="003B33A4" w:rsidRDefault="00BD4DD2" w:rsidP="00694527">
      <w:pPr>
        <w:spacing w:line="360" w:lineRule="auto"/>
        <w:rPr>
          <w:rFonts w:ascii="Arial" w:hAnsi="Arial" w:cs="Arial"/>
          <w:sz w:val="22"/>
          <w:szCs w:val="22"/>
        </w:rPr>
      </w:pPr>
      <w:r w:rsidRPr="003B33A4">
        <w:rPr>
          <w:rFonts w:ascii="Arial" w:hAnsi="Arial" w:cs="Arial"/>
          <w:sz w:val="22"/>
          <w:szCs w:val="22"/>
        </w:rPr>
        <w:t xml:space="preserve">ACCA (2026) </w:t>
      </w:r>
      <w:r w:rsidRPr="003B33A4">
        <w:rPr>
          <w:rFonts w:ascii="Arial" w:hAnsi="Arial" w:cs="Arial"/>
          <w:i/>
          <w:iCs/>
          <w:sz w:val="22"/>
          <w:szCs w:val="22"/>
        </w:rPr>
        <w:t>Cost-volume-profit analysis</w:t>
      </w:r>
      <w:r w:rsidRPr="003B33A4">
        <w:rPr>
          <w:rFonts w:ascii="Arial" w:hAnsi="Arial" w:cs="Arial"/>
          <w:sz w:val="22"/>
          <w:szCs w:val="22"/>
        </w:rPr>
        <w:t xml:space="preserve">. Available at: </w:t>
      </w:r>
      <w:r w:rsidR="00B96D92" w:rsidRPr="003B33A4">
        <w:rPr>
          <w:rFonts w:ascii="Arial" w:hAnsi="Arial" w:cs="Arial"/>
          <w:sz w:val="22"/>
          <w:szCs w:val="22"/>
        </w:rPr>
        <w:t>https://www.accaglobal.com/gb/en/student/exam-support-resources/fundamentals-exams-study-resources/f5/technical-articles/CVP-analysis.html</w:t>
      </w:r>
      <w:r w:rsidRPr="003B33A4">
        <w:rPr>
          <w:rFonts w:ascii="Arial" w:hAnsi="Arial" w:cs="Arial"/>
          <w:sz w:val="22"/>
          <w:szCs w:val="22"/>
        </w:rPr>
        <w:t xml:space="preserve"> (Accessed: 2</w:t>
      </w:r>
      <w:r w:rsidR="00C87675" w:rsidRPr="003B33A4">
        <w:rPr>
          <w:rFonts w:ascii="Arial" w:hAnsi="Arial" w:cs="Arial"/>
          <w:sz w:val="22"/>
          <w:szCs w:val="22"/>
        </w:rPr>
        <w:t>3</w:t>
      </w:r>
      <w:r w:rsidRPr="003B33A4">
        <w:rPr>
          <w:rFonts w:ascii="Arial" w:hAnsi="Arial" w:cs="Arial"/>
          <w:sz w:val="22"/>
          <w:szCs w:val="22"/>
        </w:rPr>
        <w:t xml:space="preserve"> June 2026).</w:t>
      </w:r>
    </w:p>
    <w:p w14:paraId="43D35021" w14:textId="5E98ECEB" w:rsidR="00BD4DD2" w:rsidRPr="003B33A4" w:rsidRDefault="00BD4DD2" w:rsidP="00694527">
      <w:pPr>
        <w:spacing w:line="360" w:lineRule="auto"/>
        <w:rPr>
          <w:rFonts w:ascii="Arial" w:hAnsi="Arial" w:cs="Arial"/>
          <w:sz w:val="22"/>
          <w:szCs w:val="22"/>
        </w:rPr>
      </w:pPr>
      <w:r w:rsidRPr="003B33A4">
        <w:rPr>
          <w:rFonts w:ascii="Arial" w:hAnsi="Arial" w:cs="Arial"/>
          <w:sz w:val="22"/>
          <w:szCs w:val="22"/>
        </w:rPr>
        <w:t xml:space="preserve">AICPA and CIMA (2023) </w:t>
      </w:r>
      <w:r w:rsidRPr="003B33A4">
        <w:rPr>
          <w:rFonts w:ascii="Arial" w:hAnsi="Arial" w:cs="Arial"/>
          <w:i/>
          <w:iCs/>
          <w:sz w:val="22"/>
          <w:szCs w:val="22"/>
        </w:rPr>
        <w:t>Effective management accounting: improving decisions and building successful organisations</w:t>
      </w:r>
      <w:r w:rsidRPr="003B33A4">
        <w:rPr>
          <w:rFonts w:ascii="Arial" w:hAnsi="Arial" w:cs="Arial"/>
          <w:sz w:val="22"/>
          <w:szCs w:val="22"/>
        </w:rPr>
        <w:t xml:space="preserve">. Available at: </w:t>
      </w:r>
      <w:r w:rsidR="00B96D92" w:rsidRPr="003B33A4">
        <w:rPr>
          <w:rFonts w:ascii="Arial" w:hAnsi="Arial" w:cs="Arial"/>
          <w:sz w:val="22"/>
          <w:szCs w:val="22"/>
        </w:rPr>
        <w:t>https://www.aicpa-cima-cn.com/upload/file/File20230710170611.pdf</w:t>
      </w:r>
      <w:r w:rsidRPr="003B33A4">
        <w:rPr>
          <w:rFonts w:ascii="Arial" w:hAnsi="Arial" w:cs="Arial"/>
          <w:sz w:val="22"/>
          <w:szCs w:val="22"/>
        </w:rPr>
        <w:t xml:space="preserve"> (Accessed: 2</w:t>
      </w:r>
      <w:r w:rsidR="00C87675" w:rsidRPr="003B33A4">
        <w:rPr>
          <w:rFonts w:ascii="Arial" w:hAnsi="Arial" w:cs="Arial"/>
          <w:sz w:val="22"/>
          <w:szCs w:val="22"/>
        </w:rPr>
        <w:t>2</w:t>
      </w:r>
      <w:r w:rsidRPr="003B33A4">
        <w:rPr>
          <w:rFonts w:ascii="Arial" w:hAnsi="Arial" w:cs="Arial"/>
          <w:sz w:val="22"/>
          <w:szCs w:val="22"/>
        </w:rPr>
        <w:t xml:space="preserve"> June 2026).</w:t>
      </w:r>
    </w:p>
    <w:p w14:paraId="1CB5E366" w14:textId="6F18889F" w:rsidR="00BD4DD2" w:rsidRPr="003B33A4" w:rsidRDefault="00BD4DD2" w:rsidP="00694527">
      <w:pPr>
        <w:spacing w:line="360" w:lineRule="auto"/>
        <w:rPr>
          <w:rFonts w:ascii="Arial" w:hAnsi="Arial" w:cs="Arial"/>
          <w:sz w:val="22"/>
          <w:szCs w:val="22"/>
        </w:rPr>
      </w:pPr>
      <w:r w:rsidRPr="003B33A4">
        <w:rPr>
          <w:rFonts w:ascii="Arial" w:hAnsi="Arial" w:cs="Arial"/>
          <w:sz w:val="22"/>
          <w:szCs w:val="22"/>
        </w:rPr>
        <w:t xml:space="preserve">AICPA and CIMA (2026) </w:t>
      </w:r>
      <w:r w:rsidRPr="003B33A4">
        <w:rPr>
          <w:rFonts w:ascii="Arial" w:hAnsi="Arial" w:cs="Arial"/>
          <w:i/>
          <w:iCs/>
          <w:sz w:val="22"/>
          <w:szCs w:val="22"/>
        </w:rPr>
        <w:t>Rolling plans and forecasts</w:t>
      </w:r>
      <w:r w:rsidRPr="003B33A4">
        <w:rPr>
          <w:rFonts w:ascii="Arial" w:hAnsi="Arial" w:cs="Arial"/>
          <w:sz w:val="22"/>
          <w:szCs w:val="22"/>
        </w:rPr>
        <w:t xml:space="preserve">. Available at: </w:t>
      </w:r>
      <w:r w:rsidR="006B7CD7" w:rsidRPr="003B33A4">
        <w:rPr>
          <w:rFonts w:ascii="Arial" w:hAnsi="Arial" w:cs="Arial"/>
          <w:sz w:val="22"/>
          <w:szCs w:val="22"/>
        </w:rPr>
        <w:t xml:space="preserve">https://www.aicpa-cima.com/resources/article/rolling-plans-and-forecasts#:~:text=A%20rolling%20forecast%20is%20continually,intermediate%20period%20forecasts%20are%20updated. </w:t>
      </w:r>
      <w:r w:rsidRPr="003B33A4">
        <w:rPr>
          <w:rFonts w:ascii="Arial" w:hAnsi="Arial" w:cs="Arial"/>
          <w:sz w:val="22"/>
          <w:szCs w:val="22"/>
        </w:rPr>
        <w:t>(Accessed: 2</w:t>
      </w:r>
      <w:r w:rsidR="00C87675" w:rsidRPr="003B33A4">
        <w:rPr>
          <w:rFonts w:ascii="Arial" w:hAnsi="Arial" w:cs="Arial"/>
          <w:sz w:val="22"/>
          <w:szCs w:val="22"/>
        </w:rPr>
        <w:t>3</w:t>
      </w:r>
      <w:r w:rsidRPr="003B33A4">
        <w:rPr>
          <w:rFonts w:ascii="Arial" w:hAnsi="Arial" w:cs="Arial"/>
          <w:sz w:val="22"/>
          <w:szCs w:val="22"/>
        </w:rPr>
        <w:t xml:space="preserve"> June 2026).</w:t>
      </w:r>
    </w:p>
    <w:p w14:paraId="45133563" w14:textId="2D421974" w:rsidR="00B96D92" w:rsidRPr="003B33A4" w:rsidRDefault="00B96D92" w:rsidP="00694527">
      <w:pPr>
        <w:spacing w:line="360" w:lineRule="auto"/>
        <w:rPr>
          <w:rFonts w:ascii="Arial" w:hAnsi="Arial" w:cs="Arial"/>
          <w:sz w:val="22"/>
          <w:szCs w:val="22"/>
        </w:rPr>
      </w:pPr>
      <w:proofErr w:type="spellStart"/>
      <w:r w:rsidRPr="003B33A4">
        <w:rPr>
          <w:rFonts w:ascii="Arial" w:hAnsi="Arial" w:cs="Arial"/>
          <w:sz w:val="22"/>
          <w:szCs w:val="22"/>
        </w:rPr>
        <w:t>Bullfincher</w:t>
      </w:r>
      <w:proofErr w:type="spellEnd"/>
      <w:r w:rsidRPr="003B33A4">
        <w:rPr>
          <w:rFonts w:ascii="Arial" w:hAnsi="Arial" w:cs="Arial"/>
          <w:sz w:val="22"/>
          <w:szCs w:val="22"/>
        </w:rPr>
        <w:t xml:space="preserve"> (2026) Microsoft Corporation revenue by geography. Available at: https://bullfincher.io/companies/microsoft-corporation/revenue-by-geography (Accessed: 2</w:t>
      </w:r>
      <w:r w:rsidR="00C87675" w:rsidRPr="003B33A4">
        <w:rPr>
          <w:rFonts w:ascii="Arial" w:hAnsi="Arial" w:cs="Arial"/>
          <w:sz w:val="22"/>
          <w:szCs w:val="22"/>
        </w:rPr>
        <w:t>2</w:t>
      </w:r>
      <w:r w:rsidRPr="003B33A4">
        <w:rPr>
          <w:rFonts w:ascii="Arial" w:hAnsi="Arial" w:cs="Arial"/>
          <w:sz w:val="22"/>
          <w:szCs w:val="22"/>
        </w:rPr>
        <w:t xml:space="preserve"> June 2026).</w:t>
      </w:r>
    </w:p>
    <w:p w14:paraId="08E178A1" w14:textId="292519CF" w:rsidR="00BD4DD2" w:rsidRPr="003B33A4" w:rsidRDefault="00BD4DD2" w:rsidP="00694527">
      <w:pPr>
        <w:spacing w:line="360" w:lineRule="auto"/>
        <w:rPr>
          <w:rFonts w:ascii="Arial" w:hAnsi="Arial" w:cs="Arial"/>
          <w:sz w:val="22"/>
          <w:szCs w:val="22"/>
        </w:rPr>
      </w:pPr>
      <w:proofErr w:type="spellStart"/>
      <w:r w:rsidRPr="003B33A4">
        <w:rPr>
          <w:rFonts w:ascii="Arial" w:hAnsi="Arial" w:cs="Arial"/>
          <w:sz w:val="22"/>
          <w:szCs w:val="22"/>
        </w:rPr>
        <w:t>CompaniesMarketCap</w:t>
      </w:r>
      <w:proofErr w:type="spellEnd"/>
      <w:r w:rsidRPr="003B33A4">
        <w:rPr>
          <w:rFonts w:ascii="Arial" w:hAnsi="Arial" w:cs="Arial"/>
          <w:sz w:val="22"/>
          <w:szCs w:val="22"/>
        </w:rPr>
        <w:t xml:space="preserve"> (2026) </w:t>
      </w:r>
      <w:r w:rsidRPr="003B33A4">
        <w:rPr>
          <w:rFonts w:ascii="Arial" w:hAnsi="Arial" w:cs="Arial"/>
          <w:i/>
          <w:iCs/>
          <w:sz w:val="22"/>
          <w:szCs w:val="22"/>
        </w:rPr>
        <w:t>Microsoft market capitalisation</w:t>
      </w:r>
      <w:r w:rsidRPr="003B33A4">
        <w:rPr>
          <w:rFonts w:ascii="Arial" w:hAnsi="Arial" w:cs="Arial"/>
          <w:sz w:val="22"/>
          <w:szCs w:val="22"/>
        </w:rPr>
        <w:t xml:space="preserve">. Available at: </w:t>
      </w:r>
      <w:r w:rsidR="00B96D92" w:rsidRPr="003B33A4">
        <w:rPr>
          <w:rFonts w:ascii="Arial" w:hAnsi="Arial" w:cs="Arial"/>
          <w:sz w:val="22"/>
          <w:szCs w:val="22"/>
        </w:rPr>
        <w:t xml:space="preserve">https://companiesmarketcap.com/gbp/microsoft/marketcap/ </w:t>
      </w:r>
      <w:r w:rsidRPr="003B33A4">
        <w:rPr>
          <w:rFonts w:ascii="Arial" w:hAnsi="Arial" w:cs="Arial"/>
          <w:sz w:val="22"/>
          <w:szCs w:val="22"/>
        </w:rPr>
        <w:t>(Accessed: 2</w:t>
      </w:r>
      <w:r w:rsidR="00C87675" w:rsidRPr="003B33A4">
        <w:rPr>
          <w:rFonts w:ascii="Arial" w:hAnsi="Arial" w:cs="Arial"/>
          <w:sz w:val="22"/>
          <w:szCs w:val="22"/>
        </w:rPr>
        <w:t>1</w:t>
      </w:r>
      <w:r w:rsidRPr="003B33A4">
        <w:rPr>
          <w:rFonts w:ascii="Arial" w:hAnsi="Arial" w:cs="Arial"/>
          <w:sz w:val="22"/>
          <w:szCs w:val="22"/>
        </w:rPr>
        <w:t xml:space="preserve"> June 2026).</w:t>
      </w:r>
    </w:p>
    <w:p w14:paraId="4CDD7149" w14:textId="1168A26B" w:rsidR="00BD4DD2" w:rsidRPr="003B33A4" w:rsidRDefault="00BD4DD2" w:rsidP="00694527">
      <w:pPr>
        <w:spacing w:line="360" w:lineRule="auto"/>
        <w:rPr>
          <w:rFonts w:ascii="Arial" w:hAnsi="Arial" w:cs="Arial"/>
          <w:sz w:val="22"/>
          <w:szCs w:val="22"/>
        </w:rPr>
      </w:pPr>
      <w:proofErr w:type="spellStart"/>
      <w:r w:rsidRPr="003B33A4">
        <w:rPr>
          <w:rFonts w:ascii="Arial" w:hAnsi="Arial" w:cs="Arial"/>
          <w:sz w:val="22"/>
          <w:szCs w:val="22"/>
        </w:rPr>
        <w:t>CSRHub</w:t>
      </w:r>
      <w:proofErr w:type="spellEnd"/>
      <w:r w:rsidRPr="003B33A4">
        <w:rPr>
          <w:rFonts w:ascii="Arial" w:hAnsi="Arial" w:cs="Arial"/>
          <w:sz w:val="22"/>
          <w:szCs w:val="22"/>
        </w:rPr>
        <w:t xml:space="preserve"> (2026) </w:t>
      </w:r>
      <w:r w:rsidRPr="003B33A4">
        <w:rPr>
          <w:rFonts w:ascii="Arial" w:hAnsi="Arial" w:cs="Arial"/>
          <w:i/>
          <w:iCs/>
          <w:sz w:val="22"/>
          <w:szCs w:val="22"/>
        </w:rPr>
        <w:t>Microsoft Corporation ESG ratings and sustainability information</w:t>
      </w:r>
      <w:r w:rsidRPr="003B33A4">
        <w:rPr>
          <w:rFonts w:ascii="Arial" w:hAnsi="Arial" w:cs="Arial"/>
          <w:sz w:val="22"/>
          <w:szCs w:val="22"/>
        </w:rPr>
        <w:t xml:space="preserve">. Available at: </w:t>
      </w:r>
      <w:r w:rsidR="00392268" w:rsidRPr="003B33A4">
        <w:rPr>
          <w:rFonts w:ascii="Arial" w:hAnsi="Arial" w:cs="Arial"/>
          <w:sz w:val="22"/>
          <w:szCs w:val="22"/>
        </w:rPr>
        <w:t>https://www.csrhub.com/CSR_and_sustainability_information/Microsoft-Corporation</w:t>
      </w:r>
      <w:r w:rsidRPr="003B33A4">
        <w:rPr>
          <w:rFonts w:ascii="Arial" w:hAnsi="Arial" w:cs="Arial"/>
          <w:sz w:val="22"/>
          <w:szCs w:val="22"/>
        </w:rPr>
        <w:t xml:space="preserve"> (Accessed: 2</w:t>
      </w:r>
      <w:r w:rsidR="006A7ACC" w:rsidRPr="003B33A4">
        <w:rPr>
          <w:rFonts w:ascii="Arial" w:hAnsi="Arial" w:cs="Arial"/>
          <w:sz w:val="22"/>
          <w:szCs w:val="22"/>
        </w:rPr>
        <w:t>3</w:t>
      </w:r>
      <w:r w:rsidRPr="003B33A4">
        <w:rPr>
          <w:rFonts w:ascii="Arial" w:hAnsi="Arial" w:cs="Arial"/>
          <w:sz w:val="22"/>
          <w:szCs w:val="22"/>
        </w:rPr>
        <w:t xml:space="preserve"> June 2026).</w:t>
      </w:r>
    </w:p>
    <w:p w14:paraId="664FCB38" w14:textId="11B7944E" w:rsidR="00BD4DD2" w:rsidRPr="003B33A4" w:rsidRDefault="00BD4DD2" w:rsidP="00694527">
      <w:pPr>
        <w:spacing w:line="360" w:lineRule="auto"/>
        <w:rPr>
          <w:rFonts w:ascii="Arial" w:hAnsi="Arial" w:cs="Arial"/>
          <w:sz w:val="22"/>
          <w:szCs w:val="22"/>
        </w:rPr>
      </w:pPr>
      <w:r w:rsidRPr="003B33A4">
        <w:rPr>
          <w:rFonts w:ascii="Arial" w:hAnsi="Arial" w:cs="Arial"/>
          <w:sz w:val="22"/>
          <w:szCs w:val="22"/>
        </w:rPr>
        <w:t xml:space="preserve">HM Treasury (2023) </w:t>
      </w:r>
      <w:r w:rsidRPr="003B33A4">
        <w:rPr>
          <w:rFonts w:ascii="Arial" w:hAnsi="Arial" w:cs="Arial"/>
          <w:i/>
          <w:iCs/>
          <w:sz w:val="22"/>
          <w:szCs w:val="22"/>
        </w:rPr>
        <w:t>Budget holder forecasting handbook</w:t>
      </w:r>
      <w:r w:rsidRPr="003B33A4">
        <w:rPr>
          <w:rFonts w:ascii="Arial" w:hAnsi="Arial" w:cs="Arial"/>
          <w:sz w:val="22"/>
          <w:szCs w:val="22"/>
        </w:rPr>
        <w:t xml:space="preserve">. Available at: </w:t>
      </w:r>
      <w:r w:rsidR="00392268" w:rsidRPr="003B33A4">
        <w:rPr>
          <w:rFonts w:ascii="Arial" w:hAnsi="Arial" w:cs="Arial"/>
          <w:sz w:val="22"/>
          <w:szCs w:val="22"/>
        </w:rPr>
        <w:t>https://www.gov.uk/government/publications/budget-holder-forecasting-handbook/budget-holder-forecasting-handbook</w:t>
      </w:r>
      <w:r w:rsidRPr="003B33A4">
        <w:rPr>
          <w:rFonts w:ascii="Arial" w:hAnsi="Arial" w:cs="Arial"/>
          <w:sz w:val="22"/>
          <w:szCs w:val="22"/>
        </w:rPr>
        <w:t xml:space="preserve"> (Accessed: 2</w:t>
      </w:r>
      <w:r w:rsidR="00C87675" w:rsidRPr="003B33A4">
        <w:rPr>
          <w:rFonts w:ascii="Arial" w:hAnsi="Arial" w:cs="Arial"/>
          <w:sz w:val="22"/>
          <w:szCs w:val="22"/>
        </w:rPr>
        <w:t>3</w:t>
      </w:r>
      <w:r w:rsidRPr="003B33A4">
        <w:rPr>
          <w:rFonts w:ascii="Arial" w:hAnsi="Arial" w:cs="Arial"/>
          <w:sz w:val="22"/>
          <w:szCs w:val="22"/>
        </w:rPr>
        <w:t xml:space="preserve"> June 2026).</w:t>
      </w:r>
    </w:p>
    <w:p w14:paraId="1E340B0C" w14:textId="53BF8B8C" w:rsidR="00BD4DD2" w:rsidRPr="003B33A4" w:rsidRDefault="00BD4DD2" w:rsidP="00694527">
      <w:pPr>
        <w:spacing w:line="360" w:lineRule="auto"/>
        <w:rPr>
          <w:rFonts w:ascii="Arial" w:hAnsi="Arial" w:cs="Arial"/>
          <w:sz w:val="22"/>
          <w:szCs w:val="22"/>
        </w:rPr>
      </w:pPr>
      <w:r w:rsidRPr="003B33A4">
        <w:rPr>
          <w:rFonts w:ascii="Arial" w:hAnsi="Arial" w:cs="Arial"/>
          <w:sz w:val="22"/>
          <w:szCs w:val="22"/>
        </w:rPr>
        <w:t xml:space="preserve">Microsoft (2025a) </w:t>
      </w:r>
      <w:r w:rsidRPr="003B33A4">
        <w:rPr>
          <w:rFonts w:ascii="Arial" w:hAnsi="Arial" w:cs="Arial"/>
          <w:i/>
          <w:iCs/>
          <w:sz w:val="22"/>
          <w:szCs w:val="22"/>
        </w:rPr>
        <w:t>Annual Report 2025</w:t>
      </w:r>
      <w:r w:rsidRPr="003B33A4">
        <w:rPr>
          <w:rFonts w:ascii="Arial" w:hAnsi="Arial" w:cs="Arial"/>
          <w:sz w:val="22"/>
          <w:szCs w:val="22"/>
        </w:rPr>
        <w:t xml:space="preserve">. Available at: </w:t>
      </w:r>
      <w:r w:rsidR="00392268" w:rsidRPr="003B33A4">
        <w:rPr>
          <w:rFonts w:ascii="Arial" w:hAnsi="Arial" w:cs="Arial"/>
          <w:sz w:val="22"/>
          <w:szCs w:val="22"/>
        </w:rPr>
        <w:t>https://www.microsoft.com/investor/reports/ar25/index.html</w:t>
      </w:r>
      <w:r w:rsidRPr="003B33A4">
        <w:rPr>
          <w:rFonts w:ascii="Arial" w:hAnsi="Arial" w:cs="Arial"/>
          <w:sz w:val="22"/>
          <w:szCs w:val="22"/>
        </w:rPr>
        <w:t xml:space="preserve"> (Accessed: 2</w:t>
      </w:r>
      <w:r w:rsidR="00C87675" w:rsidRPr="003B33A4">
        <w:rPr>
          <w:rFonts w:ascii="Arial" w:hAnsi="Arial" w:cs="Arial"/>
          <w:sz w:val="22"/>
          <w:szCs w:val="22"/>
        </w:rPr>
        <w:t>1</w:t>
      </w:r>
      <w:r w:rsidRPr="003B33A4">
        <w:rPr>
          <w:rFonts w:ascii="Arial" w:hAnsi="Arial" w:cs="Arial"/>
          <w:sz w:val="22"/>
          <w:szCs w:val="22"/>
        </w:rPr>
        <w:t xml:space="preserve"> June 2026).</w:t>
      </w:r>
    </w:p>
    <w:p w14:paraId="4D988DD2" w14:textId="60CB465A" w:rsidR="00BD4DD2" w:rsidRPr="003B33A4" w:rsidRDefault="00BD4DD2" w:rsidP="00694527">
      <w:pPr>
        <w:spacing w:line="360" w:lineRule="auto"/>
        <w:rPr>
          <w:rFonts w:ascii="Arial" w:hAnsi="Arial" w:cs="Arial"/>
          <w:sz w:val="22"/>
          <w:szCs w:val="22"/>
        </w:rPr>
      </w:pPr>
      <w:r w:rsidRPr="003B33A4">
        <w:rPr>
          <w:rFonts w:ascii="Arial" w:hAnsi="Arial" w:cs="Arial"/>
          <w:sz w:val="22"/>
          <w:szCs w:val="22"/>
        </w:rPr>
        <w:t xml:space="preserve">Microsoft (2025b) </w:t>
      </w:r>
      <w:r w:rsidRPr="003B33A4">
        <w:rPr>
          <w:rFonts w:ascii="Arial" w:hAnsi="Arial" w:cs="Arial"/>
          <w:i/>
          <w:iCs/>
          <w:sz w:val="22"/>
          <w:szCs w:val="22"/>
        </w:rPr>
        <w:t>Environmental Sustainability Report 2025</w:t>
      </w:r>
      <w:r w:rsidRPr="003B33A4">
        <w:rPr>
          <w:rFonts w:ascii="Arial" w:hAnsi="Arial" w:cs="Arial"/>
          <w:sz w:val="22"/>
          <w:szCs w:val="22"/>
        </w:rPr>
        <w:t xml:space="preserve">. Available at: </w:t>
      </w:r>
      <w:r w:rsidR="00392268" w:rsidRPr="003B33A4">
        <w:rPr>
          <w:rFonts w:ascii="Arial" w:hAnsi="Arial" w:cs="Arial"/>
          <w:sz w:val="22"/>
          <w:szCs w:val="22"/>
        </w:rPr>
        <w:t>https://www.microsoft.com/en-us/corporate-responsibility/sustainability/report/</w:t>
      </w:r>
      <w:r w:rsidRPr="003B33A4">
        <w:rPr>
          <w:rFonts w:ascii="Arial" w:hAnsi="Arial" w:cs="Arial"/>
          <w:sz w:val="22"/>
          <w:szCs w:val="22"/>
        </w:rPr>
        <w:t xml:space="preserve"> (Accessed: 2</w:t>
      </w:r>
      <w:r w:rsidR="00C87675" w:rsidRPr="003B33A4">
        <w:rPr>
          <w:rFonts w:ascii="Arial" w:hAnsi="Arial" w:cs="Arial"/>
          <w:sz w:val="22"/>
          <w:szCs w:val="22"/>
        </w:rPr>
        <w:t>2</w:t>
      </w:r>
      <w:r w:rsidRPr="003B33A4">
        <w:rPr>
          <w:rFonts w:ascii="Arial" w:hAnsi="Arial" w:cs="Arial"/>
          <w:sz w:val="22"/>
          <w:szCs w:val="22"/>
        </w:rPr>
        <w:t xml:space="preserve"> June 2026).</w:t>
      </w:r>
    </w:p>
    <w:p w14:paraId="606039B6" w14:textId="508925DA" w:rsidR="006A7ACC" w:rsidRPr="003B33A4" w:rsidRDefault="006A7ACC" w:rsidP="00694527">
      <w:pPr>
        <w:spacing w:line="360" w:lineRule="auto"/>
        <w:rPr>
          <w:rFonts w:ascii="Arial" w:hAnsi="Arial" w:cs="Arial"/>
          <w:sz w:val="22"/>
          <w:szCs w:val="22"/>
        </w:rPr>
      </w:pPr>
      <w:r w:rsidRPr="003B33A4">
        <w:rPr>
          <w:rFonts w:ascii="Arial" w:hAnsi="Arial" w:cs="Arial"/>
          <w:sz w:val="22"/>
          <w:szCs w:val="22"/>
        </w:rPr>
        <w:t>Microsoft (2025c) Our people love to give. Microsoft On the Issues, 31 March. Available at: https://blogs.microsoft.com/on-the-issues/2025/03/31/our-people-%E2%9D%A4%EF%B8%8F-to-give/ (Accessed: 22 June 2026).</w:t>
      </w:r>
    </w:p>
    <w:p w14:paraId="70858F8C" w14:textId="4E249BA1" w:rsidR="00BD4DD2" w:rsidRPr="003B33A4" w:rsidRDefault="00BD4DD2" w:rsidP="00694527">
      <w:pPr>
        <w:spacing w:line="360" w:lineRule="auto"/>
        <w:rPr>
          <w:rFonts w:ascii="Arial" w:hAnsi="Arial" w:cs="Arial"/>
          <w:sz w:val="22"/>
          <w:szCs w:val="22"/>
        </w:rPr>
      </w:pPr>
      <w:r w:rsidRPr="003B33A4">
        <w:rPr>
          <w:rFonts w:ascii="Arial" w:hAnsi="Arial" w:cs="Arial"/>
          <w:sz w:val="22"/>
          <w:szCs w:val="22"/>
        </w:rPr>
        <w:lastRenderedPageBreak/>
        <w:t xml:space="preserve">Microsoft (2026a) </w:t>
      </w:r>
      <w:r w:rsidRPr="003B33A4">
        <w:rPr>
          <w:rFonts w:ascii="Arial" w:hAnsi="Arial" w:cs="Arial"/>
          <w:i/>
          <w:iCs/>
          <w:sz w:val="22"/>
          <w:szCs w:val="22"/>
        </w:rPr>
        <w:t>Microsoft 365</w:t>
      </w:r>
      <w:r w:rsidRPr="003B33A4">
        <w:rPr>
          <w:rFonts w:ascii="Arial" w:hAnsi="Arial" w:cs="Arial"/>
          <w:sz w:val="22"/>
          <w:szCs w:val="22"/>
        </w:rPr>
        <w:t xml:space="preserve">. Available at: </w:t>
      </w:r>
      <w:r w:rsidR="00392268" w:rsidRPr="003B33A4">
        <w:rPr>
          <w:rFonts w:ascii="Arial" w:hAnsi="Arial" w:cs="Arial"/>
          <w:sz w:val="22"/>
          <w:szCs w:val="22"/>
        </w:rPr>
        <w:t xml:space="preserve">https://www.microsoft.com/en-gb/microsoft-365/buy/compare-all-microsoft-365-products?tab=1&amp;ocid=cmmruikv4ct </w:t>
      </w:r>
      <w:r w:rsidRPr="003B33A4">
        <w:rPr>
          <w:rFonts w:ascii="Arial" w:hAnsi="Arial" w:cs="Arial"/>
          <w:sz w:val="22"/>
          <w:szCs w:val="22"/>
        </w:rPr>
        <w:t>(Accessed: 2</w:t>
      </w:r>
      <w:r w:rsidR="00C87675" w:rsidRPr="003B33A4">
        <w:rPr>
          <w:rFonts w:ascii="Arial" w:hAnsi="Arial" w:cs="Arial"/>
          <w:sz w:val="22"/>
          <w:szCs w:val="22"/>
        </w:rPr>
        <w:t>3</w:t>
      </w:r>
      <w:r w:rsidRPr="003B33A4">
        <w:rPr>
          <w:rFonts w:ascii="Arial" w:hAnsi="Arial" w:cs="Arial"/>
          <w:sz w:val="22"/>
          <w:szCs w:val="22"/>
        </w:rPr>
        <w:t xml:space="preserve"> June 2026).</w:t>
      </w:r>
    </w:p>
    <w:p w14:paraId="4EE0DB08" w14:textId="5B5CC8D4" w:rsidR="00BD4DD2" w:rsidRPr="003B33A4" w:rsidRDefault="00BD4DD2" w:rsidP="00694527">
      <w:pPr>
        <w:spacing w:line="360" w:lineRule="auto"/>
        <w:rPr>
          <w:rFonts w:ascii="Arial" w:hAnsi="Arial" w:cs="Arial"/>
          <w:sz w:val="22"/>
          <w:szCs w:val="22"/>
        </w:rPr>
      </w:pPr>
      <w:r w:rsidRPr="003B33A4">
        <w:rPr>
          <w:rFonts w:ascii="Arial" w:hAnsi="Arial" w:cs="Arial"/>
          <w:sz w:val="22"/>
          <w:szCs w:val="22"/>
        </w:rPr>
        <w:t xml:space="preserve">Microsoft (2026b) </w:t>
      </w:r>
      <w:r w:rsidRPr="003B33A4">
        <w:rPr>
          <w:rFonts w:ascii="Arial" w:hAnsi="Arial" w:cs="Arial"/>
          <w:i/>
          <w:iCs/>
          <w:sz w:val="22"/>
          <w:szCs w:val="22"/>
        </w:rPr>
        <w:t>Recognition: Microsoft Corporate Social Responsibility</w:t>
      </w:r>
      <w:r w:rsidRPr="003B33A4">
        <w:rPr>
          <w:rFonts w:ascii="Arial" w:hAnsi="Arial" w:cs="Arial"/>
          <w:sz w:val="22"/>
          <w:szCs w:val="22"/>
        </w:rPr>
        <w:t xml:space="preserve">. Available at: </w:t>
      </w:r>
      <w:r w:rsidR="00392268" w:rsidRPr="003B33A4">
        <w:rPr>
          <w:rFonts w:ascii="Arial" w:hAnsi="Arial" w:cs="Arial"/>
          <w:sz w:val="22"/>
          <w:szCs w:val="22"/>
        </w:rPr>
        <w:t>https://www.microsoft.com/en-us/corporate-responsibility/recognition</w:t>
      </w:r>
      <w:r w:rsidRPr="003B33A4">
        <w:rPr>
          <w:rFonts w:ascii="Arial" w:hAnsi="Arial" w:cs="Arial"/>
          <w:sz w:val="22"/>
          <w:szCs w:val="22"/>
        </w:rPr>
        <w:t xml:space="preserve"> (Accessed: 2</w:t>
      </w:r>
      <w:r w:rsidR="006A7ACC" w:rsidRPr="003B33A4">
        <w:rPr>
          <w:rFonts w:ascii="Arial" w:hAnsi="Arial" w:cs="Arial"/>
          <w:sz w:val="22"/>
          <w:szCs w:val="22"/>
        </w:rPr>
        <w:t>3</w:t>
      </w:r>
      <w:r w:rsidRPr="003B33A4">
        <w:rPr>
          <w:rFonts w:ascii="Arial" w:hAnsi="Arial" w:cs="Arial"/>
          <w:sz w:val="22"/>
          <w:szCs w:val="22"/>
        </w:rPr>
        <w:t xml:space="preserve"> June 2026).</w:t>
      </w:r>
    </w:p>
    <w:p w14:paraId="233F8E69" w14:textId="7EC44653" w:rsidR="00BD4DD2" w:rsidRPr="003B33A4" w:rsidRDefault="00BD4DD2" w:rsidP="00694527">
      <w:pPr>
        <w:spacing w:line="360" w:lineRule="auto"/>
        <w:rPr>
          <w:rFonts w:ascii="Arial" w:hAnsi="Arial" w:cs="Arial"/>
          <w:sz w:val="22"/>
          <w:szCs w:val="22"/>
        </w:rPr>
      </w:pPr>
      <w:r w:rsidRPr="003B33A4">
        <w:rPr>
          <w:rFonts w:ascii="Arial" w:hAnsi="Arial" w:cs="Arial"/>
          <w:sz w:val="22"/>
          <w:szCs w:val="22"/>
        </w:rPr>
        <w:t xml:space="preserve">Science Business (2026) </w:t>
      </w:r>
      <w:r w:rsidRPr="003B33A4">
        <w:rPr>
          <w:rFonts w:ascii="Arial" w:hAnsi="Arial" w:cs="Arial"/>
          <w:i/>
          <w:iCs/>
          <w:sz w:val="22"/>
          <w:szCs w:val="22"/>
        </w:rPr>
        <w:t>Microsoft company profile</w:t>
      </w:r>
      <w:r w:rsidRPr="003B33A4">
        <w:rPr>
          <w:rFonts w:ascii="Arial" w:hAnsi="Arial" w:cs="Arial"/>
          <w:sz w:val="22"/>
          <w:szCs w:val="22"/>
        </w:rPr>
        <w:t xml:space="preserve">. Available at: </w:t>
      </w:r>
      <w:r w:rsidR="00392268" w:rsidRPr="003B33A4">
        <w:rPr>
          <w:rFonts w:ascii="Arial" w:hAnsi="Arial" w:cs="Arial"/>
          <w:sz w:val="22"/>
          <w:szCs w:val="22"/>
        </w:rPr>
        <w:t xml:space="preserve">https://sciencebusiness.net/networks/microsoft </w:t>
      </w:r>
      <w:r w:rsidRPr="003B33A4">
        <w:rPr>
          <w:rFonts w:ascii="Arial" w:hAnsi="Arial" w:cs="Arial"/>
          <w:sz w:val="22"/>
          <w:szCs w:val="22"/>
        </w:rPr>
        <w:t>(Accessed: 2</w:t>
      </w:r>
      <w:r w:rsidR="00CF09E5" w:rsidRPr="003B33A4">
        <w:rPr>
          <w:rFonts w:ascii="Arial" w:hAnsi="Arial" w:cs="Arial"/>
          <w:sz w:val="22"/>
          <w:szCs w:val="22"/>
        </w:rPr>
        <w:t>5</w:t>
      </w:r>
      <w:r w:rsidRPr="003B33A4">
        <w:rPr>
          <w:rFonts w:ascii="Arial" w:hAnsi="Arial" w:cs="Arial"/>
          <w:sz w:val="22"/>
          <w:szCs w:val="22"/>
        </w:rPr>
        <w:t xml:space="preserve"> June 2026).</w:t>
      </w:r>
    </w:p>
    <w:p w14:paraId="58471714" w14:textId="39989234" w:rsidR="00BD4DD2" w:rsidRPr="003B33A4" w:rsidRDefault="00BD4DD2" w:rsidP="00694527">
      <w:pPr>
        <w:spacing w:line="360" w:lineRule="auto"/>
        <w:rPr>
          <w:rFonts w:ascii="Arial" w:hAnsi="Arial" w:cs="Arial"/>
          <w:sz w:val="22"/>
          <w:szCs w:val="22"/>
        </w:rPr>
      </w:pPr>
      <w:r w:rsidRPr="003B33A4">
        <w:rPr>
          <w:rFonts w:ascii="Arial" w:hAnsi="Arial" w:cs="Arial"/>
          <w:sz w:val="22"/>
          <w:szCs w:val="22"/>
        </w:rPr>
        <w:t xml:space="preserve">Smith, B. (2025) </w:t>
      </w:r>
      <w:r w:rsidRPr="003B33A4">
        <w:rPr>
          <w:rFonts w:ascii="Arial" w:hAnsi="Arial" w:cs="Arial"/>
          <w:i/>
          <w:iCs/>
          <w:sz w:val="22"/>
          <w:szCs w:val="22"/>
        </w:rPr>
        <w:t>The golden opportunity for American AI</w:t>
      </w:r>
      <w:r w:rsidRPr="003B33A4">
        <w:rPr>
          <w:rFonts w:ascii="Arial" w:hAnsi="Arial" w:cs="Arial"/>
          <w:sz w:val="22"/>
          <w:szCs w:val="22"/>
        </w:rPr>
        <w:t xml:space="preserve">. Microsoft On the Issues, 3 January. Available at: </w:t>
      </w:r>
      <w:r w:rsidR="00392268" w:rsidRPr="003B33A4">
        <w:rPr>
          <w:rFonts w:ascii="Arial" w:hAnsi="Arial" w:cs="Arial"/>
          <w:sz w:val="22"/>
          <w:szCs w:val="22"/>
        </w:rPr>
        <w:t>https://blogs.microsoft.com/on-the-issues/2025/01/03/the-golden-opportunity-for-american-ai/</w:t>
      </w:r>
      <w:r w:rsidRPr="003B33A4">
        <w:rPr>
          <w:rFonts w:ascii="Arial" w:hAnsi="Arial" w:cs="Arial"/>
          <w:sz w:val="22"/>
          <w:szCs w:val="22"/>
        </w:rPr>
        <w:t xml:space="preserve"> (Accessed: 2</w:t>
      </w:r>
      <w:r w:rsidR="00C87675" w:rsidRPr="003B33A4">
        <w:rPr>
          <w:rFonts w:ascii="Arial" w:hAnsi="Arial" w:cs="Arial"/>
          <w:sz w:val="22"/>
          <w:szCs w:val="22"/>
        </w:rPr>
        <w:t>1</w:t>
      </w:r>
      <w:r w:rsidRPr="003B33A4">
        <w:rPr>
          <w:rFonts w:ascii="Arial" w:hAnsi="Arial" w:cs="Arial"/>
          <w:sz w:val="22"/>
          <w:szCs w:val="22"/>
        </w:rPr>
        <w:t xml:space="preserve"> June 2026).</w:t>
      </w:r>
    </w:p>
    <w:p w14:paraId="3A4D384D" w14:textId="1E8F9613" w:rsidR="00BD4DD2" w:rsidRPr="00BD4DD2" w:rsidRDefault="00287592" w:rsidP="00694527">
      <w:pPr>
        <w:spacing w:line="360" w:lineRule="auto"/>
        <w:rPr>
          <w:rFonts w:ascii="Arial" w:hAnsi="Arial" w:cs="Arial"/>
          <w:sz w:val="22"/>
          <w:szCs w:val="22"/>
        </w:rPr>
      </w:pPr>
      <w:r w:rsidRPr="003B33A4">
        <w:rPr>
          <w:rFonts w:ascii="Arial" w:hAnsi="Arial" w:cs="Arial"/>
          <w:sz w:val="22"/>
          <w:szCs w:val="22"/>
        </w:rPr>
        <w:t>S&amp;P Global. (2025). S&amp;P Global Inc. ESG Score. Available at: https://www.spglobal.com/sustainable1/en/scores/results?cid=4004214.</w:t>
      </w:r>
      <w:r w:rsidRPr="003B33A4">
        <w:rPr>
          <w:rFonts w:ascii="Arial" w:hAnsi="Arial" w:cs="Arial"/>
          <w:sz w:val="22"/>
          <w:szCs w:val="22"/>
        </w:rPr>
        <w:t xml:space="preserve"> </w:t>
      </w:r>
      <w:r w:rsidR="00BD4DD2" w:rsidRPr="003B33A4">
        <w:rPr>
          <w:rFonts w:ascii="Arial" w:hAnsi="Arial" w:cs="Arial"/>
          <w:sz w:val="22"/>
          <w:szCs w:val="22"/>
        </w:rPr>
        <w:t>(Accessed: 2</w:t>
      </w:r>
      <w:r w:rsidR="006A7ACC" w:rsidRPr="003B33A4">
        <w:rPr>
          <w:rFonts w:ascii="Arial" w:hAnsi="Arial" w:cs="Arial"/>
          <w:sz w:val="22"/>
          <w:szCs w:val="22"/>
        </w:rPr>
        <w:t>5</w:t>
      </w:r>
      <w:r w:rsidR="00BD4DD2" w:rsidRPr="003B33A4">
        <w:rPr>
          <w:rFonts w:ascii="Arial" w:hAnsi="Arial" w:cs="Arial"/>
          <w:sz w:val="22"/>
          <w:szCs w:val="22"/>
        </w:rPr>
        <w:t xml:space="preserve"> June 2026).</w:t>
      </w:r>
    </w:p>
    <w:p w14:paraId="66D1197B" w14:textId="77777777" w:rsidR="00BD4DD2" w:rsidRDefault="00BD4DD2"/>
    <w:sectPr w:rsidR="00BD4DD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72DC4" w14:textId="77777777" w:rsidR="00526D5E" w:rsidRDefault="00526D5E" w:rsidP="00E351AB">
      <w:pPr>
        <w:spacing w:after="0" w:line="240" w:lineRule="auto"/>
      </w:pPr>
      <w:r>
        <w:separator/>
      </w:r>
    </w:p>
  </w:endnote>
  <w:endnote w:type="continuationSeparator" w:id="0">
    <w:p w14:paraId="479B9FAC" w14:textId="77777777" w:rsidR="00526D5E" w:rsidRDefault="00526D5E" w:rsidP="00E35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4442581"/>
      <w:docPartObj>
        <w:docPartGallery w:val="Page Numbers (Bottom of Page)"/>
        <w:docPartUnique/>
      </w:docPartObj>
    </w:sdtPr>
    <w:sdtEndPr>
      <w:rPr>
        <w:noProof/>
      </w:rPr>
    </w:sdtEndPr>
    <w:sdtContent>
      <w:p w14:paraId="0D62CAA7" w14:textId="3A85788F" w:rsidR="00E351AB" w:rsidRDefault="00E351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3FC1A9" w14:textId="77777777" w:rsidR="00E351AB" w:rsidRDefault="00E35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1D2B5" w14:textId="77777777" w:rsidR="00526D5E" w:rsidRDefault="00526D5E" w:rsidP="00E351AB">
      <w:pPr>
        <w:spacing w:after="0" w:line="240" w:lineRule="auto"/>
      </w:pPr>
      <w:r>
        <w:separator/>
      </w:r>
    </w:p>
  </w:footnote>
  <w:footnote w:type="continuationSeparator" w:id="0">
    <w:p w14:paraId="529321BD" w14:textId="77777777" w:rsidR="00526D5E" w:rsidRDefault="00526D5E" w:rsidP="00E351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DD2"/>
    <w:rsid w:val="000318EC"/>
    <w:rsid w:val="001474F5"/>
    <w:rsid w:val="00150395"/>
    <w:rsid w:val="00167B13"/>
    <w:rsid w:val="001A04C7"/>
    <w:rsid w:val="00287592"/>
    <w:rsid w:val="002F1D1B"/>
    <w:rsid w:val="00364FB7"/>
    <w:rsid w:val="00391520"/>
    <w:rsid w:val="00392268"/>
    <w:rsid w:val="003B33A4"/>
    <w:rsid w:val="00526D5E"/>
    <w:rsid w:val="00664F69"/>
    <w:rsid w:val="00694527"/>
    <w:rsid w:val="006A7ACC"/>
    <w:rsid w:val="006B7CD7"/>
    <w:rsid w:val="006E41E7"/>
    <w:rsid w:val="007419ED"/>
    <w:rsid w:val="007818BE"/>
    <w:rsid w:val="007E0BA5"/>
    <w:rsid w:val="008F7F8B"/>
    <w:rsid w:val="00916AF1"/>
    <w:rsid w:val="009A0A59"/>
    <w:rsid w:val="00A53D9D"/>
    <w:rsid w:val="00A706E0"/>
    <w:rsid w:val="00B065AB"/>
    <w:rsid w:val="00B17341"/>
    <w:rsid w:val="00B3274E"/>
    <w:rsid w:val="00B96D92"/>
    <w:rsid w:val="00BD4DD2"/>
    <w:rsid w:val="00BE0EEE"/>
    <w:rsid w:val="00C460D9"/>
    <w:rsid w:val="00C87675"/>
    <w:rsid w:val="00CF09E5"/>
    <w:rsid w:val="00CF6DA2"/>
    <w:rsid w:val="00D363E8"/>
    <w:rsid w:val="00E351AB"/>
    <w:rsid w:val="00E9062D"/>
    <w:rsid w:val="00EC07CE"/>
    <w:rsid w:val="00F16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4C2BE"/>
  <w15:chartTrackingRefBased/>
  <w15:docId w15:val="{10D4BC49-9F8E-40CA-8C8E-AD79342C5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D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4D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4D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D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D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D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D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D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D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D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4D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4D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D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D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D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D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D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DD2"/>
    <w:rPr>
      <w:rFonts w:eastAsiaTheme="majorEastAsia" w:cstheme="majorBidi"/>
      <w:color w:val="272727" w:themeColor="text1" w:themeTint="D8"/>
    </w:rPr>
  </w:style>
  <w:style w:type="paragraph" w:styleId="Title">
    <w:name w:val="Title"/>
    <w:basedOn w:val="Normal"/>
    <w:next w:val="Normal"/>
    <w:link w:val="TitleChar"/>
    <w:uiPriority w:val="10"/>
    <w:qFormat/>
    <w:rsid w:val="00BD4D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D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D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D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DD2"/>
    <w:pPr>
      <w:spacing w:before="160"/>
      <w:jc w:val="center"/>
    </w:pPr>
    <w:rPr>
      <w:i/>
      <w:iCs/>
      <w:color w:val="404040" w:themeColor="text1" w:themeTint="BF"/>
    </w:rPr>
  </w:style>
  <w:style w:type="character" w:customStyle="1" w:styleId="QuoteChar">
    <w:name w:val="Quote Char"/>
    <w:basedOn w:val="DefaultParagraphFont"/>
    <w:link w:val="Quote"/>
    <w:uiPriority w:val="29"/>
    <w:rsid w:val="00BD4DD2"/>
    <w:rPr>
      <w:i/>
      <w:iCs/>
      <w:color w:val="404040" w:themeColor="text1" w:themeTint="BF"/>
    </w:rPr>
  </w:style>
  <w:style w:type="paragraph" w:styleId="ListParagraph">
    <w:name w:val="List Paragraph"/>
    <w:basedOn w:val="Normal"/>
    <w:uiPriority w:val="34"/>
    <w:qFormat/>
    <w:rsid w:val="00BD4DD2"/>
    <w:pPr>
      <w:ind w:left="720"/>
      <w:contextualSpacing/>
    </w:pPr>
  </w:style>
  <w:style w:type="character" w:styleId="IntenseEmphasis">
    <w:name w:val="Intense Emphasis"/>
    <w:basedOn w:val="DefaultParagraphFont"/>
    <w:uiPriority w:val="21"/>
    <w:qFormat/>
    <w:rsid w:val="00BD4DD2"/>
    <w:rPr>
      <w:i/>
      <w:iCs/>
      <w:color w:val="0F4761" w:themeColor="accent1" w:themeShade="BF"/>
    </w:rPr>
  </w:style>
  <w:style w:type="paragraph" w:styleId="IntenseQuote">
    <w:name w:val="Intense Quote"/>
    <w:basedOn w:val="Normal"/>
    <w:next w:val="Normal"/>
    <w:link w:val="IntenseQuoteChar"/>
    <w:uiPriority w:val="30"/>
    <w:qFormat/>
    <w:rsid w:val="00BD4D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DD2"/>
    <w:rPr>
      <w:i/>
      <w:iCs/>
      <w:color w:val="0F4761" w:themeColor="accent1" w:themeShade="BF"/>
    </w:rPr>
  </w:style>
  <w:style w:type="character" w:styleId="IntenseReference">
    <w:name w:val="Intense Reference"/>
    <w:basedOn w:val="DefaultParagraphFont"/>
    <w:uiPriority w:val="32"/>
    <w:qFormat/>
    <w:rsid w:val="00BD4DD2"/>
    <w:rPr>
      <w:b/>
      <w:bCs/>
      <w:smallCaps/>
      <w:color w:val="0F4761" w:themeColor="accent1" w:themeShade="BF"/>
      <w:spacing w:val="5"/>
    </w:rPr>
  </w:style>
  <w:style w:type="character" w:styleId="Hyperlink">
    <w:name w:val="Hyperlink"/>
    <w:basedOn w:val="DefaultParagraphFont"/>
    <w:uiPriority w:val="99"/>
    <w:unhideWhenUsed/>
    <w:rsid w:val="00BD4DD2"/>
    <w:rPr>
      <w:color w:val="467886" w:themeColor="hyperlink"/>
      <w:u w:val="single"/>
    </w:rPr>
  </w:style>
  <w:style w:type="character" w:styleId="UnresolvedMention">
    <w:name w:val="Unresolved Mention"/>
    <w:basedOn w:val="DefaultParagraphFont"/>
    <w:uiPriority w:val="99"/>
    <w:semiHidden/>
    <w:unhideWhenUsed/>
    <w:rsid w:val="00BD4DD2"/>
    <w:rPr>
      <w:color w:val="605E5C"/>
      <w:shd w:val="clear" w:color="auto" w:fill="E1DFDD"/>
    </w:rPr>
  </w:style>
  <w:style w:type="character" w:styleId="FollowedHyperlink">
    <w:name w:val="FollowedHyperlink"/>
    <w:basedOn w:val="DefaultParagraphFont"/>
    <w:uiPriority w:val="99"/>
    <w:semiHidden/>
    <w:unhideWhenUsed/>
    <w:rsid w:val="00150395"/>
    <w:rPr>
      <w:color w:val="96607D" w:themeColor="followedHyperlink"/>
      <w:u w:val="single"/>
    </w:rPr>
  </w:style>
  <w:style w:type="paragraph" w:styleId="Header">
    <w:name w:val="header"/>
    <w:basedOn w:val="Normal"/>
    <w:link w:val="HeaderChar"/>
    <w:uiPriority w:val="99"/>
    <w:unhideWhenUsed/>
    <w:rsid w:val="00E35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1AB"/>
  </w:style>
  <w:style w:type="paragraph" w:styleId="Footer">
    <w:name w:val="footer"/>
    <w:basedOn w:val="Normal"/>
    <w:link w:val="FooterChar"/>
    <w:uiPriority w:val="99"/>
    <w:unhideWhenUsed/>
    <w:rsid w:val="00E35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1AB"/>
  </w:style>
  <w:style w:type="paragraph" w:styleId="TOCHeading">
    <w:name w:val="TOC Heading"/>
    <w:basedOn w:val="Heading1"/>
    <w:next w:val="Normal"/>
    <w:uiPriority w:val="39"/>
    <w:unhideWhenUsed/>
    <w:qFormat/>
    <w:rsid w:val="00C460D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460D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15008">
      <w:bodyDiv w:val="1"/>
      <w:marLeft w:val="0"/>
      <w:marRight w:val="0"/>
      <w:marTop w:val="0"/>
      <w:marBottom w:val="0"/>
      <w:divBdr>
        <w:top w:val="none" w:sz="0" w:space="0" w:color="auto"/>
        <w:left w:val="none" w:sz="0" w:space="0" w:color="auto"/>
        <w:bottom w:val="none" w:sz="0" w:space="0" w:color="auto"/>
        <w:right w:val="none" w:sz="0" w:space="0" w:color="auto"/>
      </w:divBdr>
    </w:div>
    <w:div w:id="2037462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6E354A-0B00-4B69-B8AE-AB806F45B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11</Pages>
  <Words>2941</Words>
  <Characters>16768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Shazad Shah</dc:creator>
  <cp:keywords/>
  <dc:description/>
  <cp:lastModifiedBy>Shazad Shah</cp:lastModifiedBy>
  <cp:revision>17</cp:revision>
  <cp:lastPrinted>2026-06-27T17:58:00Z</cp:lastPrinted>
  <dcterms:created xsi:type="dcterms:W3CDTF">2026-06-27T18:22:00Z</dcterms:created>
  <dcterms:modified xsi:type="dcterms:W3CDTF">2026-06-28T16:39:00Z</dcterms:modified>
</cp:coreProperties>
</file>