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b/>
          <w:bCs/>
          <w:color w:val="2F5496" w:themeColor="accent1" w:themeShade="BF"/>
          <w:sz w:val="28"/>
          <w:szCs w:val="28"/>
          <w:lang w:val="en-GB"/>
        </w:rPr>
        <w:id w:val="993300106"/>
        <w:docPartObj>
          <w:docPartGallery w:val="Cover Pages"/>
          <w:docPartUnique/>
        </w:docPartObj>
      </w:sdtPr>
      <w:sdtEndPr>
        <w:rPr>
          <w:rFonts w:ascii="Times New Roman" w:hAnsi="Times New Roman"/>
        </w:rPr>
      </w:sdtEndPr>
      <w:sdtContent>
        <w:p w14:paraId="54D0F3B2" w14:textId="49825D09" w:rsidR="00E2659D" w:rsidRDefault="00170671" w:rsidP="00874AAA">
          <w:pPr>
            <w:jc w:val="both"/>
          </w:pPr>
          <w:r>
            <w:rPr>
              <w:noProof/>
            </w:rPr>
            <mc:AlternateContent>
              <mc:Choice Requires="wpg">
                <w:drawing>
                  <wp:anchor distT="0" distB="0" distL="114300" distR="114300" simplePos="0" relativeHeight="251659264" behindDoc="1" locked="0" layoutInCell="1" allowOverlap="1" wp14:anchorId="6F21C6D5" wp14:editId="254E7310">
                    <wp:simplePos x="0" y="0"/>
                    <wp:positionH relativeFrom="page">
                      <wp:posOffset>-66675</wp:posOffset>
                    </wp:positionH>
                    <wp:positionV relativeFrom="page">
                      <wp:posOffset>257175</wp:posOffset>
                    </wp:positionV>
                    <wp:extent cx="7639050"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639050" cy="9719310"/>
                              <a:chOff x="-419100" y="-447671"/>
                              <a:chExt cx="7639050"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62438A">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639050" cy="38195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0F5E7A9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14:paraId="2D14A9BE" w14:textId="685CC5E5" w:rsidR="00E2659D" w:rsidRPr="000E3ABE" w:rsidRDefault="0062438A" w:rsidP="00E2659D">
                                  <w:pPr>
                                    <w:pStyle w:val="NoSpacing"/>
                                    <w:spacing w:before="240"/>
                                    <w:jc w:val="center"/>
                                    <w:rPr>
                                      <w:rFonts w:ascii="Times New Roman" w:hAnsi="Times New Roman" w:cs="Times New Roman"/>
                                      <w:caps/>
                                      <w:color w:val="7030A0"/>
                                      <w:sz w:val="28"/>
                                      <w:szCs w:val="28"/>
                                    </w:rPr>
                                  </w:pPr>
                                  <w:sdt>
                                    <w:sdtPr>
                                      <w:rPr>
                                        <w:rFonts w:ascii="Times New Roman" w:eastAsia="DengXian" w:hAnsi="Times New Roman"/>
                                        <w:b/>
                                        <w:color w:val="7030A0"/>
                                        <w:lang w:val="en-GB" w:eastAsia="zh-CN"/>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0E3ABE" w:rsidRPr="000E3ABE">
                                        <w:rPr>
                                          <w:rFonts w:ascii="Times New Roman" w:eastAsia="DengXian" w:hAnsi="Times New Roman"/>
                                          <w:b/>
                                          <w:color w:val="7030A0"/>
                                          <w:lang w:val="en-GB" w:eastAsia="zh-CN"/>
                                        </w:rPr>
                                        <w:t>European Law Assignment – 2: Direct Effect, Indirect Effect and Member State Liability</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left:0;text-align:left;margin-left:-5.25pt;margin-top:20.25pt;width:601.5pt;height:765.3pt;z-index:-251657216;mso-position-horizontal-relative:page;mso-position-vertical-relative:page" coordorigin="-4191,-4476" coordsize="76390,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62438A">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6390;height:381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0F5E7A9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14:paraId="2D14A9BE" w14:textId="685CC5E5" w:rsidR="00E2659D" w:rsidRPr="000E3ABE" w:rsidRDefault="0062438A" w:rsidP="00E2659D">
                            <w:pPr>
                              <w:pStyle w:val="NoSpacing"/>
                              <w:spacing w:before="240"/>
                              <w:jc w:val="center"/>
                              <w:rPr>
                                <w:rFonts w:ascii="Times New Roman" w:hAnsi="Times New Roman" w:cs="Times New Roman"/>
                                <w:caps/>
                                <w:color w:val="7030A0"/>
                                <w:sz w:val="28"/>
                                <w:szCs w:val="28"/>
                              </w:rPr>
                            </w:pPr>
                            <w:sdt>
                              <w:sdtPr>
                                <w:rPr>
                                  <w:rFonts w:ascii="Times New Roman" w:eastAsia="DengXian" w:hAnsi="Times New Roman"/>
                                  <w:b/>
                                  <w:color w:val="7030A0"/>
                                  <w:lang w:val="en-GB" w:eastAsia="zh-CN"/>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0E3ABE" w:rsidRPr="000E3ABE">
                                  <w:rPr>
                                    <w:rFonts w:ascii="Times New Roman" w:eastAsia="DengXian" w:hAnsi="Times New Roman"/>
                                    <w:b/>
                                    <w:color w:val="7030A0"/>
                                    <w:lang w:val="en-GB" w:eastAsia="zh-CN"/>
                                  </w:rPr>
                                  <w:t>European Law Assignment – 2: Direct Effect, Indirect Effect and Member State Liability</w:t>
                                </w:r>
                              </w:sdtContent>
                            </w:sdt>
                          </w:p>
                        </w:txbxContent>
                      </v:textbox>
                    </v:shape>
                    <w10:wrap anchorx="page" anchory="page"/>
                  </v:group>
                </w:pict>
              </mc:Fallback>
            </mc:AlternateContent>
          </w:r>
          <w:r w:rsidR="00874AAA">
            <w:rPr>
              <w:noProof/>
            </w:rPr>
            <w:drawing>
              <wp:inline distT="0" distB="0" distL="0" distR="0" wp14:anchorId="14100733" wp14:editId="2937F451">
                <wp:extent cx="1809750" cy="6858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685800"/>
                        </a:xfrm>
                        <a:prstGeom prst="rect">
                          <a:avLst/>
                        </a:prstGeom>
                        <a:noFill/>
                        <a:ln>
                          <a:noFill/>
                        </a:ln>
                      </pic:spPr>
                    </pic:pic>
                  </a:graphicData>
                </a:graphic>
              </wp:inline>
            </w:drawing>
          </w:r>
        </w:p>
        <w:p w14:paraId="7C3CA647" w14:textId="77777777" w:rsidR="000E308E" w:rsidRPr="000E308E" w:rsidRDefault="00357783" w:rsidP="000E308E">
          <w:pPr>
            <w:pStyle w:val="Heading1"/>
            <w:spacing w:before="0" w:line="480" w:lineRule="auto"/>
            <w:rPr>
              <w:rFonts w:ascii="Times New Roman" w:eastAsia="DengXian Light" w:hAnsi="Times New Roman" w:cs="Times New Roman"/>
              <w:color w:val="auto"/>
              <w:kern w:val="32"/>
              <w:sz w:val="24"/>
              <w:szCs w:val="24"/>
              <w:lang w:eastAsia="zh-CN"/>
            </w:rPr>
          </w:pPr>
          <w:r w:rsidRPr="00357783">
            <w:rPr>
              <w:rFonts w:asciiTheme="minorHAnsi" w:hAnsiTheme="minorHAnsi" w:cstheme="minorBidi"/>
              <w:noProof/>
              <w:sz w:val="22"/>
              <w:szCs w:val="22"/>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3BEC7F1E"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FC2EA0">
                                  <w:rPr>
                                    <w:rFonts w:ascii="Times New Roman" w:hAnsi="Times New Roman"/>
                                    <w:b/>
                                    <w:sz w:val="32"/>
                                    <w:szCs w:val="32"/>
                                  </w:rPr>
                                  <w:t xml:space="preserve">Laura Knight </w:t>
                                </w:r>
                              </w:p>
                              <w:p w14:paraId="772E4951" w14:textId="7402D8EB"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FC2EA0">
                                  <w:rPr>
                                    <w:rFonts w:ascii="Times New Roman" w:hAnsi="Times New Roman"/>
                                    <w:b/>
                                    <w:sz w:val="32"/>
                                    <w:szCs w:val="32"/>
                                  </w:rPr>
                                  <w:t>European</w:t>
                                </w:r>
                                <w:r w:rsidR="008F5CB7">
                                  <w:rPr>
                                    <w:rFonts w:ascii="Times New Roman" w:hAnsi="Times New Roman"/>
                                    <w:b/>
                                    <w:sz w:val="32"/>
                                    <w:szCs w:val="32"/>
                                  </w:rPr>
                                  <w:t xml:space="preserve"> Law</w:t>
                                </w:r>
                              </w:p>
                              <w:p w14:paraId="1D528E1F" w14:textId="77777777" w:rsidR="003F1DCF"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2A0FA0">
                                  <w:rPr>
                                    <w:rFonts w:ascii="Times New Roman" w:hAnsi="Times New Roman"/>
                                    <w:b/>
                                    <w:sz w:val="32"/>
                                    <w:szCs w:val="32"/>
                                  </w:rPr>
                                  <w:t>500</w:t>
                                </w:r>
                                <w:r w:rsidR="00FC2EA0">
                                  <w:rPr>
                                    <w:rFonts w:ascii="Times New Roman" w:hAnsi="Times New Roman"/>
                                    <w:b/>
                                    <w:sz w:val="32"/>
                                    <w:szCs w:val="32"/>
                                  </w:rPr>
                                  <w:t>7</w:t>
                                </w:r>
                              </w:p>
                              <w:p w14:paraId="627EB3C9" w14:textId="09F529D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DD6F9A">
                                  <w:rPr>
                                    <w:rFonts w:ascii="Times New Roman" w:hAnsi="Times New Roman"/>
                                    <w:b/>
                                    <w:sz w:val="32"/>
                                    <w:szCs w:val="32"/>
                                  </w:rPr>
                                  <w:t>6</w:t>
                                </w:r>
                                <w:r w:rsidR="00DD6F9A" w:rsidRPr="00DD6F9A">
                                  <w:rPr>
                                    <w:rFonts w:ascii="Times New Roman" w:hAnsi="Times New Roman"/>
                                    <w:b/>
                                    <w:sz w:val="32"/>
                                    <w:szCs w:val="32"/>
                                    <w:vertAlign w:val="superscript"/>
                                  </w:rPr>
                                  <w:t>th</w:t>
                                </w:r>
                                <w:r w:rsidR="00DD6F9A">
                                  <w:rPr>
                                    <w:rFonts w:ascii="Times New Roman" w:hAnsi="Times New Roman"/>
                                    <w:b/>
                                    <w:sz w:val="32"/>
                                    <w:szCs w:val="32"/>
                                  </w:rPr>
                                  <w:t xml:space="preserve"> May</w:t>
                                </w:r>
                                <w:r w:rsidR="00A426D8">
                                  <w:rPr>
                                    <w:rFonts w:ascii="Times New Roman" w:hAnsi="Times New Roman"/>
                                    <w:b/>
                                    <w:sz w:val="32"/>
                                    <w:szCs w:val="32"/>
                                  </w:rPr>
                                  <w:t xml:space="preserve"> </w:t>
                                </w:r>
                                <w:r w:rsidRPr="00357783">
                                  <w:rPr>
                                    <w:rFonts w:ascii="Times New Roman" w:hAnsi="Times New Roman"/>
                                    <w:b/>
                                    <w:sz w:val="32"/>
                                    <w:szCs w:val="32"/>
                                  </w:rPr>
                                  <w:t>202</w:t>
                                </w:r>
                                <w:r w:rsidR="00E42CF1">
                                  <w:rPr>
                                    <w:rFonts w:ascii="Times New Roman" w:hAnsi="Times New Roman"/>
                                    <w:b/>
                                    <w:sz w:val="32"/>
                                    <w:szCs w:val="32"/>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3BEC7F1E"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FC2EA0">
                            <w:rPr>
                              <w:rFonts w:ascii="Times New Roman" w:hAnsi="Times New Roman"/>
                              <w:b/>
                              <w:sz w:val="32"/>
                              <w:szCs w:val="32"/>
                            </w:rPr>
                            <w:t xml:space="preserve">Laura Knight </w:t>
                          </w:r>
                        </w:p>
                        <w:p w14:paraId="772E4951" w14:textId="7402D8EB"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FC2EA0">
                            <w:rPr>
                              <w:rFonts w:ascii="Times New Roman" w:hAnsi="Times New Roman"/>
                              <w:b/>
                              <w:sz w:val="32"/>
                              <w:szCs w:val="32"/>
                            </w:rPr>
                            <w:t>European</w:t>
                          </w:r>
                          <w:r w:rsidR="008F5CB7">
                            <w:rPr>
                              <w:rFonts w:ascii="Times New Roman" w:hAnsi="Times New Roman"/>
                              <w:b/>
                              <w:sz w:val="32"/>
                              <w:szCs w:val="32"/>
                            </w:rPr>
                            <w:t xml:space="preserve"> Law</w:t>
                          </w:r>
                        </w:p>
                        <w:p w14:paraId="1D528E1F" w14:textId="77777777" w:rsidR="003F1DCF"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2A0FA0">
                            <w:rPr>
                              <w:rFonts w:ascii="Times New Roman" w:hAnsi="Times New Roman"/>
                              <w:b/>
                              <w:sz w:val="32"/>
                              <w:szCs w:val="32"/>
                            </w:rPr>
                            <w:t>500</w:t>
                          </w:r>
                          <w:r w:rsidR="00FC2EA0">
                            <w:rPr>
                              <w:rFonts w:ascii="Times New Roman" w:hAnsi="Times New Roman"/>
                              <w:b/>
                              <w:sz w:val="32"/>
                              <w:szCs w:val="32"/>
                            </w:rPr>
                            <w:t>7</w:t>
                          </w:r>
                        </w:p>
                        <w:p w14:paraId="627EB3C9" w14:textId="09F529D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DD6F9A">
                            <w:rPr>
                              <w:rFonts w:ascii="Times New Roman" w:hAnsi="Times New Roman"/>
                              <w:b/>
                              <w:sz w:val="32"/>
                              <w:szCs w:val="32"/>
                            </w:rPr>
                            <w:t>6</w:t>
                          </w:r>
                          <w:r w:rsidR="00DD6F9A" w:rsidRPr="00DD6F9A">
                            <w:rPr>
                              <w:rFonts w:ascii="Times New Roman" w:hAnsi="Times New Roman"/>
                              <w:b/>
                              <w:sz w:val="32"/>
                              <w:szCs w:val="32"/>
                              <w:vertAlign w:val="superscript"/>
                            </w:rPr>
                            <w:t>th</w:t>
                          </w:r>
                          <w:r w:rsidR="00DD6F9A">
                            <w:rPr>
                              <w:rFonts w:ascii="Times New Roman" w:hAnsi="Times New Roman"/>
                              <w:b/>
                              <w:sz w:val="32"/>
                              <w:szCs w:val="32"/>
                            </w:rPr>
                            <w:t xml:space="preserve"> May</w:t>
                          </w:r>
                          <w:r w:rsidR="00A426D8">
                            <w:rPr>
                              <w:rFonts w:ascii="Times New Roman" w:hAnsi="Times New Roman"/>
                              <w:b/>
                              <w:sz w:val="32"/>
                              <w:szCs w:val="32"/>
                            </w:rPr>
                            <w:t xml:space="preserve"> </w:t>
                          </w:r>
                          <w:r w:rsidRPr="00357783">
                            <w:rPr>
                              <w:rFonts w:ascii="Times New Roman" w:hAnsi="Times New Roman"/>
                              <w:b/>
                              <w:sz w:val="32"/>
                              <w:szCs w:val="32"/>
                            </w:rPr>
                            <w:t>202</w:t>
                          </w:r>
                          <w:r w:rsidR="00E42CF1">
                            <w:rPr>
                              <w:rFonts w:ascii="Times New Roman" w:hAnsi="Times New Roman"/>
                              <w:b/>
                              <w:sz w:val="32"/>
                              <w:szCs w:val="32"/>
                            </w:rPr>
                            <w:t>2</w:t>
                          </w:r>
                        </w:p>
                      </w:txbxContent>
                    </v:textbox>
                    <w10:wrap anchorx="margin"/>
                  </v:rect>
                </w:pict>
              </mc:Fallback>
            </mc:AlternateContent>
          </w:r>
          <w:r w:rsidR="00E2659D">
            <w:rPr>
              <w:rFonts w:ascii="Times New Roman" w:hAnsi="Times New Roman"/>
            </w:rPr>
            <w:br w:type="page"/>
          </w:r>
        </w:p>
      </w:sdtContent>
    </w:sdt>
    <w:bookmarkStart w:id="0" w:name="_Toc98607578" w:displacedByCustomXml="prev"/>
    <w:bookmarkEnd w:id="0" w:displacedByCustomXml="prev"/>
    <w:p w14:paraId="3DC3EFE6" w14:textId="77777777"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b/>
          <w:lang w:val="en-GB" w:eastAsia="zh-CN"/>
        </w:rPr>
        <w:lastRenderedPageBreak/>
        <w:tab/>
      </w:r>
      <w:r w:rsidRPr="000E308E">
        <w:rPr>
          <w:rFonts w:ascii="Times New Roman" w:eastAsia="DengXian" w:hAnsi="Times New Roman"/>
          <w:sz w:val="28"/>
          <w:szCs w:val="28"/>
          <w:lang w:val="en-GB" w:eastAsia="zh-CN"/>
        </w:rPr>
        <w:t xml:space="preserve">European Union (EU) law reflects the set of regulations being operated in the European Union's member states. The individual idea of the utilisation of EU-law within the national courts is easy as it requires the legal rights that the person is supposed to put into effect and that particular legal right is needed to be effective and enforceable </w:t>
      </w:r>
      <w:r w:rsidRPr="00B71CA4">
        <w:rPr>
          <w:rFonts w:ascii="Times New Roman" w:eastAsia="DengXian" w:hAnsi="Times New Roman"/>
          <w:i/>
          <w:iCs/>
          <w:sz w:val="28"/>
          <w:szCs w:val="28"/>
          <w:lang w:val="en-GB" w:eastAsia="zh-CN"/>
        </w:rPr>
        <w:t>(</w:t>
      </w:r>
      <w:r w:rsidRPr="00B71CA4">
        <w:rPr>
          <w:rFonts w:ascii="Times New Roman" w:eastAsia="DengXian" w:hAnsi="Times New Roman"/>
          <w:i/>
          <w:iCs/>
          <w:sz w:val="28"/>
          <w:szCs w:val="28"/>
          <w:shd w:val="clear" w:color="auto" w:fill="FFFFFF"/>
          <w:lang w:eastAsia="zh-CN"/>
        </w:rPr>
        <w:t xml:space="preserve">Tridimas, 2007; Craig and De </w:t>
      </w:r>
      <w:proofErr w:type="spellStart"/>
      <w:r w:rsidRPr="00B71CA4">
        <w:rPr>
          <w:rFonts w:ascii="Times New Roman" w:eastAsia="DengXian" w:hAnsi="Times New Roman"/>
          <w:i/>
          <w:iCs/>
          <w:sz w:val="28"/>
          <w:szCs w:val="28"/>
          <w:shd w:val="clear" w:color="auto" w:fill="FFFFFF"/>
          <w:lang w:eastAsia="zh-CN"/>
        </w:rPr>
        <w:t>Búrca</w:t>
      </w:r>
      <w:proofErr w:type="spellEnd"/>
      <w:r w:rsidRPr="00B71CA4">
        <w:rPr>
          <w:rFonts w:ascii="Times New Roman" w:eastAsia="DengXian" w:hAnsi="Times New Roman"/>
          <w:i/>
          <w:iCs/>
          <w:sz w:val="28"/>
          <w:szCs w:val="28"/>
          <w:shd w:val="clear" w:color="auto" w:fill="FFFFFF"/>
          <w:lang w:eastAsia="zh-CN"/>
        </w:rPr>
        <w:t>, 2020)</w:t>
      </w:r>
      <w:r w:rsidRPr="00B71CA4">
        <w:rPr>
          <w:rFonts w:ascii="Times New Roman" w:eastAsia="DengXian" w:hAnsi="Times New Roman"/>
          <w:i/>
          <w:iCs/>
          <w:sz w:val="28"/>
          <w:szCs w:val="28"/>
          <w:lang w:val="en-GB" w:eastAsia="zh-CN"/>
        </w:rPr>
        <w:t xml:space="preserve">. </w:t>
      </w:r>
      <w:r w:rsidRPr="000E308E">
        <w:rPr>
          <w:rFonts w:ascii="Times New Roman" w:eastAsia="DengXian" w:hAnsi="Times New Roman"/>
          <w:sz w:val="28"/>
          <w:szCs w:val="28"/>
          <w:lang w:val="en-GB" w:eastAsia="zh-CN"/>
        </w:rPr>
        <w:t xml:space="preserve">There lacks any reference within the subsequent or original treaties for the people possessing the potential to enable the rights to be put into effect, against the involved party while there is a violation of EU-law. The Treaty on the Functioning of the European Union (TFEU) involves the potential infringement process </w:t>
      </w:r>
      <w:r w:rsidRPr="00EB28DB">
        <w:rPr>
          <w:rFonts w:ascii="Times New Roman" w:eastAsia="DengXian" w:hAnsi="Times New Roman"/>
          <w:i/>
          <w:iCs/>
          <w:sz w:val="28"/>
          <w:szCs w:val="28"/>
          <w:lang w:val="en-GB" w:eastAsia="zh-CN"/>
        </w:rPr>
        <w:t>(within Article 258 TFEU)</w:t>
      </w:r>
      <w:r w:rsidRPr="000E308E">
        <w:rPr>
          <w:rFonts w:ascii="Times New Roman" w:eastAsia="DengXian" w:hAnsi="Times New Roman"/>
          <w:sz w:val="28"/>
          <w:szCs w:val="28"/>
          <w:lang w:val="en-GB" w:eastAsia="zh-CN"/>
        </w:rPr>
        <w:t xml:space="preserve"> that might be utilised by the EU commission for putting EU-law into effect. The consequence is that the decision was handed over to the Court of Justice for building principles so as to let the people put their own EU rights into effect within the national-level courts. Such principles include indirect effect, direct effect as well as a member-state liability </w:t>
      </w:r>
      <w:r w:rsidRPr="00EB28DB">
        <w:rPr>
          <w:rFonts w:ascii="Times New Roman" w:eastAsia="DengXian" w:hAnsi="Times New Roman"/>
          <w:i/>
          <w:iCs/>
          <w:sz w:val="28"/>
          <w:szCs w:val="28"/>
          <w:lang w:val="en-GB" w:eastAsia="zh-CN"/>
        </w:rPr>
        <w:t>(</w:t>
      </w:r>
      <w:r w:rsidRPr="00EB28DB">
        <w:rPr>
          <w:rFonts w:ascii="Times New Roman" w:eastAsia="DengXian" w:hAnsi="Times New Roman"/>
          <w:i/>
          <w:iCs/>
          <w:sz w:val="28"/>
          <w:szCs w:val="28"/>
          <w:shd w:val="clear" w:color="auto" w:fill="FFFFFF"/>
          <w:lang w:eastAsia="zh-CN"/>
        </w:rPr>
        <w:t xml:space="preserve">Foster, 2015; </w:t>
      </w:r>
      <w:r w:rsidRPr="00EB28DB">
        <w:rPr>
          <w:rFonts w:ascii="Times New Roman" w:eastAsia="DengXian" w:hAnsi="Times New Roman"/>
          <w:i/>
          <w:iCs/>
          <w:sz w:val="28"/>
          <w:szCs w:val="28"/>
          <w:lang w:eastAsia="zh-CN"/>
        </w:rPr>
        <w:t xml:space="preserve">Foster, 2016; </w:t>
      </w:r>
      <w:proofErr w:type="spellStart"/>
      <w:r w:rsidRPr="00EB28DB">
        <w:rPr>
          <w:rFonts w:ascii="Times New Roman" w:eastAsia="DengXian" w:hAnsi="Times New Roman"/>
          <w:i/>
          <w:iCs/>
          <w:sz w:val="28"/>
          <w:szCs w:val="28"/>
          <w:lang w:eastAsia="zh-CN"/>
        </w:rPr>
        <w:t>Sosoni</w:t>
      </w:r>
      <w:proofErr w:type="spellEnd"/>
      <w:r w:rsidRPr="00EB28DB">
        <w:rPr>
          <w:rFonts w:ascii="Times New Roman" w:eastAsia="DengXian" w:hAnsi="Times New Roman"/>
          <w:i/>
          <w:iCs/>
          <w:sz w:val="28"/>
          <w:szCs w:val="28"/>
          <w:lang w:eastAsia="zh-CN"/>
        </w:rPr>
        <w:t xml:space="preserve"> and Biel, 2018; </w:t>
      </w:r>
      <w:proofErr w:type="spellStart"/>
      <w:r w:rsidRPr="00EB28DB">
        <w:rPr>
          <w:rFonts w:ascii="Times New Roman" w:eastAsia="DengXian" w:hAnsi="Times New Roman"/>
          <w:i/>
          <w:iCs/>
          <w:sz w:val="28"/>
          <w:szCs w:val="28"/>
          <w:shd w:val="clear" w:color="auto" w:fill="FFFFFF"/>
          <w:lang w:eastAsia="zh-CN"/>
        </w:rPr>
        <w:t>Bajcic</w:t>
      </w:r>
      <w:proofErr w:type="spellEnd"/>
      <w:r w:rsidRPr="00EB28DB">
        <w:rPr>
          <w:rFonts w:ascii="Times New Roman" w:eastAsia="DengXian" w:hAnsi="Times New Roman"/>
          <w:i/>
          <w:iCs/>
          <w:sz w:val="28"/>
          <w:szCs w:val="28"/>
          <w:shd w:val="clear" w:color="auto" w:fill="FFFFFF"/>
          <w:lang w:eastAsia="zh-CN"/>
        </w:rPr>
        <w:t>, 2018)</w:t>
      </w:r>
      <w:r w:rsidRPr="00EB28DB">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In this relation, the present paper is related to critically evaluate and examine the extent to which direct effects, indirect effect and member-state liability principles permit legal and natural individuals for putting their own rights into effect through the EU law. For doing so, this paper also considered a UK-based organisation, Tesco Plc to analyse the EU law-based principles being applied to this company's cases. </w:t>
      </w:r>
    </w:p>
    <w:p w14:paraId="20D71902" w14:textId="3592ACDB"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 xml:space="preserve">Within the EU-law, the definition of direct-effect is given as a principle based on which the Union-law might grant rights on people that the member states’ courts are liable to </w:t>
      </w:r>
      <w:r w:rsidRPr="000E308E">
        <w:rPr>
          <w:rFonts w:ascii="Times New Roman" w:eastAsia="DengXian" w:hAnsi="Times New Roman"/>
          <w:sz w:val="28"/>
          <w:szCs w:val="28"/>
          <w:lang w:val="en-GB" w:eastAsia="zh-CN"/>
        </w:rPr>
        <w:lastRenderedPageBreak/>
        <w:t>enforce as well as recognise.</w:t>
      </w:r>
      <w:r w:rsidRPr="000E308E">
        <w:rPr>
          <w:rFonts w:ascii="Times New Roman" w:eastAsia="DengXian" w:hAnsi="Times New Roman"/>
          <w:b/>
          <w:sz w:val="28"/>
          <w:szCs w:val="28"/>
          <w:lang w:val="en-GB" w:eastAsia="zh-CN"/>
        </w:rPr>
        <w:t xml:space="preserve"> </w:t>
      </w:r>
      <w:r w:rsidRPr="000E308E">
        <w:rPr>
          <w:rFonts w:ascii="Times New Roman" w:eastAsia="DengXian" w:hAnsi="Times New Roman"/>
          <w:sz w:val="28"/>
          <w:szCs w:val="28"/>
          <w:lang w:val="en-GB" w:eastAsia="zh-CN"/>
        </w:rPr>
        <w:t xml:space="preserve">The case of </w:t>
      </w:r>
      <w:r w:rsidRPr="000E308E">
        <w:rPr>
          <w:rFonts w:ascii="Times New Roman" w:eastAsia="DengXian" w:hAnsi="Times New Roman"/>
          <w:i/>
          <w:sz w:val="28"/>
          <w:szCs w:val="28"/>
          <w:lang w:val="en-GB" w:eastAsia="zh-CN"/>
        </w:rPr>
        <w:t xml:space="preserve">Van </w:t>
      </w:r>
      <w:proofErr w:type="spellStart"/>
      <w:r w:rsidRPr="000E308E">
        <w:rPr>
          <w:rFonts w:ascii="Times New Roman" w:eastAsia="DengXian" w:hAnsi="Times New Roman"/>
          <w:i/>
          <w:sz w:val="28"/>
          <w:szCs w:val="28"/>
          <w:lang w:val="en-GB" w:eastAsia="zh-CN"/>
        </w:rPr>
        <w:t>Gend</w:t>
      </w:r>
      <w:proofErr w:type="spellEnd"/>
      <w:r w:rsidRPr="000E308E">
        <w:rPr>
          <w:rFonts w:ascii="Times New Roman" w:eastAsia="DengXian" w:hAnsi="Times New Roman"/>
          <w:i/>
          <w:sz w:val="28"/>
          <w:szCs w:val="28"/>
          <w:lang w:val="en-GB" w:eastAsia="zh-CN"/>
        </w:rPr>
        <w:t xml:space="preserve"> </w:t>
      </w:r>
      <w:proofErr w:type="spellStart"/>
      <w:r w:rsidRPr="000E308E">
        <w:rPr>
          <w:rFonts w:ascii="Times New Roman" w:eastAsia="DengXian" w:hAnsi="Times New Roman"/>
          <w:i/>
          <w:sz w:val="28"/>
          <w:szCs w:val="28"/>
          <w:lang w:val="en-GB" w:eastAsia="zh-CN"/>
        </w:rPr>
        <w:t>en</w:t>
      </w:r>
      <w:proofErr w:type="spellEnd"/>
      <w:r w:rsidRPr="000E308E">
        <w:rPr>
          <w:rFonts w:ascii="Times New Roman" w:eastAsia="DengXian" w:hAnsi="Times New Roman"/>
          <w:i/>
          <w:sz w:val="28"/>
          <w:szCs w:val="28"/>
          <w:lang w:val="en-GB" w:eastAsia="zh-CN"/>
        </w:rPr>
        <w:t xml:space="preserve"> Loos v </w:t>
      </w:r>
      <w:proofErr w:type="spellStart"/>
      <w:r w:rsidRPr="000E308E">
        <w:rPr>
          <w:rFonts w:ascii="Times New Roman" w:eastAsia="DengXian" w:hAnsi="Times New Roman"/>
          <w:i/>
          <w:sz w:val="28"/>
          <w:szCs w:val="28"/>
          <w:lang w:val="en-GB" w:eastAsia="zh-CN"/>
        </w:rPr>
        <w:t>Nederlandse</w:t>
      </w:r>
      <w:proofErr w:type="spellEnd"/>
      <w:r w:rsidRPr="000E308E">
        <w:rPr>
          <w:rFonts w:ascii="Times New Roman" w:eastAsia="DengXian" w:hAnsi="Times New Roman"/>
          <w:i/>
          <w:sz w:val="28"/>
          <w:szCs w:val="28"/>
          <w:lang w:val="en-GB" w:eastAsia="zh-CN"/>
        </w:rPr>
        <w:t xml:space="preserve"> </w:t>
      </w:r>
      <w:proofErr w:type="spellStart"/>
      <w:r w:rsidRPr="000E308E">
        <w:rPr>
          <w:rFonts w:ascii="Times New Roman" w:eastAsia="DengXian" w:hAnsi="Times New Roman"/>
          <w:i/>
          <w:sz w:val="28"/>
          <w:szCs w:val="28"/>
          <w:lang w:val="en-GB" w:eastAsia="zh-CN"/>
        </w:rPr>
        <w:t>Administratie</w:t>
      </w:r>
      <w:proofErr w:type="spellEnd"/>
      <w:r w:rsidRPr="000E308E">
        <w:rPr>
          <w:rFonts w:ascii="Times New Roman" w:eastAsia="DengXian" w:hAnsi="Times New Roman"/>
          <w:i/>
          <w:sz w:val="28"/>
          <w:szCs w:val="28"/>
          <w:lang w:val="en-GB" w:eastAsia="zh-CN"/>
        </w:rPr>
        <w:t xml:space="preserve"> der </w:t>
      </w:r>
      <w:proofErr w:type="spellStart"/>
      <w:r w:rsidRPr="000E308E">
        <w:rPr>
          <w:rFonts w:ascii="Times New Roman" w:eastAsia="DengXian" w:hAnsi="Times New Roman"/>
          <w:i/>
          <w:sz w:val="28"/>
          <w:szCs w:val="28"/>
          <w:lang w:val="en-GB" w:eastAsia="zh-CN"/>
        </w:rPr>
        <w:t>Belastingen</w:t>
      </w:r>
      <w:proofErr w:type="spellEnd"/>
      <w:r w:rsidRPr="000E308E">
        <w:rPr>
          <w:rFonts w:ascii="Times New Roman" w:eastAsia="DengXian" w:hAnsi="Times New Roman"/>
          <w:sz w:val="28"/>
          <w:szCs w:val="28"/>
          <w:lang w:val="en-GB" w:eastAsia="zh-CN"/>
        </w:rPr>
        <w:t xml:space="preserve"> has been the major case based on EU court which maintained that with the Treaty Establishing provisions, the Economic Community of </w:t>
      </w:r>
      <w:r w:rsidR="00EB28DB" w:rsidRPr="000E308E">
        <w:rPr>
          <w:rFonts w:ascii="Times New Roman" w:eastAsia="DengXian" w:hAnsi="Times New Roman"/>
          <w:sz w:val="28"/>
          <w:szCs w:val="28"/>
          <w:lang w:val="en-GB" w:eastAsia="zh-CN"/>
        </w:rPr>
        <w:t>Europe has</w:t>
      </w:r>
      <w:r w:rsidRPr="000E308E">
        <w:rPr>
          <w:rFonts w:ascii="Times New Roman" w:eastAsia="DengXian" w:hAnsi="Times New Roman"/>
          <w:sz w:val="28"/>
          <w:szCs w:val="28"/>
          <w:lang w:val="en-GB" w:eastAsia="zh-CN"/>
        </w:rPr>
        <w:t xml:space="preserve"> the potential of developing </w:t>
      </w:r>
      <w:proofErr w:type="gramStart"/>
      <w:r w:rsidRPr="000E308E">
        <w:rPr>
          <w:rFonts w:ascii="Times New Roman" w:eastAsia="DengXian" w:hAnsi="Times New Roman"/>
          <w:sz w:val="28"/>
          <w:szCs w:val="28"/>
          <w:lang w:val="en-GB" w:eastAsia="zh-CN"/>
        </w:rPr>
        <w:t>legal-rights</w:t>
      </w:r>
      <w:proofErr w:type="gramEnd"/>
      <w:r w:rsidRPr="000E308E">
        <w:rPr>
          <w:rFonts w:ascii="Times New Roman" w:eastAsia="DengXian" w:hAnsi="Times New Roman"/>
          <w:sz w:val="28"/>
          <w:szCs w:val="28"/>
          <w:lang w:val="en-GB" w:eastAsia="zh-CN"/>
        </w:rPr>
        <w:t xml:space="preserve"> that might be imposed by legal and natural both types of persons, in the member state based courts. This aspect is firstly denoted as the direct-effect’s principle. Treaties regulations have been determined as the binding legislation that used to be entirely applied all over the EU. For example, a regulation is adopted by the council while there is a need for ensuring presence of common safeguards or protective measures on services or goods that are imported potentially from outside regions of the EU. Treaty articles tend to have potential regarding horizontal and vertical direct-effect, but the directives have capability of imposing vertical type of direct-effect </w:t>
      </w:r>
      <w:r w:rsidRPr="00EB28DB">
        <w:rPr>
          <w:rFonts w:ascii="Times New Roman" w:eastAsia="DengXian" w:hAnsi="Times New Roman"/>
          <w:i/>
          <w:iCs/>
          <w:sz w:val="28"/>
          <w:szCs w:val="28"/>
          <w:lang w:val="en-GB" w:eastAsia="zh-CN"/>
        </w:rPr>
        <w:t>(</w:t>
      </w:r>
      <w:r w:rsidRPr="00EB28DB">
        <w:rPr>
          <w:rFonts w:ascii="Times New Roman" w:eastAsia="Calibri" w:hAnsi="Times New Roman"/>
          <w:i/>
          <w:iCs/>
          <w:sz w:val="28"/>
          <w:szCs w:val="28"/>
        </w:rPr>
        <w:t>Thomson Reuters. 2022)</w:t>
      </w:r>
      <w:r w:rsidRPr="00EB28DB">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The case of </w:t>
      </w:r>
      <w:r w:rsidRPr="000E308E">
        <w:rPr>
          <w:rFonts w:ascii="Times New Roman" w:eastAsia="DengXian" w:hAnsi="Times New Roman"/>
          <w:i/>
          <w:sz w:val="28"/>
          <w:szCs w:val="28"/>
          <w:lang w:val="en-GB" w:eastAsia="zh-CN"/>
        </w:rPr>
        <w:t>Van Duyn v Home Office [1974]</w:t>
      </w:r>
      <w:r w:rsidRPr="000E308E">
        <w:rPr>
          <w:rFonts w:ascii="Times New Roman" w:eastAsia="DengXian" w:hAnsi="Times New Roman"/>
          <w:sz w:val="28"/>
          <w:szCs w:val="28"/>
          <w:lang w:val="en-GB" w:eastAsia="zh-CN"/>
        </w:rPr>
        <w:t xml:space="preserve"> is also referred to understand the directive based vertical effect principle's implication based on the EU-law. In this case, work permission is sought by the plaintiff as per the EU directive, for working within the UK. However, Article 3 Directive 64/221 has been wanted to be used by her for combating the refusal made by Home Office. The issue has been raised whether the entry of Van Duyn could be denied. The conclusion made in the court that even while there were some unclear things; it was held by the European Union’s Court of Justice that the Directive could be directly invoked by Van Duyn in the national court. The case instead presented and evident vertical effect based on EU directive. The directive has been regarded as the </w:t>
      </w:r>
      <w:r w:rsidRPr="000E308E">
        <w:rPr>
          <w:rFonts w:ascii="Times New Roman" w:eastAsia="DengXian" w:hAnsi="Times New Roman"/>
          <w:sz w:val="28"/>
          <w:szCs w:val="28"/>
          <w:lang w:val="en-GB" w:eastAsia="zh-CN"/>
        </w:rPr>
        <w:lastRenderedPageBreak/>
        <w:t xml:space="preserve">legal act for strengthening consumer rights all over the EU. For example, the case of </w:t>
      </w:r>
      <w:r w:rsidRPr="000E308E">
        <w:rPr>
          <w:rFonts w:ascii="Times New Roman" w:eastAsia="Calibri" w:hAnsi="Times New Roman"/>
          <w:bCs/>
          <w:i/>
          <w:sz w:val="28"/>
          <w:szCs w:val="28"/>
          <w:shd w:val="clear" w:color="auto" w:fill="FFFFFF"/>
        </w:rPr>
        <w:t>Walbusch Walter Busch</w:t>
      </w:r>
      <w:r w:rsidRPr="000E308E">
        <w:rPr>
          <w:rFonts w:ascii="Times New Roman" w:eastAsia="Calibri" w:hAnsi="Times New Roman"/>
          <w:sz w:val="28"/>
          <w:szCs w:val="28"/>
          <w:shd w:val="clear" w:color="auto" w:fill="FFFFFF"/>
        </w:rPr>
        <w:t> </w:t>
      </w:r>
      <w:r w:rsidRPr="000E308E">
        <w:rPr>
          <w:rFonts w:ascii="Times New Roman" w:eastAsia="Calibri" w:hAnsi="Times New Roman"/>
          <w:i/>
          <w:sz w:val="28"/>
          <w:szCs w:val="28"/>
          <w:shd w:val="clear" w:color="auto" w:fill="FFFFFF"/>
        </w:rPr>
        <w:t xml:space="preserve">GmbH &amp; </w:t>
      </w:r>
      <w:r w:rsidR="00EB28DB" w:rsidRPr="000E308E">
        <w:rPr>
          <w:rFonts w:ascii="Times New Roman" w:eastAsia="Calibri" w:hAnsi="Times New Roman"/>
          <w:i/>
          <w:sz w:val="28"/>
          <w:szCs w:val="28"/>
          <w:shd w:val="clear" w:color="auto" w:fill="FFFFFF"/>
        </w:rPr>
        <w:t>Company</w:t>
      </w:r>
      <w:r w:rsidRPr="000E308E">
        <w:rPr>
          <w:rFonts w:ascii="Times New Roman" w:eastAsia="Calibri" w:hAnsi="Times New Roman"/>
          <w:i/>
          <w:sz w:val="28"/>
          <w:szCs w:val="28"/>
          <w:shd w:val="clear" w:color="auto" w:fill="FFFFFF"/>
        </w:rPr>
        <w:t xml:space="preserve"> KG</w:t>
      </w:r>
      <w:r w:rsidRPr="000E308E">
        <w:rPr>
          <w:rFonts w:ascii="Times New Roman" w:eastAsia="Calibri" w:hAnsi="Times New Roman"/>
          <w:sz w:val="28"/>
          <w:szCs w:val="28"/>
          <w:shd w:val="clear" w:color="auto" w:fill="FFFFFF"/>
        </w:rPr>
        <w:t>, clarified trader’s information related duty’s scope within distant-contracts signed with the consumers in compliance with the Directive 2011/83/EU based on consumer-rights.</w:t>
      </w:r>
      <w:r w:rsidRPr="000E308E">
        <w:rPr>
          <w:rFonts w:ascii="Times New Roman" w:eastAsia="DengXian" w:hAnsi="Times New Roman"/>
          <w:sz w:val="28"/>
          <w:szCs w:val="28"/>
          <w:lang w:val="en-GB" w:eastAsia="zh-CN"/>
        </w:rPr>
        <w:t xml:space="preserve">  The decision tends to bind those individuals and parties who are being addressed by them. </w:t>
      </w:r>
    </w:p>
    <w:p w14:paraId="76E71C05" w14:textId="77777777"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 xml:space="preserve">However, the legal provision is needed to be precise and properly clear. This also needs to be non-reliant and unconditional on other regulatory provisions </w:t>
      </w:r>
      <w:r w:rsidRPr="000146A4">
        <w:rPr>
          <w:rFonts w:ascii="Times New Roman" w:eastAsia="DengXian" w:hAnsi="Times New Roman"/>
          <w:i/>
          <w:iCs/>
          <w:sz w:val="28"/>
          <w:szCs w:val="28"/>
          <w:lang w:val="en-GB" w:eastAsia="zh-CN"/>
        </w:rPr>
        <w:t>(</w:t>
      </w:r>
      <w:r w:rsidRPr="000146A4">
        <w:rPr>
          <w:rFonts w:ascii="Times New Roman" w:eastAsia="DengXian" w:hAnsi="Times New Roman"/>
          <w:i/>
          <w:iCs/>
          <w:sz w:val="28"/>
          <w:szCs w:val="28"/>
          <w:lang w:eastAsia="zh-CN"/>
        </w:rPr>
        <w:t>Berry and Homewood, 2015; Favale, Kretschmer and Torremans, 2016; Aden, 2020)</w:t>
      </w:r>
      <w:r w:rsidRPr="000E308E">
        <w:rPr>
          <w:rFonts w:ascii="Times New Roman" w:eastAsia="DengXian" w:hAnsi="Times New Roman"/>
          <w:sz w:val="28"/>
          <w:szCs w:val="28"/>
          <w:lang w:val="en-GB" w:eastAsia="zh-CN"/>
        </w:rPr>
        <w:t xml:space="preserve">. It also requires conferring particular rights on which a claim can be posed by any citizen. However, this has been contradictory to the prohibition of the European community on the liabilities of inter-state import according to Treaty of Rome's Article 12. It was contended by the defendants that the plaintiff was not the usual or natural person instead of a legal type of person due to which, was not supposed to claim the rights </w:t>
      </w:r>
      <w:r w:rsidRPr="000A4765">
        <w:rPr>
          <w:rFonts w:ascii="Times New Roman" w:eastAsia="DengXian" w:hAnsi="Times New Roman"/>
          <w:i/>
          <w:iCs/>
          <w:sz w:val="28"/>
          <w:szCs w:val="28"/>
          <w:lang w:val="en-GB" w:eastAsia="zh-CN"/>
        </w:rPr>
        <w:t>(</w:t>
      </w:r>
      <w:r w:rsidRPr="000A4765">
        <w:rPr>
          <w:rFonts w:ascii="Times New Roman" w:eastAsia="DengXian" w:hAnsi="Times New Roman"/>
          <w:i/>
          <w:iCs/>
          <w:sz w:val="28"/>
          <w:szCs w:val="28"/>
          <w:lang w:eastAsia="zh-CN"/>
        </w:rPr>
        <w:t xml:space="preserve">Lex.Europa.EU, </w:t>
      </w:r>
      <w:proofErr w:type="spellStart"/>
      <w:r w:rsidRPr="000A4765">
        <w:rPr>
          <w:rFonts w:ascii="Times New Roman" w:eastAsia="DengXian" w:hAnsi="Times New Roman"/>
          <w:i/>
          <w:iCs/>
          <w:sz w:val="28"/>
          <w:szCs w:val="28"/>
          <w:lang w:eastAsia="zh-CN"/>
        </w:rPr>
        <w:t>n.d</w:t>
      </w:r>
      <w:proofErr w:type="spellEnd"/>
      <w:r w:rsidRPr="000A4765">
        <w:rPr>
          <w:rFonts w:ascii="Times New Roman" w:eastAsia="DengXian" w:hAnsi="Times New Roman"/>
          <w:i/>
          <w:iCs/>
          <w:sz w:val="28"/>
          <w:szCs w:val="28"/>
          <w:lang w:eastAsia="zh-CN"/>
        </w:rPr>
        <w:t xml:space="preserve">; </w:t>
      </w:r>
      <w:r w:rsidRPr="000A4765">
        <w:rPr>
          <w:rFonts w:ascii="Times New Roman" w:eastAsia="DengXian" w:hAnsi="Times New Roman"/>
          <w:i/>
          <w:iCs/>
          <w:sz w:val="28"/>
          <w:szCs w:val="28"/>
          <w:shd w:val="clear" w:color="auto" w:fill="FFFFFF"/>
          <w:lang w:eastAsia="zh-CN"/>
        </w:rPr>
        <w:t>Van Leeuwen, 2018</w:t>
      </w:r>
      <w:r w:rsidRPr="000A4765">
        <w:rPr>
          <w:rFonts w:ascii="Times New Roman" w:eastAsia="DengXian" w:hAnsi="Times New Roman"/>
          <w:i/>
          <w:iCs/>
          <w:sz w:val="28"/>
          <w:szCs w:val="28"/>
          <w:lang w:eastAsia="zh-CN"/>
        </w:rPr>
        <w:t>)</w:t>
      </w:r>
      <w:r w:rsidRPr="000A4765">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The issue arose, whether actionable rights' rise has been given by the treaty of European Community as well as whether there could be a reliability of the legal persons on these types of rights in a similar way like the natural individual. In this support, the case of </w:t>
      </w:r>
      <w:r w:rsidRPr="000E308E">
        <w:rPr>
          <w:rFonts w:ascii="Times New Roman" w:eastAsia="DengXian" w:hAnsi="Times New Roman"/>
          <w:i/>
          <w:sz w:val="28"/>
          <w:szCs w:val="28"/>
          <w:lang w:val="en-GB" w:eastAsia="zh-CN"/>
        </w:rPr>
        <w:t xml:space="preserve">DEB v. Germany </w:t>
      </w:r>
      <w:r w:rsidRPr="000E308E">
        <w:rPr>
          <w:rFonts w:ascii="Times New Roman" w:eastAsia="DengXian" w:hAnsi="Times New Roman"/>
          <w:sz w:val="28"/>
          <w:szCs w:val="28"/>
          <w:lang w:val="en-GB" w:eastAsia="zh-CN"/>
        </w:rPr>
        <w:t xml:space="preserve">has been evaluated wherein the issue has been found that the legal-persons tend to be non-eligible to have legal-aid and rights as same as the natural-persons.  It was found by the European court that the possibility of enacting rights, has been given by European treaties for natural and legal persons in an equal manner.  This case depicted that the treaty law of Europe </w:t>
      </w:r>
      <w:r w:rsidRPr="000E308E">
        <w:rPr>
          <w:rFonts w:ascii="Times New Roman" w:eastAsia="DengXian" w:hAnsi="Times New Roman"/>
          <w:sz w:val="28"/>
          <w:szCs w:val="28"/>
          <w:lang w:val="en-GB" w:eastAsia="zh-CN"/>
        </w:rPr>
        <w:lastRenderedPageBreak/>
        <w:t xml:space="preserve">has a direct effect on the opponent of the Member States as well as these tend to be directly restricted due to their legal provisions. Ultimately, it is inferred that the individuals might enforce the European law by the system of Member State’s national courts instead of requiring the legal action to be brought by European Commission in opponent to the state who is under query for the non-compliance with the international rules or obligations </w:t>
      </w:r>
      <w:r w:rsidRPr="00436458">
        <w:rPr>
          <w:rFonts w:ascii="Times New Roman" w:eastAsia="DengXian" w:hAnsi="Times New Roman"/>
          <w:i/>
          <w:iCs/>
          <w:sz w:val="28"/>
          <w:szCs w:val="28"/>
          <w:lang w:val="en-GB" w:eastAsia="zh-CN"/>
        </w:rPr>
        <w:t>(</w:t>
      </w:r>
      <w:r w:rsidRPr="00436458">
        <w:rPr>
          <w:rFonts w:ascii="Times New Roman" w:eastAsia="DengXian" w:hAnsi="Times New Roman"/>
          <w:i/>
          <w:iCs/>
          <w:sz w:val="28"/>
          <w:szCs w:val="28"/>
          <w:lang w:eastAsia="zh-CN"/>
        </w:rPr>
        <w:t>Berry and Homewood, 2015)</w:t>
      </w:r>
      <w:r w:rsidRPr="00436458">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w:t>
      </w:r>
    </w:p>
    <w:p w14:paraId="1B2AD1CC" w14:textId="23ED4B67"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ab/>
        <w:t xml:space="preserve">Apart from this, the case of Tesco plc in regard to sex discrimination-based unequal payment can also be explained to understand the direct effect's principle. In this case, Tesco Plc's female employees claimed against the company regarding unequal payment received by them than their male colleagues. The direct effect of Article 157 TFEU has been observed in this clear, </w:t>
      </w:r>
      <w:r w:rsidR="00E8433B" w:rsidRPr="000E308E">
        <w:rPr>
          <w:rFonts w:ascii="Times New Roman" w:eastAsia="DengXian" w:hAnsi="Times New Roman"/>
          <w:sz w:val="28"/>
          <w:szCs w:val="28"/>
          <w:lang w:val="en-GB" w:eastAsia="zh-CN"/>
        </w:rPr>
        <w:t>concise,</w:t>
      </w:r>
      <w:r w:rsidRPr="000E308E">
        <w:rPr>
          <w:rFonts w:ascii="Times New Roman" w:eastAsia="DengXian" w:hAnsi="Times New Roman"/>
          <w:sz w:val="28"/>
          <w:szCs w:val="28"/>
          <w:lang w:val="en-GB" w:eastAsia="zh-CN"/>
        </w:rPr>
        <w:t xml:space="preserve"> and directly discriminatory case based on which the court held that Tesco has been liable for the failure to be adhered to the equal pay related principle for equal work, for female and male employees. As this case was clear, unconditional (due to fair employees' terms) and precise, direct effect's principle gets significantly applied to this case of Tesco Plc </w:t>
      </w:r>
      <w:r w:rsidRPr="002A4617">
        <w:rPr>
          <w:rFonts w:ascii="Times New Roman" w:eastAsia="DengXian" w:hAnsi="Times New Roman"/>
          <w:i/>
          <w:iCs/>
          <w:sz w:val="28"/>
          <w:szCs w:val="28"/>
          <w:lang w:val="en-GB" w:eastAsia="zh-CN"/>
        </w:rPr>
        <w:t>(</w:t>
      </w:r>
      <w:r w:rsidRPr="002A4617">
        <w:rPr>
          <w:rFonts w:ascii="Times New Roman" w:eastAsia="DengXian" w:hAnsi="Times New Roman"/>
          <w:i/>
          <w:iCs/>
          <w:sz w:val="28"/>
          <w:szCs w:val="28"/>
          <w:lang w:eastAsia="zh-CN"/>
        </w:rPr>
        <w:t>Curia, 2021)</w:t>
      </w:r>
      <w:r w:rsidRPr="002A4617">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w:t>
      </w:r>
    </w:p>
    <w:p w14:paraId="54BF3AD4" w14:textId="1107CD05"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ab/>
        <w:t xml:space="preserve">Apart from the above, Tesco Plc's other case has also been identified in relation to the free movement of goods or services in the EU after Brexit. For example, EU-based trade policies restricted Tesco Plc from freely moving its goods into the EU because of procurement bottlenecks, high </w:t>
      </w:r>
      <w:r w:rsidR="00B870F5" w:rsidRPr="000E308E">
        <w:rPr>
          <w:rFonts w:ascii="Times New Roman" w:eastAsia="DengXian" w:hAnsi="Times New Roman"/>
          <w:sz w:val="28"/>
          <w:szCs w:val="28"/>
          <w:lang w:val="en-GB" w:eastAsia="zh-CN"/>
        </w:rPr>
        <w:t>tariffs,</w:t>
      </w:r>
      <w:r w:rsidRPr="000E308E">
        <w:rPr>
          <w:rFonts w:ascii="Times New Roman" w:eastAsia="DengXian" w:hAnsi="Times New Roman"/>
          <w:sz w:val="28"/>
          <w:szCs w:val="28"/>
          <w:lang w:val="en-GB" w:eastAsia="zh-CN"/>
        </w:rPr>
        <w:t xml:space="preserve"> and downturn of the British pound's </w:t>
      </w:r>
      <w:r w:rsidRPr="000E308E">
        <w:rPr>
          <w:rFonts w:ascii="Times New Roman" w:eastAsia="DengXian" w:hAnsi="Times New Roman"/>
          <w:sz w:val="28"/>
          <w:szCs w:val="28"/>
          <w:lang w:val="en-GB" w:eastAsia="zh-CN"/>
        </w:rPr>
        <w:lastRenderedPageBreak/>
        <w:t xml:space="preserve">values. Thus, the direct effect is noted in this case of Brexit and changes in policies due to which the free movement or flow of goods got suffered </w:t>
      </w:r>
      <w:r w:rsidRPr="0039520B">
        <w:rPr>
          <w:rFonts w:ascii="Times New Roman" w:eastAsia="DengXian" w:hAnsi="Times New Roman"/>
          <w:i/>
          <w:iCs/>
          <w:sz w:val="28"/>
          <w:szCs w:val="28"/>
          <w:lang w:val="en-GB" w:eastAsia="zh-CN"/>
        </w:rPr>
        <w:t>(</w:t>
      </w:r>
      <w:r w:rsidRPr="0039520B">
        <w:rPr>
          <w:rFonts w:ascii="Times New Roman" w:eastAsia="DengXian" w:hAnsi="Times New Roman"/>
          <w:i/>
          <w:iCs/>
          <w:sz w:val="28"/>
          <w:szCs w:val="28"/>
          <w:lang w:eastAsia="zh-CN"/>
        </w:rPr>
        <w:t>O’Halloran, 2021)</w:t>
      </w:r>
      <w:r w:rsidRPr="0039520B">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w:t>
      </w:r>
    </w:p>
    <w:p w14:paraId="4740A7F0" w14:textId="414DF141"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ab/>
      </w:r>
      <w:r w:rsidRPr="000E308E">
        <w:rPr>
          <w:rFonts w:ascii="Times New Roman" w:eastAsia="DengXian" w:hAnsi="Times New Roman"/>
          <w:sz w:val="28"/>
          <w:szCs w:val="28"/>
          <w:lang w:val="en-GB" w:eastAsia="zh-CN"/>
        </w:rPr>
        <w:tab/>
        <w:t xml:space="preserve">On the other side, Indirect Effect is the one that gets induced from the member-state’s failure of incorporating the directive, at all or correctly. Indirect Effect tends to be required due to failure of application of Direct Effect as the party in the opposition of whom the enforcement of the directive has been done, tends to be a </w:t>
      </w:r>
      <w:r w:rsidR="0004718A" w:rsidRPr="000E308E">
        <w:rPr>
          <w:rFonts w:ascii="Times New Roman" w:eastAsia="DengXian" w:hAnsi="Times New Roman"/>
          <w:sz w:val="28"/>
          <w:szCs w:val="28"/>
          <w:lang w:val="en-GB" w:eastAsia="zh-CN"/>
        </w:rPr>
        <w:t>private type</w:t>
      </w:r>
      <w:r w:rsidRPr="000E308E">
        <w:rPr>
          <w:rFonts w:ascii="Times New Roman" w:eastAsia="DengXian" w:hAnsi="Times New Roman"/>
          <w:sz w:val="28"/>
          <w:szCs w:val="28"/>
          <w:lang w:val="en-GB" w:eastAsia="zh-CN"/>
        </w:rPr>
        <w:t xml:space="preserve"> of entity and sometimes, it remains unsuccessful in achieving the conditions that might offer direct effect of the directive. Indirect Effect refers to the principle formulated by the European Court of Justice within the case </w:t>
      </w:r>
      <w:r w:rsidRPr="000E308E">
        <w:rPr>
          <w:rFonts w:ascii="Times New Roman" w:eastAsia="DengXian" w:hAnsi="Times New Roman"/>
          <w:i/>
          <w:sz w:val="28"/>
          <w:szCs w:val="28"/>
          <w:lang w:val="en-GB" w:eastAsia="zh-CN"/>
        </w:rPr>
        <w:t>Von Colson [1984]</w:t>
      </w:r>
      <w:r w:rsidRPr="000E308E">
        <w:rPr>
          <w:rFonts w:ascii="Times New Roman" w:eastAsia="DengXian" w:hAnsi="Times New Roman"/>
          <w:sz w:val="28"/>
          <w:szCs w:val="28"/>
          <w:lang w:val="en-GB" w:eastAsia="zh-CN"/>
        </w:rPr>
        <w:t xml:space="preserve">. A co-operation clause under Article 4[3] TEU has been utilised by the court for imposing and striking the interpretation of the obligations potentially upon the national courts that must “maximum possible” or “utmost possible” interpret and infer the national legislation for representing the EU law’s objectives. This principle of indirect effect tends to be useful while there is no possibility of the direct effect </w:t>
      </w:r>
      <w:r w:rsidRPr="0004718A">
        <w:rPr>
          <w:rFonts w:ascii="Times New Roman" w:eastAsia="DengXian" w:hAnsi="Times New Roman"/>
          <w:i/>
          <w:iCs/>
          <w:sz w:val="28"/>
          <w:szCs w:val="28"/>
          <w:lang w:val="en-GB" w:eastAsia="zh-CN"/>
        </w:rPr>
        <w:t>(</w:t>
      </w:r>
      <w:r w:rsidRPr="0004718A">
        <w:rPr>
          <w:rFonts w:ascii="Times New Roman" w:eastAsia="DengXian" w:hAnsi="Times New Roman"/>
          <w:i/>
          <w:iCs/>
          <w:sz w:val="28"/>
          <w:szCs w:val="28"/>
          <w:shd w:val="clear" w:color="auto" w:fill="FFFFFF"/>
          <w:lang w:eastAsia="zh-CN"/>
        </w:rPr>
        <w:t xml:space="preserve">Backes and </w:t>
      </w:r>
      <w:proofErr w:type="spellStart"/>
      <w:r w:rsidRPr="0004718A">
        <w:rPr>
          <w:rFonts w:ascii="Times New Roman" w:eastAsia="DengXian" w:hAnsi="Times New Roman"/>
          <w:i/>
          <w:iCs/>
          <w:sz w:val="28"/>
          <w:szCs w:val="28"/>
          <w:shd w:val="clear" w:color="auto" w:fill="FFFFFF"/>
          <w:lang w:eastAsia="zh-CN"/>
        </w:rPr>
        <w:t>Eliantonio</w:t>
      </w:r>
      <w:proofErr w:type="spellEnd"/>
      <w:r w:rsidRPr="0004718A">
        <w:rPr>
          <w:rFonts w:ascii="Times New Roman" w:eastAsia="DengXian" w:hAnsi="Times New Roman"/>
          <w:i/>
          <w:iCs/>
          <w:sz w:val="28"/>
          <w:szCs w:val="28"/>
          <w:shd w:val="clear" w:color="auto" w:fill="FFFFFF"/>
          <w:lang w:eastAsia="zh-CN"/>
        </w:rPr>
        <w:t>, 2010)</w:t>
      </w:r>
      <w:r w:rsidRPr="0004718A">
        <w:rPr>
          <w:rFonts w:ascii="Times New Roman" w:eastAsia="DengXian" w:hAnsi="Times New Roman"/>
          <w:i/>
          <w:iCs/>
          <w:sz w:val="28"/>
          <w:szCs w:val="28"/>
          <w:lang w:val="en-GB" w:eastAsia="zh-CN"/>
        </w:rPr>
        <w:t xml:space="preserve">. </w:t>
      </w:r>
      <w:r w:rsidRPr="000E308E">
        <w:rPr>
          <w:rFonts w:ascii="Times New Roman" w:eastAsia="DengXian" w:hAnsi="Times New Roman"/>
          <w:sz w:val="28"/>
          <w:szCs w:val="28"/>
          <w:lang w:val="en-GB" w:eastAsia="zh-CN"/>
        </w:rPr>
        <w:t xml:space="preserve">For understanding the indirect effect principle, the case of </w:t>
      </w:r>
      <w:proofErr w:type="spellStart"/>
      <w:r w:rsidRPr="000E308E">
        <w:rPr>
          <w:rFonts w:ascii="Times New Roman" w:eastAsia="DengXian" w:hAnsi="Times New Roman"/>
          <w:i/>
          <w:sz w:val="28"/>
          <w:szCs w:val="28"/>
          <w:lang w:val="en-GB" w:eastAsia="zh-CN"/>
        </w:rPr>
        <w:t>Marleasing</w:t>
      </w:r>
      <w:proofErr w:type="spellEnd"/>
      <w:r w:rsidRPr="000E308E">
        <w:rPr>
          <w:rFonts w:ascii="Times New Roman" w:eastAsia="DengXian" w:hAnsi="Times New Roman"/>
          <w:i/>
          <w:sz w:val="28"/>
          <w:szCs w:val="28"/>
          <w:lang w:val="en-GB" w:eastAsia="zh-CN"/>
        </w:rPr>
        <w:t xml:space="preserve"> SA v CIA [1990] </w:t>
      </w:r>
      <w:r w:rsidR="0004718A" w:rsidRPr="000E308E">
        <w:rPr>
          <w:rFonts w:ascii="Times New Roman" w:eastAsia="DengXian" w:hAnsi="Times New Roman"/>
          <w:sz w:val="28"/>
          <w:szCs w:val="28"/>
          <w:lang w:val="en-GB" w:eastAsia="zh-CN"/>
        </w:rPr>
        <w:t>can be</w:t>
      </w:r>
      <w:r w:rsidRPr="000E308E">
        <w:rPr>
          <w:rFonts w:ascii="Times New Roman" w:eastAsia="DengXian" w:hAnsi="Times New Roman"/>
          <w:sz w:val="28"/>
          <w:szCs w:val="28"/>
          <w:lang w:val="en-GB" w:eastAsia="zh-CN"/>
        </w:rPr>
        <w:t xml:space="preserve"> illustrated. In this case, R and P were two organisations wherein P wanted the de-listing of R based on the “absence of cause” (for protecting the creditors of another organisation in reaching own assets) to the organisation that had been Spanish law’s part but not belonged to the unincorporated EC Directive. It was said by European Court that the company’s nullity was allowed by the Spanish law based on the “absence of cause” while nullity has been refused by </w:t>
      </w:r>
      <w:r w:rsidRPr="000E308E">
        <w:rPr>
          <w:rFonts w:ascii="Times New Roman" w:eastAsia="DengXian" w:hAnsi="Times New Roman"/>
          <w:sz w:val="28"/>
          <w:szCs w:val="28"/>
          <w:lang w:val="en-GB" w:eastAsia="zh-CN"/>
        </w:rPr>
        <w:lastRenderedPageBreak/>
        <w:t xml:space="preserve">the Directives on the basis of such grounds. Instead of mentioning that the courts of Spain must only make interpretation of the national law with reference to the Directive with utmost possibility, it was mentioned by the European court that the provision of Directive must be emerged with, on the potential subject. It left the law in uncertainty as the Directive based interpretation was considered by the court for reflecting "interpretation-based precedence or priority to that Directive. In this way, it was first established by this case that the unincorporated directive might trigger the national law’s interpretation. The case law of </w:t>
      </w:r>
      <w:proofErr w:type="spellStart"/>
      <w:r w:rsidRPr="000E308E">
        <w:rPr>
          <w:rFonts w:ascii="Times New Roman" w:eastAsia="DengXian" w:hAnsi="Times New Roman"/>
          <w:i/>
          <w:sz w:val="28"/>
          <w:szCs w:val="28"/>
          <w:lang w:val="en-GB" w:eastAsia="zh-CN"/>
        </w:rPr>
        <w:t>Marleasing</w:t>
      </w:r>
      <w:proofErr w:type="spellEnd"/>
      <w:r w:rsidRPr="000E308E">
        <w:rPr>
          <w:rFonts w:ascii="Times New Roman" w:eastAsia="DengXian" w:hAnsi="Times New Roman"/>
          <w:i/>
          <w:sz w:val="28"/>
          <w:szCs w:val="28"/>
          <w:lang w:val="en-GB" w:eastAsia="zh-CN"/>
        </w:rPr>
        <w:t xml:space="preserve"> SA v CIA [1990]</w:t>
      </w:r>
      <w:r w:rsidRPr="000E308E">
        <w:rPr>
          <w:rFonts w:ascii="Times New Roman" w:eastAsia="DengXian" w:hAnsi="Times New Roman"/>
          <w:sz w:val="28"/>
          <w:szCs w:val="28"/>
          <w:lang w:val="en-GB" w:eastAsia="zh-CN"/>
        </w:rPr>
        <w:t xml:space="preserve">, extended the indirect effect’s application by maintaining that the EU courts have the liability of national legislation interpretation on the grounds of non-deployed directives of EU. </w:t>
      </w:r>
    </w:p>
    <w:p w14:paraId="167782A0" w14:textId="77777777"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ab/>
        <w:t xml:space="preserve">Apart from this, TFEU based Article 288 facilitates that any regulation needs to have its general or regular application. It must have binding within its direction as well as entirely applicability in every of its member state. The major functioning of it involves "direct applicability", "binding within entirely" and generalised applicability". In </w:t>
      </w:r>
      <w:r w:rsidRPr="000E308E">
        <w:rPr>
          <w:rFonts w:ascii="Times New Roman" w:eastAsia="DengXian" w:hAnsi="Times New Roman"/>
          <w:i/>
          <w:sz w:val="28"/>
          <w:szCs w:val="28"/>
          <w:lang w:val="en-GB" w:eastAsia="zh-CN"/>
        </w:rPr>
        <w:t>Case 17/67 Neumann [1967]</w:t>
      </w:r>
      <w:r w:rsidRPr="000E308E">
        <w:rPr>
          <w:rFonts w:ascii="Times New Roman" w:eastAsia="DengXian" w:hAnsi="Times New Roman"/>
          <w:sz w:val="28"/>
          <w:szCs w:val="28"/>
          <w:lang w:val="en-GB" w:eastAsia="zh-CN"/>
        </w:rPr>
        <w:t xml:space="preserve">, the European (CJ) Court of Justice revealed that the legal system incorporated by the EU regulation needs to be applied potentially with the similar binding force within every Member State under the legal system of community that has been set up and through Treat's virtue that got emerged within the legal systems </w:t>
      </w:r>
      <w:r w:rsidRPr="00FE2EE5">
        <w:rPr>
          <w:rFonts w:ascii="Times New Roman" w:eastAsia="DengXian" w:hAnsi="Times New Roman"/>
          <w:i/>
          <w:iCs/>
          <w:sz w:val="28"/>
          <w:szCs w:val="28"/>
          <w:lang w:val="en-GB" w:eastAsia="zh-CN"/>
        </w:rPr>
        <w:t>(</w:t>
      </w:r>
      <w:r w:rsidRPr="00FE2EE5">
        <w:rPr>
          <w:rFonts w:ascii="Times New Roman" w:eastAsia="DengXian" w:hAnsi="Times New Roman"/>
          <w:i/>
          <w:iCs/>
          <w:sz w:val="28"/>
          <w:szCs w:val="28"/>
          <w:lang w:eastAsia="zh-CN"/>
        </w:rPr>
        <w:t>Militaru, 2013)</w:t>
      </w:r>
      <w:r w:rsidRPr="00FE2EE5">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w:t>
      </w:r>
    </w:p>
    <w:p w14:paraId="01DADED7" w14:textId="77777777"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ab/>
        <w:t xml:space="preserve">On the other side, the principle related to the state liability of EU Member-State has been developed within the case of </w:t>
      </w:r>
      <w:r w:rsidRPr="000E308E">
        <w:rPr>
          <w:rFonts w:ascii="Times New Roman" w:eastAsia="DengXian" w:hAnsi="Times New Roman"/>
          <w:i/>
          <w:sz w:val="28"/>
          <w:szCs w:val="28"/>
          <w:lang w:eastAsia="zh-CN"/>
        </w:rPr>
        <w:t>Francovich v Italy [1991]</w:t>
      </w:r>
      <w:r w:rsidRPr="000E308E">
        <w:rPr>
          <w:rFonts w:ascii="Times New Roman" w:eastAsia="DengXian" w:hAnsi="Times New Roman"/>
          <w:sz w:val="28"/>
          <w:szCs w:val="28"/>
          <w:lang w:eastAsia="zh-CN"/>
        </w:rPr>
        <w:t xml:space="preserve">, wherein Italy </w:t>
      </w:r>
      <w:r w:rsidRPr="000E308E">
        <w:rPr>
          <w:rFonts w:ascii="Times New Roman" w:eastAsia="DengXian" w:hAnsi="Times New Roman"/>
          <w:sz w:val="28"/>
          <w:szCs w:val="28"/>
          <w:lang w:eastAsia="zh-CN"/>
        </w:rPr>
        <w:lastRenderedPageBreak/>
        <w:t xml:space="preserve">remained unsuccessful in incorporating the Directive which could form the guaranteed funding for preventing workers from wages’ loss in the situation of employers’ insolvency. A negative effect has been posed by such failure on the applicant due to which it was desirable to obtain EU-law’s benefits in opposition of Italy for receiving proper compensation. It was held that any person could depend potentially on the EU Directive as far as the legal provisions seemed to be properly precise and unconditional in making claim in opposition to the state </w:t>
      </w:r>
      <w:r w:rsidRPr="005C3ED3">
        <w:rPr>
          <w:rFonts w:ascii="Times New Roman" w:eastAsia="DengXian" w:hAnsi="Times New Roman"/>
          <w:i/>
          <w:iCs/>
          <w:sz w:val="28"/>
          <w:szCs w:val="28"/>
          <w:lang w:eastAsia="zh-CN"/>
        </w:rPr>
        <w:t>(EUR-Lex, 2022).</w:t>
      </w:r>
      <w:r w:rsidRPr="000E308E">
        <w:rPr>
          <w:rFonts w:ascii="Times New Roman" w:eastAsia="DengXian" w:hAnsi="Times New Roman"/>
          <w:sz w:val="28"/>
          <w:szCs w:val="28"/>
          <w:lang w:eastAsia="zh-CN"/>
        </w:rPr>
        <w:t xml:space="preserve"> The EU law's effectiveness would be otherwise hampered. The state liability's principle for the harm posed on people through Community law's breach was already integrated within the Treaty system. Moreover, own failure could not be pleaded by the Member States for performing certain obligations entailed by the EU-law. It is inferred that the state's rights of selecting multiple possible methods of incorporating the Directive never preclude or prevent people from putting rights into effect that involves precise content based on the Directive's only provisions </w:t>
      </w:r>
      <w:r w:rsidRPr="005C3ED3">
        <w:rPr>
          <w:rFonts w:ascii="Times New Roman" w:eastAsia="DengXian" w:hAnsi="Times New Roman"/>
          <w:i/>
          <w:iCs/>
          <w:sz w:val="28"/>
          <w:szCs w:val="28"/>
          <w:lang w:eastAsia="zh-CN"/>
        </w:rPr>
        <w:t>(EUR-Lex, 2022).</w:t>
      </w:r>
      <w:r w:rsidRPr="000E308E">
        <w:rPr>
          <w:rFonts w:ascii="Times New Roman" w:eastAsia="DengXian" w:hAnsi="Times New Roman"/>
          <w:sz w:val="28"/>
          <w:szCs w:val="28"/>
          <w:lang w:eastAsia="zh-CN"/>
        </w:rPr>
        <w:t xml:space="preserve">  </w:t>
      </w:r>
    </w:p>
    <w:p w14:paraId="44A37FC0" w14:textId="0CF88683"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sz w:val="28"/>
          <w:szCs w:val="28"/>
          <w:lang w:val="en-GB" w:eastAsia="zh-CN"/>
        </w:rPr>
        <w:tab/>
        <w:t xml:space="preserve">Apart from this, as per </w:t>
      </w:r>
      <w:r w:rsidRPr="000E308E">
        <w:rPr>
          <w:rFonts w:ascii="Times New Roman" w:eastAsia="DengXian" w:hAnsi="Times New Roman"/>
          <w:i/>
          <w:sz w:val="28"/>
          <w:szCs w:val="28"/>
          <w:lang w:val="en-GB" w:eastAsia="zh-CN"/>
        </w:rPr>
        <w:t>Traghetti del MediterraneoSpA v Italy [2006]</w:t>
      </w:r>
      <w:r w:rsidRPr="000E308E">
        <w:rPr>
          <w:rFonts w:ascii="Times New Roman" w:eastAsia="DengXian" w:hAnsi="Times New Roman"/>
          <w:sz w:val="28"/>
          <w:szCs w:val="28"/>
          <w:lang w:val="en-GB" w:eastAsia="zh-CN"/>
        </w:rPr>
        <w:t xml:space="preserve"> and </w:t>
      </w:r>
      <w:r w:rsidRPr="000E308E">
        <w:rPr>
          <w:rFonts w:ascii="Times New Roman" w:eastAsia="DengXian" w:hAnsi="Times New Roman"/>
          <w:i/>
          <w:sz w:val="28"/>
          <w:szCs w:val="28"/>
          <w:lang w:val="en-GB" w:eastAsia="zh-CN"/>
        </w:rPr>
        <w:t>Kobler v Austria [2004]</w:t>
      </w:r>
      <w:r w:rsidRPr="000E308E">
        <w:rPr>
          <w:rFonts w:ascii="Times New Roman" w:eastAsia="DengXian" w:hAnsi="Times New Roman"/>
          <w:sz w:val="28"/>
          <w:szCs w:val="28"/>
          <w:lang w:val="en-GB" w:eastAsia="zh-CN"/>
        </w:rPr>
        <w:t xml:space="preserve">, EU law’s breach or violation by the supreme court induce action of member state liability. This state-based liability tends to be confined to the supreme court as well as the seriousness of the breach would not be enough in case good faith is associated with it. Another case of </w:t>
      </w:r>
      <w:r w:rsidRPr="000E308E">
        <w:rPr>
          <w:rFonts w:ascii="Times New Roman" w:eastAsia="Calibri" w:hAnsi="Times New Roman"/>
          <w:sz w:val="28"/>
          <w:szCs w:val="28"/>
        </w:rPr>
        <w:t xml:space="preserve">Brasserie du Pêcheur and Factortame [1996] has been identified wherein for fulfilling the need related to </w:t>
      </w:r>
      <w:r w:rsidR="005C3ED3" w:rsidRPr="000E308E">
        <w:rPr>
          <w:rFonts w:ascii="Times New Roman" w:eastAsia="Calibri" w:hAnsi="Times New Roman"/>
          <w:sz w:val="28"/>
          <w:szCs w:val="28"/>
        </w:rPr>
        <w:t>sufficiently serious</w:t>
      </w:r>
      <w:r w:rsidRPr="000E308E">
        <w:rPr>
          <w:rFonts w:ascii="Times New Roman" w:eastAsia="Calibri" w:hAnsi="Times New Roman"/>
          <w:sz w:val="28"/>
          <w:szCs w:val="28"/>
        </w:rPr>
        <w:t xml:space="preserve"> failure, the principle regarding state-liability has got broadened. In this context, the court held that </w:t>
      </w:r>
      <w:r w:rsidRPr="000E308E">
        <w:rPr>
          <w:rFonts w:ascii="Times New Roman" w:eastAsia="Calibri" w:hAnsi="Times New Roman"/>
          <w:sz w:val="28"/>
          <w:szCs w:val="28"/>
        </w:rPr>
        <w:lastRenderedPageBreak/>
        <w:t xml:space="preserve">the state requires making </w:t>
      </w:r>
      <w:r w:rsidR="00386A60" w:rsidRPr="000E308E">
        <w:rPr>
          <w:rFonts w:ascii="Times New Roman" w:eastAsia="Calibri" w:hAnsi="Times New Roman"/>
          <w:sz w:val="28"/>
          <w:szCs w:val="28"/>
        </w:rPr>
        <w:t>reparation as</w:t>
      </w:r>
      <w:r w:rsidRPr="000E308E">
        <w:rPr>
          <w:rFonts w:ascii="Times New Roman" w:eastAsia="Calibri" w:hAnsi="Times New Roman"/>
          <w:sz w:val="28"/>
          <w:szCs w:val="28"/>
        </w:rPr>
        <w:t xml:space="preserve"> per the domestic-rules based on state-liability, maintaining that the reparation related national conditions are never tend to be less-</w:t>
      </w:r>
      <w:r w:rsidR="00FC115C" w:rsidRPr="000E308E">
        <w:rPr>
          <w:rFonts w:ascii="Times New Roman" w:eastAsia="Calibri" w:hAnsi="Times New Roman"/>
          <w:sz w:val="28"/>
          <w:szCs w:val="28"/>
        </w:rPr>
        <w:t>favorable</w:t>
      </w:r>
      <w:r w:rsidRPr="000E308E">
        <w:rPr>
          <w:rFonts w:ascii="Times New Roman" w:eastAsia="Calibri" w:hAnsi="Times New Roman"/>
          <w:sz w:val="28"/>
          <w:szCs w:val="28"/>
        </w:rPr>
        <w:t xml:space="preserve"> as compared to the ones concerned with the similar and highly serious claims as well as it never makes it infeasible or seriously complex for placing reparation in practice.</w:t>
      </w:r>
      <w:r w:rsidRPr="000E308E">
        <w:rPr>
          <w:rFonts w:ascii="Times New Roman" w:eastAsia="DengXian" w:hAnsi="Times New Roman"/>
          <w:sz w:val="28"/>
          <w:szCs w:val="28"/>
          <w:lang w:val="en-GB" w:eastAsia="zh-CN"/>
        </w:rPr>
        <w:t xml:space="preserve"> Such liability’s existence must motivate the Supreme Court for referral </w:t>
      </w:r>
      <w:r w:rsidRPr="00C533EF">
        <w:rPr>
          <w:rFonts w:ascii="Times New Roman" w:eastAsia="DengXian" w:hAnsi="Times New Roman"/>
          <w:i/>
          <w:iCs/>
          <w:sz w:val="28"/>
          <w:szCs w:val="28"/>
          <w:lang w:val="en-GB" w:eastAsia="zh-CN"/>
        </w:rPr>
        <w:t>(</w:t>
      </w:r>
      <w:r w:rsidRPr="00C533EF">
        <w:rPr>
          <w:rFonts w:ascii="Times New Roman" w:eastAsia="DengXian" w:hAnsi="Times New Roman"/>
          <w:i/>
          <w:iCs/>
          <w:sz w:val="28"/>
          <w:szCs w:val="28"/>
          <w:lang w:eastAsia="zh-CN"/>
        </w:rPr>
        <w:t>Pavlović, 2008)</w:t>
      </w:r>
      <w:r w:rsidRPr="00C533EF">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Additionally, the enforcement process's initiation can be done by the commission under TFEU's Article 258 against the MS. This type of action is perceived as the response potentially to the violation by the Supreme Court. The action's purpose is related to ensuring the correction of breach by using legislation. Article 258's process has been used by the Commission in opposition to Spain within the case of </w:t>
      </w:r>
      <w:r w:rsidRPr="000E308E">
        <w:rPr>
          <w:rFonts w:ascii="Times New Roman" w:eastAsia="DengXian" w:hAnsi="Times New Roman"/>
          <w:i/>
          <w:sz w:val="28"/>
          <w:szCs w:val="28"/>
          <w:lang w:val="en-GB" w:eastAsia="zh-CN"/>
        </w:rPr>
        <w:t>Commission v Spain [2009]</w:t>
      </w:r>
      <w:r w:rsidRPr="000E308E">
        <w:rPr>
          <w:rFonts w:ascii="Times New Roman" w:eastAsia="DengXian" w:hAnsi="Times New Roman"/>
          <w:sz w:val="28"/>
          <w:szCs w:val="28"/>
          <w:lang w:val="en-GB" w:eastAsia="zh-CN"/>
        </w:rPr>
        <w:t xml:space="preserve"> after the failure in referring by the Supreme Court of Spain. It has been the foremost cast wherein an MS is held by the European Court due to the Supreme Court being failed in referring to </w:t>
      </w:r>
      <w:r w:rsidRPr="00C533EF">
        <w:rPr>
          <w:rFonts w:ascii="Times New Roman" w:eastAsia="DengXian" w:hAnsi="Times New Roman"/>
          <w:i/>
          <w:iCs/>
          <w:sz w:val="28"/>
          <w:szCs w:val="28"/>
          <w:lang w:val="en-GB" w:eastAsia="zh-CN"/>
        </w:rPr>
        <w:t>(</w:t>
      </w:r>
      <w:r w:rsidRPr="00C533EF">
        <w:rPr>
          <w:rFonts w:ascii="Times New Roman" w:eastAsia="DengXian" w:hAnsi="Times New Roman"/>
          <w:i/>
          <w:iCs/>
          <w:sz w:val="28"/>
          <w:szCs w:val="28"/>
          <w:shd w:val="clear" w:color="auto" w:fill="FFFFFF"/>
          <w:lang w:eastAsia="zh-CN"/>
        </w:rPr>
        <w:t>Rzotkiewicz, 2018)</w:t>
      </w:r>
      <w:r w:rsidRPr="00C533EF">
        <w:rPr>
          <w:rFonts w:ascii="Times New Roman" w:eastAsia="DengXian" w:hAnsi="Times New Roman"/>
          <w:i/>
          <w:iCs/>
          <w:sz w:val="28"/>
          <w:szCs w:val="28"/>
          <w:lang w:val="en-GB" w:eastAsia="zh-CN"/>
        </w:rPr>
        <w:t>.</w:t>
      </w:r>
      <w:r w:rsidRPr="000E308E">
        <w:rPr>
          <w:rFonts w:ascii="Times New Roman" w:eastAsia="DengXian" w:hAnsi="Times New Roman"/>
          <w:sz w:val="28"/>
          <w:szCs w:val="28"/>
          <w:lang w:val="en-GB" w:eastAsia="zh-CN"/>
        </w:rPr>
        <w:t xml:space="preserve"> Thus, Article 258 of TFEU has the purpose that the Commission might file a clear action for retrieving the judgement from European court regarding the failure of member-state in showing compliance with the legal provisions of </w:t>
      </w:r>
      <w:r w:rsidRPr="00034411">
        <w:rPr>
          <w:rFonts w:ascii="Times New Roman" w:eastAsia="DengXian" w:hAnsi="Times New Roman"/>
          <w:i/>
          <w:iCs/>
          <w:sz w:val="28"/>
          <w:szCs w:val="28"/>
          <w:lang w:val="en-GB" w:eastAsia="zh-CN"/>
        </w:rPr>
        <w:t>EU (</w:t>
      </w:r>
      <w:r w:rsidRPr="00034411">
        <w:rPr>
          <w:rFonts w:ascii="Times New Roman" w:eastAsia="DengXian" w:hAnsi="Times New Roman"/>
          <w:i/>
          <w:iCs/>
          <w:sz w:val="28"/>
          <w:szCs w:val="28"/>
          <w:shd w:val="clear" w:color="auto" w:fill="FFFFFF"/>
          <w:lang w:eastAsia="zh-CN"/>
        </w:rPr>
        <w:t>Rzotkiewicz, 2018</w:t>
      </w:r>
      <w:r w:rsidRPr="000E308E">
        <w:rPr>
          <w:rFonts w:ascii="Times New Roman" w:eastAsia="DengXian" w:hAnsi="Times New Roman"/>
          <w:sz w:val="28"/>
          <w:szCs w:val="28"/>
          <w:shd w:val="clear" w:color="auto" w:fill="FFFFFF"/>
          <w:lang w:eastAsia="zh-CN"/>
        </w:rPr>
        <w:t>)</w:t>
      </w:r>
      <w:r w:rsidRPr="000E308E">
        <w:rPr>
          <w:rFonts w:ascii="Times New Roman" w:eastAsia="DengXian" w:hAnsi="Times New Roman"/>
          <w:sz w:val="28"/>
          <w:szCs w:val="28"/>
          <w:lang w:val="en-GB" w:eastAsia="zh-CN"/>
        </w:rPr>
        <w:t>.</w:t>
      </w:r>
    </w:p>
    <w:p w14:paraId="4F68B195" w14:textId="77777777" w:rsidR="000E308E" w:rsidRPr="000E308E" w:rsidRDefault="000E308E" w:rsidP="000E308E">
      <w:pPr>
        <w:keepNext/>
        <w:spacing w:after="0" w:line="480" w:lineRule="auto"/>
        <w:outlineLvl w:val="0"/>
        <w:rPr>
          <w:rFonts w:ascii="Times New Roman" w:eastAsia="DengXian Light" w:hAnsi="Times New Roman"/>
          <w:b/>
          <w:bCs/>
          <w:kern w:val="32"/>
          <w:sz w:val="28"/>
          <w:szCs w:val="28"/>
          <w:lang w:val="en-GB" w:eastAsia="zh-CN"/>
        </w:rPr>
      </w:pPr>
      <w:bookmarkStart w:id="1" w:name="_Toc98607580"/>
      <w:r w:rsidRPr="000E308E">
        <w:rPr>
          <w:rFonts w:ascii="Times New Roman" w:eastAsia="DengXian Light" w:hAnsi="Times New Roman"/>
          <w:b/>
          <w:bCs/>
          <w:kern w:val="32"/>
          <w:sz w:val="28"/>
          <w:szCs w:val="28"/>
          <w:lang w:val="en-GB" w:eastAsia="zh-CN"/>
        </w:rPr>
        <w:t>Conclusion</w:t>
      </w:r>
      <w:bookmarkEnd w:id="1"/>
    </w:p>
    <w:p w14:paraId="7E7180E2" w14:textId="77777777" w:rsidR="000E308E" w:rsidRPr="000E308E" w:rsidRDefault="000E308E" w:rsidP="000E308E">
      <w:pPr>
        <w:spacing w:after="0" w:line="480" w:lineRule="auto"/>
        <w:jc w:val="both"/>
        <w:rPr>
          <w:rFonts w:ascii="Times New Roman" w:eastAsia="DengXian" w:hAnsi="Times New Roman"/>
          <w:sz w:val="28"/>
          <w:szCs w:val="28"/>
          <w:lang w:val="en-GB" w:eastAsia="zh-CN"/>
        </w:rPr>
      </w:pPr>
      <w:r w:rsidRPr="000E308E">
        <w:rPr>
          <w:rFonts w:ascii="Times New Roman" w:eastAsia="DengXian" w:hAnsi="Times New Roman"/>
          <w:b/>
          <w:sz w:val="28"/>
          <w:szCs w:val="28"/>
          <w:lang w:val="en-GB" w:eastAsia="zh-CN"/>
        </w:rPr>
        <w:tab/>
      </w:r>
      <w:r w:rsidRPr="000E308E">
        <w:rPr>
          <w:rFonts w:ascii="Times New Roman" w:eastAsia="DengXian" w:hAnsi="Times New Roman"/>
          <w:sz w:val="28"/>
          <w:szCs w:val="28"/>
          <w:lang w:val="en-GB" w:eastAsia="zh-CN"/>
        </w:rPr>
        <w:t xml:space="preserve">It is concluded based on the findings that the direct effect principle demands the legal rule to be precise, clear, unconditional as well as non-reliant as identified in the case of </w:t>
      </w:r>
      <w:r w:rsidRPr="000E308E">
        <w:rPr>
          <w:rFonts w:ascii="Times New Roman" w:eastAsia="DengXian" w:hAnsi="Times New Roman"/>
          <w:i/>
          <w:sz w:val="28"/>
          <w:szCs w:val="28"/>
          <w:lang w:val="en-GB" w:eastAsia="zh-CN"/>
        </w:rPr>
        <w:t xml:space="preserve">Van </w:t>
      </w:r>
      <w:proofErr w:type="spellStart"/>
      <w:r w:rsidRPr="000E308E">
        <w:rPr>
          <w:rFonts w:ascii="Times New Roman" w:eastAsia="DengXian" w:hAnsi="Times New Roman"/>
          <w:i/>
          <w:sz w:val="28"/>
          <w:szCs w:val="28"/>
          <w:lang w:val="en-GB" w:eastAsia="zh-CN"/>
        </w:rPr>
        <w:t>Genden</w:t>
      </w:r>
      <w:proofErr w:type="spellEnd"/>
      <w:r w:rsidRPr="000E308E">
        <w:rPr>
          <w:rFonts w:ascii="Times New Roman" w:eastAsia="DengXian" w:hAnsi="Times New Roman"/>
          <w:i/>
          <w:sz w:val="28"/>
          <w:szCs w:val="28"/>
          <w:lang w:val="en-GB" w:eastAsia="zh-CN"/>
        </w:rPr>
        <w:t xml:space="preserve"> Loos [1963]</w:t>
      </w:r>
      <w:r w:rsidRPr="000E308E">
        <w:rPr>
          <w:rFonts w:ascii="Times New Roman" w:eastAsia="DengXian" w:hAnsi="Times New Roman"/>
          <w:sz w:val="28"/>
          <w:szCs w:val="28"/>
          <w:lang w:val="en-GB" w:eastAsia="zh-CN"/>
        </w:rPr>
        <w:t xml:space="preserve">. It was also found that the possibilities regarding enabling and enforcing rights have been granted in the same or equal manner to legal </w:t>
      </w:r>
      <w:r w:rsidRPr="000E308E">
        <w:rPr>
          <w:rFonts w:ascii="Times New Roman" w:eastAsia="DengXian" w:hAnsi="Times New Roman"/>
          <w:sz w:val="28"/>
          <w:szCs w:val="28"/>
          <w:lang w:val="en-GB" w:eastAsia="zh-CN"/>
        </w:rPr>
        <w:lastRenderedPageBreak/>
        <w:t xml:space="preserve">as well as natural persons. Tesco Plc's examples have also been noted regarding the direct effect principle got applied due to sexual discrimination in the employee payment system and barrier in goods' free movement to EU after Brexit. Apart from this, the indirect effect principle is about the maximum possibilities and not about certain conditions unlike the direct effect principle as determined under </w:t>
      </w:r>
      <w:r w:rsidRPr="000E308E">
        <w:rPr>
          <w:rFonts w:ascii="Times New Roman" w:eastAsia="DengXian" w:hAnsi="Times New Roman"/>
          <w:i/>
          <w:sz w:val="28"/>
          <w:szCs w:val="28"/>
          <w:lang w:val="en-GB" w:eastAsia="zh-CN"/>
        </w:rPr>
        <w:t xml:space="preserve">Von Colson [1984] </w:t>
      </w:r>
      <w:r w:rsidRPr="000E308E">
        <w:rPr>
          <w:rFonts w:ascii="Times New Roman" w:eastAsia="DengXian" w:hAnsi="Times New Roman"/>
          <w:sz w:val="28"/>
          <w:szCs w:val="28"/>
          <w:lang w:val="en-GB" w:eastAsia="zh-CN"/>
        </w:rPr>
        <w:t xml:space="preserve">and </w:t>
      </w:r>
      <w:proofErr w:type="spellStart"/>
      <w:r w:rsidRPr="000E308E">
        <w:rPr>
          <w:rFonts w:ascii="Times New Roman" w:eastAsia="DengXian" w:hAnsi="Times New Roman"/>
          <w:i/>
          <w:sz w:val="28"/>
          <w:szCs w:val="28"/>
          <w:lang w:val="en-GB" w:eastAsia="zh-CN"/>
        </w:rPr>
        <w:t>Marleasing</w:t>
      </w:r>
      <w:proofErr w:type="spellEnd"/>
      <w:r w:rsidRPr="000E308E">
        <w:rPr>
          <w:rFonts w:ascii="Times New Roman" w:eastAsia="DengXian" w:hAnsi="Times New Roman"/>
          <w:i/>
          <w:sz w:val="28"/>
          <w:szCs w:val="28"/>
          <w:lang w:val="en-GB" w:eastAsia="zh-CN"/>
        </w:rPr>
        <w:t xml:space="preserve"> SA v CIA [1990]</w:t>
      </w:r>
      <w:r w:rsidRPr="000E308E">
        <w:rPr>
          <w:rFonts w:ascii="Times New Roman" w:eastAsia="DengXian" w:hAnsi="Times New Roman"/>
          <w:sz w:val="28"/>
          <w:szCs w:val="28"/>
          <w:lang w:val="en-GB" w:eastAsia="zh-CN"/>
        </w:rPr>
        <w:t xml:space="preserve">. This principle tends to be applied indirectly to both the legal and natural people. Apart from this, the member-state liability principle depicts that the member-states need to make compensatory payment for the losses to people due to Community law’s breach for which the states have been found as responsible. </w:t>
      </w:r>
    </w:p>
    <w:p w14:paraId="636A638C" w14:textId="77777777" w:rsidR="000E308E" w:rsidRPr="000E308E" w:rsidRDefault="000E308E" w:rsidP="000E308E">
      <w:pPr>
        <w:keepNext/>
        <w:spacing w:after="0" w:line="480" w:lineRule="auto"/>
        <w:outlineLvl w:val="0"/>
        <w:rPr>
          <w:rFonts w:ascii="Times New Roman" w:eastAsia="DengXian Light" w:hAnsi="Times New Roman"/>
          <w:b/>
          <w:bCs/>
          <w:kern w:val="32"/>
          <w:lang w:val="en-GB" w:eastAsia="zh-CN"/>
        </w:rPr>
      </w:pPr>
      <w:r w:rsidRPr="000E308E">
        <w:rPr>
          <w:rFonts w:ascii="Times New Roman" w:eastAsia="DengXian Light" w:hAnsi="Times New Roman"/>
          <w:b/>
          <w:bCs/>
          <w:kern w:val="32"/>
          <w:lang w:val="en-GB" w:eastAsia="zh-CN"/>
        </w:rPr>
        <w:br w:type="page"/>
      </w:r>
      <w:bookmarkStart w:id="2" w:name="_Toc98607581"/>
      <w:r w:rsidRPr="00AD1080">
        <w:rPr>
          <w:rFonts w:ascii="Times New Roman" w:eastAsia="DengXian Light" w:hAnsi="Times New Roman"/>
          <w:b/>
          <w:bCs/>
          <w:color w:val="7030A0"/>
          <w:kern w:val="32"/>
          <w:lang w:val="en-GB" w:eastAsia="zh-CN"/>
        </w:rPr>
        <w:lastRenderedPageBreak/>
        <w:t>References</w:t>
      </w:r>
      <w:bookmarkEnd w:id="2"/>
    </w:p>
    <w:p w14:paraId="0379DF09"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eastAsia="zh-CN"/>
        </w:rPr>
        <w:t xml:space="preserve">Aden, H. 2020. Interoperability between EU policing and migration databases: Risks for privacy. </w:t>
      </w:r>
      <w:r w:rsidRPr="000E308E">
        <w:rPr>
          <w:rFonts w:ascii="Times New Roman" w:eastAsia="DengXian" w:hAnsi="Times New Roman"/>
          <w:i/>
          <w:lang w:eastAsia="zh-CN"/>
        </w:rPr>
        <w:t xml:space="preserve">European Public Law </w:t>
      </w:r>
      <w:r w:rsidRPr="000E308E">
        <w:rPr>
          <w:rFonts w:ascii="Times New Roman" w:eastAsia="DengXian" w:hAnsi="Times New Roman"/>
          <w:lang w:eastAsia="zh-CN"/>
        </w:rPr>
        <w:t>26(1).</w:t>
      </w:r>
    </w:p>
    <w:p w14:paraId="756E0255" w14:textId="77777777" w:rsidR="000E308E" w:rsidRPr="000E308E" w:rsidRDefault="000E308E" w:rsidP="000E308E">
      <w:pPr>
        <w:spacing w:after="0" w:line="480" w:lineRule="auto"/>
        <w:ind w:left="720" w:hanging="720"/>
        <w:rPr>
          <w:rFonts w:ascii="Times New Roman" w:eastAsia="DengXian" w:hAnsi="Times New Roman"/>
          <w:color w:val="222222"/>
          <w:shd w:val="clear" w:color="auto" w:fill="FFFFFF"/>
          <w:lang w:eastAsia="zh-CN"/>
        </w:rPr>
      </w:pPr>
      <w:r w:rsidRPr="000E308E">
        <w:rPr>
          <w:rFonts w:ascii="Times New Roman" w:eastAsia="DengXian" w:hAnsi="Times New Roman"/>
          <w:color w:val="222222"/>
          <w:shd w:val="clear" w:color="auto" w:fill="FFFFFF"/>
          <w:lang w:eastAsia="zh-CN"/>
        </w:rPr>
        <w:t xml:space="preserve">Backes, C. and </w:t>
      </w:r>
      <w:proofErr w:type="spellStart"/>
      <w:r w:rsidRPr="000E308E">
        <w:rPr>
          <w:rFonts w:ascii="Times New Roman" w:eastAsia="DengXian" w:hAnsi="Times New Roman"/>
          <w:color w:val="222222"/>
          <w:shd w:val="clear" w:color="auto" w:fill="FFFFFF"/>
          <w:lang w:eastAsia="zh-CN"/>
        </w:rPr>
        <w:t>Eliantonio</w:t>
      </w:r>
      <w:proofErr w:type="spellEnd"/>
      <w:r w:rsidRPr="000E308E">
        <w:rPr>
          <w:rFonts w:ascii="Times New Roman" w:eastAsia="DengXian" w:hAnsi="Times New Roman"/>
          <w:color w:val="222222"/>
          <w:shd w:val="clear" w:color="auto" w:fill="FFFFFF"/>
          <w:lang w:eastAsia="zh-CN"/>
        </w:rPr>
        <w:t xml:space="preserve">, M. 2010. The Influence of the ECJ's Case Law on Indirect Effect in the Italian, German, Dutch and English Administrative Legal Systems and Its Application by the National Administrative Courts.  </w:t>
      </w:r>
      <w:r w:rsidRPr="000E308E">
        <w:rPr>
          <w:rFonts w:ascii="Times New Roman" w:eastAsia="DengXian" w:hAnsi="Times New Roman"/>
          <w:i/>
          <w:iCs/>
          <w:color w:val="222222"/>
          <w:shd w:val="clear" w:color="auto" w:fill="FFFFFF"/>
          <w:lang w:eastAsia="zh-CN"/>
        </w:rPr>
        <w:t>RRDE</w:t>
      </w:r>
      <w:r w:rsidRPr="000E308E">
        <w:rPr>
          <w:rFonts w:ascii="Times New Roman" w:eastAsia="DengXian" w:hAnsi="Times New Roman"/>
          <w:color w:val="222222"/>
          <w:shd w:val="clear" w:color="auto" w:fill="FFFFFF"/>
          <w:lang w:eastAsia="zh-CN"/>
        </w:rPr>
        <w:t>, p. 74.</w:t>
      </w:r>
    </w:p>
    <w:p w14:paraId="185C5B36" w14:textId="77777777" w:rsidR="000E308E" w:rsidRPr="000E308E" w:rsidRDefault="000E308E" w:rsidP="000E308E">
      <w:pPr>
        <w:spacing w:after="0" w:line="480" w:lineRule="auto"/>
        <w:ind w:left="720" w:hanging="720"/>
        <w:rPr>
          <w:rFonts w:ascii="Times New Roman" w:eastAsia="DengXian" w:hAnsi="Times New Roman"/>
          <w:lang w:eastAsia="zh-CN"/>
        </w:rPr>
      </w:pPr>
      <w:proofErr w:type="spellStart"/>
      <w:r w:rsidRPr="000E308E">
        <w:rPr>
          <w:rFonts w:ascii="Times New Roman" w:eastAsia="DengXian" w:hAnsi="Times New Roman"/>
          <w:color w:val="222222"/>
          <w:shd w:val="clear" w:color="auto" w:fill="FFFFFF"/>
          <w:lang w:eastAsia="zh-CN"/>
        </w:rPr>
        <w:t>Bajcic</w:t>
      </w:r>
      <w:proofErr w:type="spellEnd"/>
      <w:r w:rsidRPr="000E308E">
        <w:rPr>
          <w:rFonts w:ascii="Times New Roman" w:eastAsia="DengXian" w:hAnsi="Times New Roman"/>
          <w:color w:val="222222"/>
          <w:shd w:val="clear" w:color="auto" w:fill="FFFFFF"/>
          <w:lang w:eastAsia="zh-CN"/>
        </w:rPr>
        <w:t>, M. 2018. The role of EU legal English in shaping EU legal culture. </w:t>
      </w:r>
      <w:r w:rsidRPr="000E308E">
        <w:rPr>
          <w:rFonts w:ascii="Times New Roman" w:eastAsia="DengXian" w:hAnsi="Times New Roman"/>
          <w:i/>
          <w:iCs/>
          <w:color w:val="222222"/>
          <w:shd w:val="clear" w:color="auto" w:fill="FFFFFF"/>
          <w:lang w:eastAsia="zh-CN"/>
        </w:rPr>
        <w:t>JLL</w:t>
      </w:r>
      <w:r w:rsidRPr="000E308E">
        <w:rPr>
          <w:rFonts w:ascii="Times New Roman" w:eastAsia="DengXian" w:hAnsi="Times New Roman"/>
          <w:iCs/>
          <w:color w:val="222222"/>
          <w:shd w:val="clear" w:color="auto" w:fill="FFFFFF"/>
          <w:lang w:eastAsia="zh-CN"/>
        </w:rPr>
        <w:t>7</w:t>
      </w:r>
      <w:r w:rsidRPr="000E308E">
        <w:rPr>
          <w:rFonts w:ascii="Times New Roman" w:eastAsia="DengXian" w:hAnsi="Times New Roman"/>
          <w:color w:val="222222"/>
          <w:shd w:val="clear" w:color="auto" w:fill="FFFFFF"/>
          <w:lang w:eastAsia="zh-CN"/>
        </w:rPr>
        <w:t>, p. 8.</w:t>
      </w:r>
    </w:p>
    <w:p w14:paraId="2A23E27D"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eastAsia="zh-CN"/>
        </w:rPr>
        <w:t xml:space="preserve">Berry, </w:t>
      </w:r>
      <w:proofErr w:type="gramStart"/>
      <w:r w:rsidRPr="000E308E">
        <w:rPr>
          <w:rFonts w:ascii="Times New Roman" w:eastAsia="DengXian" w:hAnsi="Times New Roman"/>
          <w:lang w:eastAsia="zh-CN"/>
        </w:rPr>
        <w:t>E.</w:t>
      </w:r>
      <w:proofErr w:type="gramEnd"/>
      <w:r w:rsidRPr="000E308E">
        <w:rPr>
          <w:rFonts w:ascii="Times New Roman" w:eastAsia="DengXian" w:hAnsi="Times New Roman"/>
          <w:lang w:eastAsia="zh-CN"/>
        </w:rPr>
        <w:t xml:space="preserve"> and Homewood, M.J.  2015. </w:t>
      </w:r>
      <w:r w:rsidRPr="000E308E">
        <w:rPr>
          <w:rFonts w:ascii="Times New Roman" w:eastAsia="DengXian" w:hAnsi="Times New Roman"/>
          <w:i/>
          <w:lang w:eastAsia="zh-CN"/>
        </w:rPr>
        <w:t xml:space="preserve">Complete EU Law, Text, </w:t>
      </w:r>
      <w:proofErr w:type="gramStart"/>
      <w:r w:rsidRPr="000E308E">
        <w:rPr>
          <w:rFonts w:ascii="Times New Roman" w:eastAsia="DengXian" w:hAnsi="Times New Roman"/>
          <w:i/>
          <w:lang w:eastAsia="zh-CN"/>
        </w:rPr>
        <w:t>Cases  and</w:t>
      </w:r>
      <w:proofErr w:type="gramEnd"/>
      <w:r w:rsidRPr="000E308E">
        <w:rPr>
          <w:rFonts w:ascii="Times New Roman" w:eastAsia="DengXian" w:hAnsi="Times New Roman"/>
          <w:i/>
          <w:lang w:eastAsia="zh-CN"/>
        </w:rPr>
        <w:t xml:space="preserve"> Materials. 2nd Edition</w:t>
      </w:r>
      <w:r w:rsidRPr="000E308E">
        <w:rPr>
          <w:rFonts w:ascii="Times New Roman" w:eastAsia="DengXian" w:hAnsi="Times New Roman"/>
          <w:lang w:eastAsia="zh-CN"/>
        </w:rPr>
        <w:t>.  Oxford University Press</w:t>
      </w:r>
    </w:p>
    <w:p w14:paraId="3DB48DE8" w14:textId="77777777" w:rsidR="000E308E" w:rsidRPr="000E308E" w:rsidRDefault="000E308E" w:rsidP="000E308E">
      <w:pPr>
        <w:spacing w:after="0" w:line="480" w:lineRule="auto"/>
        <w:ind w:left="720" w:hanging="720"/>
        <w:rPr>
          <w:rFonts w:ascii="Times New Roman" w:eastAsia="DengXian" w:hAnsi="Times New Roman"/>
          <w:color w:val="222222"/>
          <w:shd w:val="clear" w:color="auto" w:fill="FFFFFF"/>
          <w:lang w:eastAsia="zh-CN"/>
        </w:rPr>
      </w:pPr>
      <w:r w:rsidRPr="000E308E">
        <w:rPr>
          <w:rFonts w:ascii="Times New Roman" w:eastAsia="DengXian" w:hAnsi="Times New Roman"/>
          <w:color w:val="222222"/>
          <w:shd w:val="clear" w:color="auto" w:fill="FFFFFF"/>
          <w:lang w:eastAsia="zh-CN"/>
        </w:rPr>
        <w:t xml:space="preserve">Craig, P. and De </w:t>
      </w:r>
      <w:proofErr w:type="spellStart"/>
      <w:r w:rsidRPr="000E308E">
        <w:rPr>
          <w:rFonts w:ascii="Times New Roman" w:eastAsia="DengXian" w:hAnsi="Times New Roman"/>
          <w:color w:val="222222"/>
          <w:shd w:val="clear" w:color="auto" w:fill="FFFFFF"/>
          <w:lang w:eastAsia="zh-CN"/>
        </w:rPr>
        <w:t>Búrca</w:t>
      </w:r>
      <w:proofErr w:type="spellEnd"/>
      <w:r w:rsidRPr="000E308E">
        <w:rPr>
          <w:rFonts w:ascii="Times New Roman" w:eastAsia="DengXian" w:hAnsi="Times New Roman"/>
          <w:color w:val="222222"/>
          <w:shd w:val="clear" w:color="auto" w:fill="FFFFFF"/>
          <w:lang w:eastAsia="zh-CN"/>
        </w:rPr>
        <w:t>, G. 2020. </w:t>
      </w:r>
      <w:r w:rsidRPr="000E308E">
        <w:rPr>
          <w:rFonts w:ascii="Times New Roman" w:eastAsia="DengXian" w:hAnsi="Times New Roman"/>
          <w:i/>
          <w:iCs/>
          <w:color w:val="222222"/>
          <w:shd w:val="clear" w:color="auto" w:fill="FFFFFF"/>
          <w:lang w:eastAsia="zh-CN"/>
        </w:rPr>
        <w:t>EU Law: Text, Cases, and Materials UK Version</w:t>
      </w:r>
      <w:r w:rsidRPr="000E308E">
        <w:rPr>
          <w:rFonts w:ascii="Times New Roman" w:eastAsia="DengXian" w:hAnsi="Times New Roman"/>
          <w:color w:val="222222"/>
          <w:shd w:val="clear" w:color="auto" w:fill="FFFFFF"/>
          <w:lang w:eastAsia="zh-CN"/>
        </w:rPr>
        <w:t>. Oxford University Press, UK.</w:t>
      </w:r>
    </w:p>
    <w:p w14:paraId="52B4D579"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eastAsia="zh-CN"/>
        </w:rPr>
        <w:t xml:space="preserve">Curia. 2021. The principle, laid down by EU law, of equal pay for male and female workers can be relied upon directly, in respect both of ‘equal work’ and of ‘work of equal value’, in proceedings between individuals. [Online]. Available at: </w:t>
      </w:r>
      <w:hyperlink r:id="rId10" w:history="1">
        <w:r w:rsidRPr="000E308E">
          <w:rPr>
            <w:rFonts w:ascii="Times New Roman" w:eastAsia="DengXian" w:hAnsi="Times New Roman"/>
            <w:color w:val="0563C1"/>
            <w:u w:val="single"/>
            <w:lang w:eastAsia="zh-CN"/>
          </w:rPr>
          <w:t>https://curia.europa.eu/jcms/upload/docs/application/pdf/2021-06/cp210095en.pdf</w:t>
        </w:r>
      </w:hyperlink>
      <w:r w:rsidRPr="000E308E">
        <w:rPr>
          <w:rFonts w:ascii="Times New Roman" w:eastAsia="DengXian" w:hAnsi="Times New Roman"/>
          <w:lang w:eastAsia="zh-CN"/>
        </w:rPr>
        <w:t xml:space="preserve"> [Accessed on: 19 March 2022].</w:t>
      </w:r>
    </w:p>
    <w:p w14:paraId="7E6E54C6"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val="fr-FR" w:eastAsia="zh-CN"/>
        </w:rPr>
        <w:t xml:space="preserve">EUR-Lex. 2022. Document 61990CJ0006. [Online]. </w:t>
      </w:r>
      <w:r w:rsidRPr="000E308E">
        <w:rPr>
          <w:rFonts w:ascii="Times New Roman" w:eastAsia="DengXian" w:hAnsi="Times New Roman"/>
          <w:lang w:eastAsia="zh-CN"/>
        </w:rPr>
        <w:t xml:space="preserve">Available at: </w:t>
      </w:r>
      <w:hyperlink r:id="rId11" w:history="1">
        <w:r w:rsidRPr="000E308E">
          <w:rPr>
            <w:rFonts w:ascii="Times New Roman" w:eastAsia="DengXian" w:hAnsi="Times New Roman"/>
            <w:color w:val="0563C1"/>
            <w:u w:val="single"/>
            <w:lang w:eastAsia="zh-CN"/>
          </w:rPr>
          <w:t>https://eur-lex.europa.eu/legal-content/EN/TXT/?uri=CELEX%3A61990CJ0006</w:t>
        </w:r>
      </w:hyperlink>
      <w:r w:rsidRPr="000E308E">
        <w:rPr>
          <w:rFonts w:ascii="Times New Roman" w:eastAsia="DengXian" w:hAnsi="Times New Roman"/>
          <w:lang w:eastAsia="zh-CN"/>
        </w:rPr>
        <w:t xml:space="preserve"> [Accessed on: 19 April 2022].</w:t>
      </w:r>
    </w:p>
    <w:p w14:paraId="69B73D9E"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eastAsia="zh-CN"/>
        </w:rPr>
        <w:t xml:space="preserve">Favale, M., Kretschmer, M. and Torremans, P.C. 2016. Is there an EU copyright jurisprudence? An empirical analysis of the workings of the European court of justice. </w:t>
      </w:r>
      <w:r w:rsidRPr="000E308E">
        <w:rPr>
          <w:rFonts w:ascii="Times New Roman" w:eastAsia="DengXian" w:hAnsi="Times New Roman"/>
          <w:i/>
          <w:lang w:eastAsia="zh-CN"/>
        </w:rPr>
        <w:t>The Modern Law Review</w:t>
      </w:r>
      <w:r w:rsidRPr="000E308E">
        <w:rPr>
          <w:rFonts w:ascii="Times New Roman" w:eastAsia="DengXian" w:hAnsi="Times New Roman"/>
          <w:lang w:eastAsia="zh-CN"/>
        </w:rPr>
        <w:t xml:space="preserve"> 79(1), pp. 31-75.</w:t>
      </w:r>
    </w:p>
    <w:p w14:paraId="35C3C2D2"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eastAsia="zh-CN"/>
        </w:rPr>
        <w:t xml:space="preserve">Foster, N. 2015. </w:t>
      </w:r>
      <w:r w:rsidRPr="000E308E">
        <w:rPr>
          <w:rFonts w:ascii="Times New Roman" w:eastAsia="DengXian" w:hAnsi="Times New Roman"/>
          <w:i/>
          <w:lang w:eastAsia="zh-CN"/>
        </w:rPr>
        <w:t>Foster on EU Law 5th Edition.</w:t>
      </w:r>
      <w:r w:rsidRPr="000E308E">
        <w:rPr>
          <w:rFonts w:ascii="Times New Roman" w:eastAsia="DengXian" w:hAnsi="Times New Roman"/>
          <w:lang w:eastAsia="zh-CN"/>
        </w:rPr>
        <w:t xml:space="preserve"> Oxford University Press.</w:t>
      </w:r>
    </w:p>
    <w:p w14:paraId="3215C5C3"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eastAsia="zh-CN"/>
        </w:rPr>
        <w:t xml:space="preserve">Foster, N. 2016. </w:t>
      </w:r>
      <w:r w:rsidRPr="000E308E">
        <w:rPr>
          <w:rFonts w:ascii="Times New Roman" w:eastAsia="DengXian" w:hAnsi="Times New Roman"/>
          <w:i/>
          <w:lang w:eastAsia="zh-CN"/>
        </w:rPr>
        <w:t>Blackstone's EU Treaties and Legislation 2016-2017 (Vol. 27).</w:t>
      </w:r>
      <w:r w:rsidRPr="000E308E">
        <w:rPr>
          <w:rFonts w:ascii="Times New Roman" w:eastAsia="DengXian" w:hAnsi="Times New Roman"/>
          <w:lang w:eastAsia="zh-CN"/>
        </w:rPr>
        <w:t xml:space="preserve"> Oxford University Press.</w:t>
      </w:r>
    </w:p>
    <w:p w14:paraId="08508AA8" w14:textId="77777777" w:rsidR="000E308E" w:rsidRPr="000E308E" w:rsidRDefault="000E308E" w:rsidP="000E308E">
      <w:pPr>
        <w:spacing w:after="0" w:line="480" w:lineRule="auto"/>
        <w:ind w:left="720" w:hanging="720"/>
        <w:rPr>
          <w:rFonts w:ascii="Times New Roman" w:eastAsia="DengXian" w:hAnsi="Times New Roman"/>
          <w:color w:val="222222"/>
          <w:shd w:val="clear" w:color="auto" w:fill="FFFFFF"/>
          <w:lang w:eastAsia="zh-CN"/>
        </w:rPr>
      </w:pPr>
      <w:r w:rsidRPr="000E308E">
        <w:rPr>
          <w:rFonts w:ascii="Times New Roman" w:eastAsia="DengXian" w:hAnsi="Times New Roman"/>
          <w:lang w:eastAsia="zh-CN"/>
        </w:rPr>
        <w:lastRenderedPageBreak/>
        <w:t xml:space="preserve">Militaru, I.N. 2013. Issues relating to the steps leading to the entry into force of the legal acts of the EU. </w:t>
      </w:r>
      <w:r w:rsidRPr="000E308E">
        <w:rPr>
          <w:rFonts w:ascii="Times New Roman" w:eastAsia="DengXian" w:hAnsi="Times New Roman"/>
          <w:i/>
          <w:lang w:eastAsia="zh-CN"/>
        </w:rPr>
        <w:t>International Journal of Academic Research in Economics and Management Sciences</w:t>
      </w:r>
      <w:r w:rsidRPr="000E308E">
        <w:rPr>
          <w:rFonts w:ascii="Times New Roman" w:eastAsia="DengXian" w:hAnsi="Times New Roman"/>
          <w:lang w:eastAsia="zh-CN"/>
        </w:rPr>
        <w:t xml:space="preserve"> 2(4), p. 188.</w:t>
      </w:r>
      <w:r w:rsidRPr="000E308E">
        <w:rPr>
          <w:rFonts w:ascii="Times New Roman" w:eastAsia="DengXian" w:hAnsi="Times New Roman"/>
          <w:color w:val="222222"/>
          <w:shd w:val="clear" w:color="auto" w:fill="FFFFFF"/>
          <w:lang w:eastAsia="zh-CN"/>
        </w:rPr>
        <w:t xml:space="preserve"> </w:t>
      </w:r>
    </w:p>
    <w:p w14:paraId="14E40715" w14:textId="77777777" w:rsidR="000E308E" w:rsidRPr="0055195D" w:rsidRDefault="000E308E" w:rsidP="000E308E">
      <w:pPr>
        <w:spacing w:after="0" w:line="480" w:lineRule="auto"/>
        <w:ind w:left="720" w:hanging="720"/>
        <w:rPr>
          <w:rFonts w:ascii="Times New Roman" w:eastAsia="DengXian" w:hAnsi="Times New Roman"/>
          <w:lang w:val="en-GB" w:eastAsia="zh-CN"/>
        </w:rPr>
      </w:pPr>
      <w:r w:rsidRPr="0055195D">
        <w:rPr>
          <w:rFonts w:ascii="Times New Roman" w:eastAsia="DengXian" w:hAnsi="Times New Roman"/>
          <w:shd w:val="clear" w:color="auto" w:fill="FFFFFF"/>
          <w:lang w:eastAsia="zh-CN"/>
        </w:rPr>
        <w:t xml:space="preserve">O’Halloran, B. 2021. Tesco seeks clarification over ‘confusing’ Brexit tariff rules. [Online]. Available at: </w:t>
      </w:r>
      <w:hyperlink r:id="rId12" w:history="1">
        <w:r w:rsidRPr="0055195D">
          <w:rPr>
            <w:rFonts w:ascii="Times New Roman" w:eastAsia="DengXian" w:hAnsi="Times New Roman"/>
            <w:u w:val="single"/>
            <w:shd w:val="clear" w:color="auto" w:fill="FFFFFF"/>
            <w:lang w:eastAsia="zh-CN"/>
          </w:rPr>
          <w:t>https://www.irishtimes.com/business/economy/tesco-seeks-clarification-over-confusing-brexit-tariff-rules-1.4452744</w:t>
        </w:r>
      </w:hyperlink>
      <w:r w:rsidRPr="0055195D">
        <w:rPr>
          <w:rFonts w:ascii="Times New Roman" w:eastAsia="DengXian" w:hAnsi="Times New Roman"/>
          <w:shd w:val="clear" w:color="auto" w:fill="FFFFFF"/>
          <w:lang w:eastAsia="zh-CN"/>
        </w:rPr>
        <w:t xml:space="preserve"> [Accessed on: 02 May 2022].</w:t>
      </w:r>
    </w:p>
    <w:p w14:paraId="0AF05F03" w14:textId="77777777" w:rsidR="000E308E" w:rsidRPr="000E308E" w:rsidRDefault="000E308E" w:rsidP="000E308E">
      <w:pPr>
        <w:spacing w:after="0" w:line="480" w:lineRule="auto"/>
        <w:ind w:left="720" w:hanging="720"/>
        <w:rPr>
          <w:rFonts w:ascii="Times New Roman" w:eastAsia="DengXian" w:hAnsi="Times New Roman"/>
          <w:lang w:eastAsia="zh-CN"/>
        </w:rPr>
      </w:pPr>
      <w:r w:rsidRPr="000E308E">
        <w:rPr>
          <w:rFonts w:ascii="Times New Roman" w:eastAsia="DengXian" w:hAnsi="Times New Roman"/>
          <w:lang w:eastAsia="zh-CN"/>
        </w:rPr>
        <w:t xml:space="preserve">Pavlović, V. 2008. SOME OBSERVATIONS ON THE EUROPEAN COURT OF JUSTICE’S POST-FRANCOVICH JURISPRUDENCE. </w:t>
      </w:r>
      <w:r w:rsidRPr="000E308E">
        <w:rPr>
          <w:rFonts w:ascii="Times New Roman" w:eastAsia="DengXian" w:hAnsi="Times New Roman"/>
          <w:i/>
          <w:lang w:eastAsia="zh-CN"/>
        </w:rPr>
        <w:t>Croatian Yearbook of European Law &amp; Policy</w:t>
      </w:r>
      <w:r w:rsidRPr="000E308E">
        <w:rPr>
          <w:rFonts w:ascii="Times New Roman" w:eastAsia="DengXian" w:hAnsi="Times New Roman"/>
          <w:lang w:eastAsia="zh-CN"/>
        </w:rPr>
        <w:t xml:space="preserve"> 4(1), pp.179-193.</w:t>
      </w:r>
    </w:p>
    <w:p w14:paraId="4279BA46" w14:textId="77777777" w:rsidR="000E308E" w:rsidRPr="000E308E" w:rsidRDefault="000E308E" w:rsidP="000E308E">
      <w:pPr>
        <w:spacing w:after="0" w:line="480" w:lineRule="auto"/>
        <w:ind w:left="720" w:hanging="720"/>
        <w:rPr>
          <w:rFonts w:ascii="Times New Roman" w:eastAsia="DengXian" w:hAnsi="Times New Roman"/>
          <w:color w:val="222222"/>
          <w:shd w:val="clear" w:color="auto" w:fill="FFFFFF"/>
          <w:lang w:eastAsia="zh-CN"/>
        </w:rPr>
      </w:pPr>
      <w:r w:rsidRPr="000E308E">
        <w:rPr>
          <w:rFonts w:ascii="Times New Roman" w:eastAsia="DengXian" w:hAnsi="Times New Roman"/>
          <w:color w:val="222222"/>
          <w:shd w:val="clear" w:color="auto" w:fill="FFFFFF"/>
          <w:lang w:eastAsia="zh-CN"/>
        </w:rPr>
        <w:t>Rzotkiewicz, M. 2018. Article 108 (2) TFEU as a Tool for the Commission to Bypass Article 258 TFEU Proceedings. </w:t>
      </w:r>
      <w:r w:rsidRPr="000E308E">
        <w:rPr>
          <w:rFonts w:ascii="Times New Roman" w:eastAsia="DengXian" w:hAnsi="Times New Roman"/>
          <w:i/>
          <w:iCs/>
          <w:color w:val="222222"/>
          <w:shd w:val="clear" w:color="auto" w:fill="FFFFFF"/>
          <w:lang w:eastAsia="zh-CN"/>
        </w:rPr>
        <w:t>Yearbook of Antitrust and Regulatory Studies (YARS)</w:t>
      </w:r>
      <w:r w:rsidRPr="000E308E">
        <w:rPr>
          <w:rFonts w:ascii="Times New Roman" w:eastAsia="DengXian" w:hAnsi="Times New Roman"/>
          <w:iCs/>
          <w:color w:val="222222"/>
          <w:shd w:val="clear" w:color="auto" w:fill="FFFFFF"/>
          <w:lang w:eastAsia="zh-CN"/>
        </w:rPr>
        <w:t>11</w:t>
      </w:r>
      <w:r w:rsidRPr="000E308E">
        <w:rPr>
          <w:rFonts w:ascii="Times New Roman" w:eastAsia="DengXian" w:hAnsi="Times New Roman"/>
          <w:color w:val="222222"/>
          <w:shd w:val="clear" w:color="auto" w:fill="FFFFFF"/>
          <w:lang w:eastAsia="zh-CN"/>
        </w:rPr>
        <w:t>(18), pp. 209-225.</w:t>
      </w:r>
    </w:p>
    <w:p w14:paraId="52EBF482" w14:textId="77777777" w:rsidR="000E308E" w:rsidRPr="000E308E" w:rsidRDefault="000E308E" w:rsidP="000E308E">
      <w:pPr>
        <w:spacing w:after="0" w:line="480" w:lineRule="auto"/>
        <w:ind w:left="720" w:hanging="720"/>
        <w:rPr>
          <w:rFonts w:ascii="Times New Roman" w:eastAsia="DengXian" w:hAnsi="Times New Roman"/>
          <w:lang w:eastAsia="zh-CN"/>
        </w:rPr>
      </w:pPr>
      <w:proofErr w:type="spellStart"/>
      <w:r w:rsidRPr="000E308E">
        <w:rPr>
          <w:rFonts w:ascii="Times New Roman" w:eastAsia="DengXian" w:hAnsi="Times New Roman"/>
          <w:lang w:eastAsia="zh-CN"/>
        </w:rPr>
        <w:t>Sosoni</w:t>
      </w:r>
      <w:proofErr w:type="spellEnd"/>
      <w:r w:rsidRPr="000E308E">
        <w:rPr>
          <w:rFonts w:ascii="Times New Roman" w:eastAsia="DengXian" w:hAnsi="Times New Roman"/>
          <w:lang w:eastAsia="zh-CN"/>
        </w:rPr>
        <w:t xml:space="preserve">, V. and Biel, L. 2018. EU legal culture and translation. </w:t>
      </w:r>
      <w:r w:rsidRPr="000E308E">
        <w:rPr>
          <w:rFonts w:ascii="Times New Roman" w:eastAsia="DengXian" w:hAnsi="Times New Roman"/>
          <w:i/>
          <w:lang w:eastAsia="zh-CN"/>
        </w:rPr>
        <w:t>JLL</w:t>
      </w:r>
      <w:r w:rsidRPr="000E308E">
        <w:rPr>
          <w:rFonts w:ascii="Times New Roman" w:eastAsia="DengXian" w:hAnsi="Times New Roman"/>
          <w:lang w:eastAsia="zh-CN"/>
        </w:rPr>
        <w:t xml:space="preserve"> 7, p. 1.</w:t>
      </w:r>
    </w:p>
    <w:p w14:paraId="410FFA57" w14:textId="77777777" w:rsidR="000E308E" w:rsidRPr="000E308E" w:rsidRDefault="000E308E" w:rsidP="000E308E">
      <w:pPr>
        <w:spacing w:after="0" w:line="480" w:lineRule="auto"/>
        <w:ind w:left="720" w:hanging="720"/>
        <w:rPr>
          <w:rFonts w:ascii="Times New Roman" w:eastAsia="DengXian" w:hAnsi="Times New Roman"/>
          <w:color w:val="222222"/>
          <w:shd w:val="clear" w:color="auto" w:fill="FFFFFF"/>
          <w:lang w:eastAsia="zh-CN"/>
        </w:rPr>
      </w:pPr>
      <w:r w:rsidRPr="000E308E">
        <w:rPr>
          <w:rFonts w:ascii="Times New Roman" w:eastAsia="DengXian" w:hAnsi="Times New Roman"/>
          <w:color w:val="222222"/>
          <w:shd w:val="clear" w:color="auto" w:fill="FFFFFF"/>
          <w:lang w:eastAsia="zh-CN"/>
        </w:rPr>
        <w:t xml:space="preserve">Tridimas, T.  2007. </w:t>
      </w:r>
      <w:r w:rsidRPr="000E308E">
        <w:rPr>
          <w:rFonts w:ascii="Times New Roman" w:eastAsia="DengXian" w:hAnsi="Times New Roman"/>
          <w:i/>
          <w:color w:val="222222"/>
          <w:shd w:val="clear" w:color="auto" w:fill="FFFFFF"/>
          <w:lang w:eastAsia="zh-CN"/>
        </w:rPr>
        <w:t xml:space="preserve">The </w:t>
      </w:r>
      <w:proofErr w:type="spellStart"/>
      <w:r w:rsidRPr="000E308E">
        <w:rPr>
          <w:rFonts w:ascii="Times New Roman" w:eastAsia="DengXian" w:hAnsi="Times New Roman"/>
          <w:i/>
          <w:color w:val="222222"/>
          <w:shd w:val="clear" w:color="auto" w:fill="FFFFFF"/>
          <w:lang w:eastAsia="zh-CN"/>
        </w:rPr>
        <w:t>Genral</w:t>
      </w:r>
      <w:proofErr w:type="spellEnd"/>
      <w:r w:rsidRPr="000E308E">
        <w:rPr>
          <w:rFonts w:ascii="Times New Roman" w:eastAsia="DengXian" w:hAnsi="Times New Roman"/>
          <w:i/>
          <w:color w:val="222222"/>
          <w:shd w:val="clear" w:color="auto" w:fill="FFFFFF"/>
          <w:lang w:eastAsia="zh-CN"/>
        </w:rPr>
        <w:t xml:space="preserve"> Principles of EU Law 2</w:t>
      </w:r>
      <w:r w:rsidRPr="000E308E">
        <w:rPr>
          <w:rFonts w:ascii="Times New Roman" w:eastAsia="DengXian" w:hAnsi="Times New Roman"/>
          <w:i/>
          <w:color w:val="222222"/>
          <w:shd w:val="clear" w:color="auto" w:fill="FFFFFF"/>
          <w:vertAlign w:val="superscript"/>
          <w:lang w:eastAsia="zh-CN"/>
        </w:rPr>
        <w:t>nd</w:t>
      </w:r>
    </w:p>
    <w:p w14:paraId="1D03B0A7" w14:textId="77777777" w:rsidR="000E308E" w:rsidRPr="000E308E" w:rsidRDefault="000E308E" w:rsidP="000E308E">
      <w:pPr>
        <w:spacing w:after="0" w:line="480" w:lineRule="auto"/>
        <w:ind w:left="720" w:hanging="720"/>
        <w:rPr>
          <w:rFonts w:ascii="Times New Roman" w:eastAsia="DengXian" w:hAnsi="Times New Roman"/>
          <w:color w:val="222222"/>
          <w:shd w:val="clear" w:color="auto" w:fill="FFFFFF"/>
          <w:lang w:eastAsia="zh-CN"/>
        </w:rPr>
      </w:pPr>
      <w:r w:rsidRPr="000E308E">
        <w:rPr>
          <w:rFonts w:ascii="Times New Roman" w:eastAsia="DengXian" w:hAnsi="Times New Roman"/>
          <w:i/>
          <w:color w:val="222222"/>
          <w:shd w:val="clear" w:color="auto" w:fill="FFFFFF"/>
          <w:lang w:eastAsia="zh-CN"/>
        </w:rPr>
        <w:t>Edition</w:t>
      </w:r>
      <w:r w:rsidRPr="000E308E">
        <w:rPr>
          <w:rFonts w:ascii="Times New Roman" w:eastAsia="DengXian" w:hAnsi="Times New Roman"/>
          <w:color w:val="222222"/>
          <w:shd w:val="clear" w:color="auto" w:fill="FFFFFF"/>
          <w:lang w:eastAsia="zh-CN"/>
        </w:rPr>
        <w:t>. Oxford University Press.</w:t>
      </w:r>
    </w:p>
    <w:p w14:paraId="319CB05D" w14:textId="77777777" w:rsidR="000E308E" w:rsidRPr="000E308E" w:rsidRDefault="000E308E" w:rsidP="000E308E">
      <w:pPr>
        <w:spacing w:after="0" w:line="480" w:lineRule="auto"/>
        <w:ind w:left="720" w:hanging="720"/>
        <w:rPr>
          <w:rFonts w:ascii="Times New Roman" w:eastAsia="DengXian" w:hAnsi="Times New Roman"/>
          <w:color w:val="222222"/>
          <w:shd w:val="clear" w:color="auto" w:fill="FFFFFF"/>
          <w:lang w:eastAsia="zh-CN"/>
        </w:rPr>
      </w:pPr>
      <w:r w:rsidRPr="000E308E">
        <w:rPr>
          <w:rFonts w:ascii="Times New Roman" w:eastAsia="DengXian" w:hAnsi="Times New Roman"/>
          <w:color w:val="222222"/>
          <w:shd w:val="clear" w:color="auto" w:fill="FFFFFF"/>
          <w:lang w:eastAsia="zh-CN"/>
        </w:rPr>
        <w:t>Van Leeuwen, K. 2018. Paving the road to ‘legal revolution’: The Dutch origins of the first preliminary references in European law (1957–1963). </w:t>
      </w:r>
      <w:r w:rsidRPr="000E308E">
        <w:rPr>
          <w:rFonts w:ascii="Times New Roman" w:eastAsia="DengXian" w:hAnsi="Times New Roman"/>
          <w:i/>
          <w:iCs/>
          <w:color w:val="222222"/>
          <w:shd w:val="clear" w:color="auto" w:fill="FFFFFF"/>
          <w:lang w:eastAsia="zh-CN"/>
        </w:rPr>
        <w:t>European Law Journal</w:t>
      </w:r>
      <w:r w:rsidRPr="000E308E">
        <w:rPr>
          <w:rFonts w:ascii="Times New Roman" w:eastAsia="DengXian" w:hAnsi="Times New Roman"/>
          <w:iCs/>
          <w:color w:val="222222"/>
          <w:shd w:val="clear" w:color="auto" w:fill="FFFFFF"/>
          <w:lang w:eastAsia="zh-CN"/>
        </w:rPr>
        <w:t>24</w:t>
      </w:r>
      <w:r w:rsidRPr="000E308E">
        <w:rPr>
          <w:rFonts w:ascii="Times New Roman" w:eastAsia="DengXian" w:hAnsi="Times New Roman"/>
          <w:color w:val="222222"/>
          <w:shd w:val="clear" w:color="auto" w:fill="FFFFFF"/>
          <w:lang w:eastAsia="zh-CN"/>
        </w:rPr>
        <w:t>(6), pp. 408-421.</w:t>
      </w:r>
    </w:p>
    <w:p w14:paraId="6326B461" w14:textId="77777777" w:rsidR="000E308E" w:rsidRPr="000E308E" w:rsidRDefault="000E308E" w:rsidP="000E308E">
      <w:pPr>
        <w:spacing w:after="0" w:line="480" w:lineRule="auto"/>
        <w:jc w:val="both"/>
        <w:rPr>
          <w:rFonts w:ascii="Times New Roman" w:eastAsia="DengXian" w:hAnsi="Times New Roman"/>
          <w:b/>
          <w:lang w:val="en-GB" w:eastAsia="zh-CN"/>
        </w:rPr>
      </w:pPr>
      <w:r w:rsidRPr="000E308E">
        <w:rPr>
          <w:rFonts w:ascii="Times New Roman" w:eastAsia="DengXian" w:hAnsi="Times New Roman"/>
          <w:b/>
          <w:lang w:val="en-GB" w:eastAsia="zh-CN"/>
        </w:rPr>
        <w:t>Important Case List</w:t>
      </w:r>
    </w:p>
    <w:p w14:paraId="5EE2C9D9" w14:textId="77777777" w:rsidR="000E308E" w:rsidRPr="0055195D" w:rsidRDefault="000E308E" w:rsidP="000E308E">
      <w:pPr>
        <w:spacing w:after="0" w:line="480" w:lineRule="auto"/>
        <w:jc w:val="both"/>
        <w:rPr>
          <w:rFonts w:ascii="Times New Roman" w:eastAsia="DengXian" w:hAnsi="Times New Roman"/>
          <w:lang w:val="en-GB" w:eastAsia="zh-CN"/>
        </w:rPr>
      </w:pPr>
      <w:r w:rsidRPr="0055195D">
        <w:rPr>
          <w:rFonts w:ascii="Times New Roman" w:eastAsia="DengXian" w:hAnsi="Times New Roman"/>
          <w:shd w:val="clear" w:color="auto" w:fill="FFFFFF"/>
          <w:lang w:eastAsia="zh-CN"/>
        </w:rPr>
        <w:t xml:space="preserve">C-106/89 </w:t>
      </w:r>
      <w:proofErr w:type="spellStart"/>
      <w:r w:rsidRPr="0055195D">
        <w:rPr>
          <w:rFonts w:ascii="Times New Roman" w:eastAsia="DengXian" w:hAnsi="Times New Roman"/>
          <w:shd w:val="clear" w:color="auto" w:fill="FFFFFF"/>
          <w:lang w:eastAsia="zh-CN"/>
        </w:rPr>
        <w:t>Marleasing</w:t>
      </w:r>
      <w:proofErr w:type="spellEnd"/>
      <w:r w:rsidRPr="0055195D">
        <w:rPr>
          <w:rFonts w:ascii="Times New Roman" w:eastAsia="DengXian" w:hAnsi="Times New Roman"/>
          <w:shd w:val="clear" w:color="auto" w:fill="FFFFFF"/>
          <w:lang w:eastAsia="zh-CN"/>
        </w:rPr>
        <w:t xml:space="preserve"> SA v CIA [1990] ECR I-4135</w:t>
      </w:r>
    </w:p>
    <w:p w14:paraId="3D667727" w14:textId="77777777" w:rsidR="000E308E" w:rsidRPr="0055195D" w:rsidRDefault="000E308E" w:rsidP="000E308E">
      <w:pPr>
        <w:rPr>
          <w:rFonts w:ascii="Times New Roman" w:eastAsia="Calibri" w:hAnsi="Times New Roman"/>
        </w:rPr>
      </w:pPr>
      <w:r w:rsidRPr="0055195D">
        <w:rPr>
          <w:rFonts w:ascii="Times New Roman" w:eastAsia="Calibri" w:hAnsi="Times New Roman"/>
        </w:rPr>
        <w:t xml:space="preserve">C-106/89 </w:t>
      </w:r>
      <w:proofErr w:type="spellStart"/>
      <w:r w:rsidRPr="0055195D">
        <w:rPr>
          <w:rFonts w:ascii="Times New Roman" w:eastAsia="Calibri" w:hAnsi="Times New Roman"/>
        </w:rPr>
        <w:t>Marleasing</w:t>
      </w:r>
      <w:proofErr w:type="spellEnd"/>
      <w:r w:rsidRPr="0055195D">
        <w:rPr>
          <w:rFonts w:ascii="Times New Roman" w:eastAsia="Calibri" w:hAnsi="Times New Roman"/>
        </w:rPr>
        <w:t xml:space="preserve"> SA v CIA [1990] ECR I-4135</w:t>
      </w:r>
    </w:p>
    <w:p w14:paraId="1EF5ED89" w14:textId="77777777" w:rsidR="000E308E" w:rsidRPr="0055195D" w:rsidRDefault="000E308E" w:rsidP="000E308E">
      <w:pPr>
        <w:rPr>
          <w:rFonts w:ascii="Times New Roman" w:eastAsia="Calibri" w:hAnsi="Times New Roman"/>
        </w:rPr>
      </w:pPr>
      <w:r w:rsidRPr="0055195D">
        <w:rPr>
          <w:rFonts w:ascii="Times New Roman" w:eastAsia="Calibri" w:hAnsi="Times New Roman"/>
        </w:rPr>
        <w:t>Case C-279/09 DEB v Germany (Judgment of the Grand Chamber of 22 December 2010)</w:t>
      </w:r>
    </w:p>
    <w:p w14:paraId="5BA6567E" w14:textId="77777777" w:rsidR="000E308E" w:rsidRPr="0055195D" w:rsidRDefault="000E308E" w:rsidP="000E308E">
      <w:pPr>
        <w:rPr>
          <w:rFonts w:ascii="Times New Roman" w:eastAsia="Calibri" w:hAnsi="Times New Roman"/>
        </w:rPr>
      </w:pPr>
      <w:r w:rsidRPr="0055195D">
        <w:rPr>
          <w:rFonts w:ascii="Times New Roman" w:eastAsia="Calibri" w:hAnsi="Times New Roman"/>
        </w:rPr>
        <w:t>Commission v Spain [2010] E.C.R. I-4843</w:t>
      </w:r>
    </w:p>
    <w:p w14:paraId="175102AE" w14:textId="77777777" w:rsidR="000E308E" w:rsidRPr="0055195D" w:rsidRDefault="000E308E" w:rsidP="000E308E">
      <w:pPr>
        <w:rPr>
          <w:rFonts w:ascii="Times New Roman" w:eastAsia="Calibri" w:hAnsi="Times New Roman"/>
        </w:rPr>
      </w:pPr>
      <w:r w:rsidRPr="0055195D">
        <w:rPr>
          <w:rFonts w:ascii="Times New Roman" w:eastAsia="Calibri" w:hAnsi="Times New Roman"/>
        </w:rPr>
        <w:t>Francovich v Italy C-6/90</w:t>
      </w:r>
    </w:p>
    <w:p w14:paraId="19E09E10" w14:textId="77777777" w:rsidR="000E308E" w:rsidRPr="0055195D" w:rsidRDefault="000E308E" w:rsidP="000E308E">
      <w:pPr>
        <w:rPr>
          <w:rFonts w:ascii="Times New Roman" w:eastAsia="Calibri" w:hAnsi="Times New Roman"/>
        </w:rPr>
      </w:pPr>
      <w:proofErr w:type="spellStart"/>
      <w:r w:rsidRPr="0055195D">
        <w:rPr>
          <w:rFonts w:ascii="Times New Roman" w:eastAsia="Calibri" w:hAnsi="Times New Roman"/>
        </w:rPr>
        <w:t>Köbler</w:t>
      </w:r>
      <w:proofErr w:type="spellEnd"/>
      <w:r w:rsidRPr="0055195D">
        <w:rPr>
          <w:rFonts w:ascii="Times New Roman" w:eastAsia="Calibri" w:hAnsi="Times New Roman"/>
        </w:rPr>
        <w:t xml:space="preserve"> v Austria (2003) C-224/01</w:t>
      </w:r>
    </w:p>
    <w:p w14:paraId="591C7EEA" w14:textId="77777777" w:rsidR="000E308E" w:rsidRPr="0055195D" w:rsidRDefault="000E308E" w:rsidP="000E308E">
      <w:pPr>
        <w:rPr>
          <w:rFonts w:ascii="Times New Roman" w:eastAsia="Calibri" w:hAnsi="Times New Roman"/>
        </w:rPr>
      </w:pPr>
      <w:proofErr w:type="spellStart"/>
      <w:r w:rsidRPr="0055195D">
        <w:rPr>
          <w:rFonts w:ascii="Times New Roman" w:eastAsia="Calibri" w:hAnsi="Times New Roman"/>
        </w:rPr>
        <w:lastRenderedPageBreak/>
        <w:t>Marleasing</w:t>
      </w:r>
      <w:proofErr w:type="spellEnd"/>
      <w:r w:rsidRPr="0055195D">
        <w:rPr>
          <w:rFonts w:ascii="Times New Roman" w:eastAsia="Calibri" w:hAnsi="Times New Roman"/>
        </w:rPr>
        <w:t xml:space="preserve"> SA v La </w:t>
      </w:r>
      <w:proofErr w:type="spellStart"/>
      <w:r w:rsidRPr="0055195D">
        <w:rPr>
          <w:rFonts w:ascii="Times New Roman" w:eastAsia="Calibri" w:hAnsi="Times New Roman"/>
        </w:rPr>
        <w:t>Comercial</w:t>
      </w:r>
      <w:proofErr w:type="spellEnd"/>
      <w:r w:rsidRPr="0055195D">
        <w:rPr>
          <w:rFonts w:ascii="Times New Roman" w:eastAsia="Calibri" w:hAnsi="Times New Roman"/>
        </w:rPr>
        <w:t xml:space="preserve"> </w:t>
      </w:r>
      <w:proofErr w:type="spellStart"/>
      <w:r w:rsidRPr="0055195D">
        <w:rPr>
          <w:rFonts w:ascii="Times New Roman" w:eastAsia="Calibri" w:hAnsi="Times New Roman"/>
        </w:rPr>
        <w:t>Internacional</w:t>
      </w:r>
      <w:proofErr w:type="spellEnd"/>
      <w:r w:rsidRPr="0055195D">
        <w:rPr>
          <w:rFonts w:ascii="Times New Roman" w:eastAsia="Calibri" w:hAnsi="Times New Roman"/>
        </w:rPr>
        <w:t xml:space="preserve"> de </w:t>
      </w:r>
      <w:proofErr w:type="spellStart"/>
      <w:r w:rsidRPr="0055195D">
        <w:rPr>
          <w:rFonts w:ascii="Times New Roman" w:eastAsia="Calibri" w:hAnsi="Times New Roman"/>
        </w:rPr>
        <w:t>Alimentación</w:t>
      </w:r>
      <w:proofErr w:type="spellEnd"/>
      <w:r w:rsidRPr="0055195D">
        <w:rPr>
          <w:rFonts w:ascii="Times New Roman" w:eastAsia="Calibri" w:hAnsi="Times New Roman"/>
        </w:rPr>
        <w:t xml:space="preserve"> SA (Case C-106/89)</w:t>
      </w:r>
    </w:p>
    <w:p w14:paraId="353DAC34" w14:textId="77777777" w:rsidR="000E308E" w:rsidRPr="0055195D" w:rsidRDefault="000E308E" w:rsidP="000E308E">
      <w:pPr>
        <w:rPr>
          <w:rFonts w:ascii="Times New Roman" w:eastAsia="Calibri" w:hAnsi="Times New Roman"/>
          <w:bCs/>
          <w:shd w:val="clear" w:color="auto" w:fill="FFFFFF"/>
        </w:rPr>
      </w:pPr>
      <w:r w:rsidRPr="0055195D">
        <w:rPr>
          <w:rFonts w:ascii="Times New Roman" w:eastAsia="Calibri" w:hAnsi="Times New Roman"/>
          <w:bCs/>
          <w:shd w:val="clear" w:color="auto" w:fill="FFFFFF"/>
        </w:rPr>
        <w:t>Traghetti del</w:t>
      </w:r>
      <w:r w:rsidRPr="0055195D">
        <w:rPr>
          <w:rFonts w:ascii="Times New Roman" w:eastAsia="Calibri" w:hAnsi="Times New Roman"/>
          <w:shd w:val="clear" w:color="auto" w:fill="FFFFFF"/>
        </w:rPr>
        <w:t> </w:t>
      </w:r>
      <w:proofErr w:type="spellStart"/>
      <w:r w:rsidRPr="0055195D">
        <w:rPr>
          <w:rFonts w:ascii="Times New Roman" w:eastAsia="Calibri" w:hAnsi="Times New Roman"/>
          <w:shd w:val="clear" w:color="auto" w:fill="FFFFFF"/>
        </w:rPr>
        <w:t>Mediterraneo</w:t>
      </w:r>
      <w:proofErr w:type="spellEnd"/>
      <w:r w:rsidRPr="0055195D">
        <w:rPr>
          <w:rFonts w:ascii="Times New Roman" w:eastAsia="Calibri" w:hAnsi="Times New Roman"/>
          <w:shd w:val="clear" w:color="auto" w:fill="FFFFFF"/>
        </w:rPr>
        <w:t> </w:t>
      </w:r>
      <w:r w:rsidRPr="0055195D">
        <w:rPr>
          <w:rFonts w:ascii="Times New Roman" w:eastAsia="Calibri" w:hAnsi="Times New Roman"/>
          <w:bCs/>
          <w:shd w:val="clear" w:color="auto" w:fill="FFFFFF"/>
        </w:rPr>
        <w:t>v</w:t>
      </w:r>
      <w:r w:rsidRPr="0055195D">
        <w:rPr>
          <w:rFonts w:ascii="Times New Roman" w:eastAsia="Calibri" w:hAnsi="Times New Roman"/>
          <w:shd w:val="clear" w:color="auto" w:fill="FFFFFF"/>
        </w:rPr>
        <w:t>. </w:t>
      </w:r>
      <w:r w:rsidRPr="0055195D">
        <w:rPr>
          <w:rFonts w:ascii="Times New Roman" w:eastAsia="Calibri" w:hAnsi="Times New Roman"/>
          <w:bCs/>
          <w:shd w:val="clear" w:color="auto" w:fill="FFFFFF"/>
        </w:rPr>
        <w:t>Italy [2006]</w:t>
      </w:r>
    </w:p>
    <w:p w14:paraId="1A040E86" w14:textId="77777777" w:rsidR="000E308E" w:rsidRPr="0055195D" w:rsidRDefault="000E308E" w:rsidP="000E308E">
      <w:pPr>
        <w:keepNext/>
        <w:keepLines/>
        <w:spacing w:after="0" w:line="480" w:lineRule="auto"/>
        <w:outlineLvl w:val="0"/>
        <w:rPr>
          <w:rFonts w:ascii="Times New Roman" w:eastAsia="DengXian Light" w:hAnsi="Times New Roman"/>
          <w:bCs/>
          <w:lang w:val="en-GB"/>
        </w:rPr>
      </w:pPr>
      <w:r w:rsidRPr="0055195D">
        <w:rPr>
          <w:rFonts w:ascii="Times New Roman" w:eastAsia="DengXian Light" w:hAnsi="Times New Roman"/>
          <w:bCs/>
          <w:lang w:val="en-GB"/>
        </w:rPr>
        <w:t>Van Duyn v Home Office (1974) C-41/74</w:t>
      </w:r>
    </w:p>
    <w:p w14:paraId="28ADF709" w14:textId="77777777" w:rsidR="000E308E" w:rsidRPr="0055195D" w:rsidRDefault="000E308E" w:rsidP="000E308E">
      <w:pPr>
        <w:rPr>
          <w:rFonts w:ascii="Times New Roman" w:eastAsia="Calibri" w:hAnsi="Times New Roman"/>
        </w:rPr>
      </w:pPr>
      <w:r w:rsidRPr="0055195D">
        <w:rPr>
          <w:rFonts w:ascii="Times New Roman" w:eastAsia="Calibri" w:hAnsi="Times New Roman"/>
        </w:rPr>
        <w:t>Von Colson v Land Nordrhein-Westfalen Case 14/83</w:t>
      </w:r>
    </w:p>
    <w:p w14:paraId="34EACB45" w14:textId="77777777" w:rsidR="000E308E" w:rsidRPr="0055195D" w:rsidRDefault="000E308E" w:rsidP="000E308E">
      <w:pPr>
        <w:rPr>
          <w:rFonts w:ascii="Times New Roman" w:eastAsia="Calibri" w:hAnsi="Times New Roman"/>
        </w:rPr>
      </w:pPr>
      <w:r w:rsidRPr="0055195D">
        <w:rPr>
          <w:rFonts w:ascii="Times New Roman" w:eastAsia="Calibri" w:hAnsi="Times New Roman"/>
        </w:rPr>
        <w:t xml:space="preserve">Walbusch Walter Busch GmbH &amp; </w:t>
      </w:r>
      <w:proofErr w:type="spellStart"/>
      <w:r w:rsidRPr="0055195D">
        <w:rPr>
          <w:rFonts w:ascii="Times New Roman" w:eastAsia="Calibri" w:hAnsi="Times New Roman"/>
        </w:rPr>
        <w:t>Comapny</w:t>
      </w:r>
      <w:proofErr w:type="spellEnd"/>
      <w:r w:rsidRPr="0055195D">
        <w:rPr>
          <w:rFonts w:ascii="Times New Roman" w:eastAsia="Calibri" w:hAnsi="Times New Roman"/>
        </w:rPr>
        <w:t xml:space="preserve"> KG</w:t>
      </w:r>
    </w:p>
    <w:p w14:paraId="2B33EF3A" w14:textId="2E84D5FB" w:rsidR="00F504EA" w:rsidRDefault="00F504EA" w:rsidP="00F504EA">
      <w:pPr>
        <w:pStyle w:val="Heading1"/>
        <w:spacing w:before="0" w:line="480" w:lineRule="auto"/>
        <w:rPr>
          <w:rFonts w:ascii="Times New Roman" w:hAnsi="Times New Roman"/>
        </w:rPr>
      </w:pPr>
    </w:p>
    <w:sectPr w:rsidR="00F504EA" w:rsidSect="00C42F45">
      <w:headerReference w:type="default" r:id="rId13"/>
      <w:footerReference w:type="default" r:id="rId14"/>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ABC34" w14:textId="77777777" w:rsidR="0062438A" w:rsidRDefault="0062438A" w:rsidP="00DB01DD">
      <w:pPr>
        <w:spacing w:after="0" w:line="240" w:lineRule="auto"/>
      </w:pPr>
      <w:r>
        <w:separator/>
      </w:r>
    </w:p>
  </w:endnote>
  <w:endnote w:type="continuationSeparator" w:id="0">
    <w:p w14:paraId="14212BEF" w14:textId="77777777" w:rsidR="0062438A" w:rsidRDefault="0062438A"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tc>
        <w:tcPr>
          <w:tcW w:w="4686" w:type="dxa"/>
          <w:shd w:val="clear" w:color="auto" w:fill="auto"/>
          <w:vAlign w:val="center"/>
        </w:tcPr>
        <w:p w14:paraId="72E0C1DA" w14:textId="19389E46" w:rsidR="009B6E64" w:rsidRDefault="009B6E64">
          <w:pPr>
            <w:pStyle w:val="Footer"/>
            <w:rPr>
              <w:caps/>
              <w:color w:val="808080" w:themeColor="background1" w:themeShade="80"/>
              <w:sz w:val="18"/>
              <w:szCs w:val="18"/>
            </w:rPr>
          </w:pPr>
        </w:p>
      </w:tc>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DDC76" w14:textId="77777777" w:rsidR="0062438A" w:rsidRDefault="0062438A" w:rsidP="00DB01DD">
      <w:pPr>
        <w:spacing w:after="0" w:line="240" w:lineRule="auto"/>
      </w:pPr>
      <w:r>
        <w:separator/>
      </w:r>
    </w:p>
  </w:footnote>
  <w:footnote w:type="continuationSeparator" w:id="0">
    <w:p w14:paraId="37C4B621" w14:textId="77777777" w:rsidR="0062438A" w:rsidRDefault="0062438A" w:rsidP="00DB0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5BE1A" w14:textId="11C432B1" w:rsidR="00273072" w:rsidRDefault="00273072">
    <w:pPr>
      <w:pStyle w:val="Header"/>
    </w:pPr>
  </w:p>
  <w:p w14:paraId="2ED9662D" w14:textId="653196D3" w:rsidR="00273072" w:rsidRDefault="00273072">
    <w:pPr>
      <w:pStyle w:val="Header"/>
    </w:pPr>
  </w:p>
  <w:p w14:paraId="3A740B9F" w14:textId="77777777" w:rsidR="00273072" w:rsidRDefault="002730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6699713">
    <w:abstractNumId w:val="0"/>
  </w:num>
  <w:num w:numId="2" w16cid:durableId="806050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12006"/>
    <w:rsid w:val="00013B12"/>
    <w:rsid w:val="000146A4"/>
    <w:rsid w:val="00022486"/>
    <w:rsid w:val="00027D21"/>
    <w:rsid w:val="00031A0F"/>
    <w:rsid w:val="00034411"/>
    <w:rsid w:val="000430CA"/>
    <w:rsid w:val="0004718A"/>
    <w:rsid w:val="0004769A"/>
    <w:rsid w:val="0005190E"/>
    <w:rsid w:val="000528DD"/>
    <w:rsid w:val="00064CE4"/>
    <w:rsid w:val="000743AC"/>
    <w:rsid w:val="000778BB"/>
    <w:rsid w:val="00083161"/>
    <w:rsid w:val="00083FAB"/>
    <w:rsid w:val="00084688"/>
    <w:rsid w:val="000916A7"/>
    <w:rsid w:val="00093034"/>
    <w:rsid w:val="000A2FF0"/>
    <w:rsid w:val="000A4765"/>
    <w:rsid w:val="000C3DB2"/>
    <w:rsid w:val="000D16B0"/>
    <w:rsid w:val="000D3EB0"/>
    <w:rsid w:val="000D535E"/>
    <w:rsid w:val="000E308E"/>
    <w:rsid w:val="000E3ABE"/>
    <w:rsid w:val="000E6BD1"/>
    <w:rsid w:val="000F0379"/>
    <w:rsid w:val="00111452"/>
    <w:rsid w:val="00134479"/>
    <w:rsid w:val="001370F8"/>
    <w:rsid w:val="00140E1D"/>
    <w:rsid w:val="00144C76"/>
    <w:rsid w:val="00152884"/>
    <w:rsid w:val="001700EC"/>
    <w:rsid w:val="00170671"/>
    <w:rsid w:val="00172EC1"/>
    <w:rsid w:val="001769CD"/>
    <w:rsid w:val="00181629"/>
    <w:rsid w:val="0018522C"/>
    <w:rsid w:val="001B04D4"/>
    <w:rsid w:val="001B3200"/>
    <w:rsid w:val="001B5242"/>
    <w:rsid w:val="001D69F0"/>
    <w:rsid w:val="001E5747"/>
    <w:rsid w:val="001F6F81"/>
    <w:rsid w:val="002164C8"/>
    <w:rsid w:val="00222017"/>
    <w:rsid w:val="002254E9"/>
    <w:rsid w:val="00227F68"/>
    <w:rsid w:val="002316B8"/>
    <w:rsid w:val="002333FA"/>
    <w:rsid w:val="00233F97"/>
    <w:rsid w:val="00262544"/>
    <w:rsid w:val="00273072"/>
    <w:rsid w:val="00283F9E"/>
    <w:rsid w:val="00290474"/>
    <w:rsid w:val="0029713F"/>
    <w:rsid w:val="002A0FA0"/>
    <w:rsid w:val="002A4617"/>
    <w:rsid w:val="002B1F8F"/>
    <w:rsid w:val="002D7A25"/>
    <w:rsid w:val="002E00EA"/>
    <w:rsid w:val="002E5751"/>
    <w:rsid w:val="002F1DEB"/>
    <w:rsid w:val="002F23A5"/>
    <w:rsid w:val="002F30D7"/>
    <w:rsid w:val="002F3932"/>
    <w:rsid w:val="002F3E8D"/>
    <w:rsid w:val="00317001"/>
    <w:rsid w:val="00337937"/>
    <w:rsid w:val="00340E35"/>
    <w:rsid w:val="00344D81"/>
    <w:rsid w:val="00354C42"/>
    <w:rsid w:val="00357783"/>
    <w:rsid w:val="0038159D"/>
    <w:rsid w:val="00384348"/>
    <w:rsid w:val="00386449"/>
    <w:rsid w:val="00386A60"/>
    <w:rsid w:val="003874B8"/>
    <w:rsid w:val="0039520B"/>
    <w:rsid w:val="003959FD"/>
    <w:rsid w:val="00396E35"/>
    <w:rsid w:val="003A05EC"/>
    <w:rsid w:val="003A22A4"/>
    <w:rsid w:val="003A5F51"/>
    <w:rsid w:val="003A6D1E"/>
    <w:rsid w:val="003B1303"/>
    <w:rsid w:val="003C2366"/>
    <w:rsid w:val="003D20D9"/>
    <w:rsid w:val="003D4A7A"/>
    <w:rsid w:val="003E2221"/>
    <w:rsid w:val="003E2B7B"/>
    <w:rsid w:val="003F1DCF"/>
    <w:rsid w:val="003F3263"/>
    <w:rsid w:val="0041253E"/>
    <w:rsid w:val="00422FEB"/>
    <w:rsid w:val="004310D7"/>
    <w:rsid w:val="00433B4C"/>
    <w:rsid w:val="00436458"/>
    <w:rsid w:val="0044098F"/>
    <w:rsid w:val="00441A63"/>
    <w:rsid w:val="00457FC2"/>
    <w:rsid w:val="00474757"/>
    <w:rsid w:val="004764D2"/>
    <w:rsid w:val="00482CCC"/>
    <w:rsid w:val="00494D1B"/>
    <w:rsid w:val="00496805"/>
    <w:rsid w:val="004A72F6"/>
    <w:rsid w:val="004B1DDE"/>
    <w:rsid w:val="004B21FD"/>
    <w:rsid w:val="004C79BA"/>
    <w:rsid w:val="004D35E1"/>
    <w:rsid w:val="004E75CF"/>
    <w:rsid w:val="004F0757"/>
    <w:rsid w:val="004F50FD"/>
    <w:rsid w:val="00507B96"/>
    <w:rsid w:val="00514B9F"/>
    <w:rsid w:val="005222F4"/>
    <w:rsid w:val="00540D2F"/>
    <w:rsid w:val="0055195D"/>
    <w:rsid w:val="00555EA2"/>
    <w:rsid w:val="00566FB6"/>
    <w:rsid w:val="00572980"/>
    <w:rsid w:val="0059198C"/>
    <w:rsid w:val="00592996"/>
    <w:rsid w:val="005A218F"/>
    <w:rsid w:val="005A3A55"/>
    <w:rsid w:val="005B2D0E"/>
    <w:rsid w:val="005B4473"/>
    <w:rsid w:val="005C3ED3"/>
    <w:rsid w:val="005D3DCB"/>
    <w:rsid w:val="005D52D2"/>
    <w:rsid w:val="005E4253"/>
    <w:rsid w:val="006028E6"/>
    <w:rsid w:val="0062438A"/>
    <w:rsid w:val="00630C99"/>
    <w:rsid w:val="00636E0A"/>
    <w:rsid w:val="00640EF0"/>
    <w:rsid w:val="0064333B"/>
    <w:rsid w:val="006442D2"/>
    <w:rsid w:val="00660D1B"/>
    <w:rsid w:val="006712BC"/>
    <w:rsid w:val="00677BB4"/>
    <w:rsid w:val="00677F43"/>
    <w:rsid w:val="006816AC"/>
    <w:rsid w:val="006851C8"/>
    <w:rsid w:val="00687A8E"/>
    <w:rsid w:val="00692CCC"/>
    <w:rsid w:val="0069401F"/>
    <w:rsid w:val="006A384E"/>
    <w:rsid w:val="006A44D8"/>
    <w:rsid w:val="006C6F7D"/>
    <w:rsid w:val="006C7347"/>
    <w:rsid w:val="006E2178"/>
    <w:rsid w:val="00712757"/>
    <w:rsid w:val="00736903"/>
    <w:rsid w:val="007417C5"/>
    <w:rsid w:val="0076285F"/>
    <w:rsid w:val="00774DB2"/>
    <w:rsid w:val="00774F34"/>
    <w:rsid w:val="0077556E"/>
    <w:rsid w:val="00785E6A"/>
    <w:rsid w:val="00795AC8"/>
    <w:rsid w:val="00797402"/>
    <w:rsid w:val="007B2C54"/>
    <w:rsid w:val="007B7AE7"/>
    <w:rsid w:val="007D7E7F"/>
    <w:rsid w:val="007E44F6"/>
    <w:rsid w:val="007E5D62"/>
    <w:rsid w:val="007F0677"/>
    <w:rsid w:val="007F0E65"/>
    <w:rsid w:val="007F286D"/>
    <w:rsid w:val="007F7AA3"/>
    <w:rsid w:val="00805885"/>
    <w:rsid w:val="00821867"/>
    <w:rsid w:val="008329E0"/>
    <w:rsid w:val="00835A6A"/>
    <w:rsid w:val="00844DF0"/>
    <w:rsid w:val="008457F8"/>
    <w:rsid w:val="008527E0"/>
    <w:rsid w:val="00853F19"/>
    <w:rsid w:val="0085727B"/>
    <w:rsid w:val="0086637C"/>
    <w:rsid w:val="00867B96"/>
    <w:rsid w:val="008716CE"/>
    <w:rsid w:val="00874AAA"/>
    <w:rsid w:val="00875D11"/>
    <w:rsid w:val="008774A0"/>
    <w:rsid w:val="008968C0"/>
    <w:rsid w:val="008A352F"/>
    <w:rsid w:val="008A6B7F"/>
    <w:rsid w:val="008B5F87"/>
    <w:rsid w:val="008D7EE4"/>
    <w:rsid w:val="008E0664"/>
    <w:rsid w:val="008F571C"/>
    <w:rsid w:val="008F5CB7"/>
    <w:rsid w:val="00903B6B"/>
    <w:rsid w:val="00906362"/>
    <w:rsid w:val="00936BDD"/>
    <w:rsid w:val="00937642"/>
    <w:rsid w:val="009837BF"/>
    <w:rsid w:val="009A7ABE"/>
    <w:rsid w:val="009B6BB9"/>
    <w:rsid w:val="009B6E64"/>
    <w:rsid w:val="009B6F56"/>
    <w:rsid w:val="009F2442"/>
    <w:rsid w:val="00A02A47"/>
    <w:rsid w:val="00A10B59"/>
    <w:rsid w:val="00A11699"/>
    <w:rsid w:val="00A12942"/>
    <w:rsid w:val="00A14BAC"/>
    <w:rsid w:val="00A2136F"/>
    <w:rsid w:val="00A263DC"/>
    <w:rsid w:val="00A26BAE"/>
    <w:rsid w:val="00A364ED"/>
    <w:rsid w:val="00A4166C"/>
    <w:rsid w:val="00A426D8"/>
    <w:rsid w:val="00A46C17"/>
    <w:rsid w:val="00A46F9E"/>
    <w:rsid w:val="00A5080F"/>
    <w:rsid w:val="00A61245"/>
    <w:rsid w:val="00A64075"/>
    <w:rsid w:val="00A67040"/>
    <w:rsid w:val="00A67DB2"/>
    <w:rsid w:val="00A75668"/>
    <w:rsid w:val="00A769A0"/>
    <w:rsid w:val="00A935F0"/>
    <w:rsid w:val="00A96739"/>
    <w:rsid w:val="00AA2558"/>
    <w:rsid w:val="00AA3DB7"/>
    <w:rsid w:val="00AB6D0E"/>
    <w:rsid w:val="00AC0CA2"/>
    <w:rsid w:val="00AC1BAA"/>
    <w:rsid w:val="00AC79F4"/>
    <w:rsid w:val="00AD1080"/>
    <w:rsid w:val="00AD62FC"/>
    <w:rsid w:val="00AD7F83"/>
    <w:rsid w:val="00AE464C"/>
    <w:rsid w:val="00AF795D"/>
    <w:rsid w:val="00B15E77"/>
    <w:rsid w:val="00B168E9"/>
    <w:rsid w:val="00B2346E"/>
    <w:rsid w:val="00B24969"/>
    <w:rsid w:val="00B31938"/>
    <w:rsid w:val="00B471A3"/>
    <w:rsid w:val="00B613FA"/>
    <w:rsid w:val="00B66046"/>
    <w:rsid w:val="00B71CA4"/>
    <w:rsid w:val="00B74123"/>
    <w:rsid w:val="00B870F5"/>
    <w:rsid w:val="00B90362"/>
    <w:rsid w:val="00BA4064"/>
    <w:rsid w:val="00BA5A40"/>
    <w:rsid w:val="00BA7600"/>
    <w:rsid w:val="00BB2583"/>
    <w:rsid w:val="00BD25D2"/>
    <w:rsid w:val="00BD582D"/>
    <w:rsid w:val="00BF791D"/>
    <w:rsid w:val="00C0077A"/>
    <w:rsid w:val="00C06915"/>
    <w:rsid w:val="00C17269"/>
    <w:rsid w:val="00C26745"/>
    <w:rsid w:val="00C312A9"/>
    <w:rsid w:val="00C372C9"/>
    <w:rsid w:val="00C4161C"/>
    <w:rsid w:val="00C41EB7"/>
    <w:rsid w:val="00C42F45"/>
    <w:rsid w:val="00C533EF"/>
    <w:rsid w:val="00C54742"/>
    <w:rsid w:val="00C5474A"/>
    <w:rsid w:val="00C62EB0"/>
    <w:rsid w:val="00C71A70"/>
    <w:rsid w:val="00C7309A"/>
    <w:rsid w:val="00C7696A"/>
    <w:rsid w:val="00C769FC"/>
    <w:rsid w:val="00C86EB4"/>
    <w:rsid w:val="00C86F04"/>
    <w:rsid w:val="00C8789D"/>
    <w:rsid w:val="00C903A3"/>
    <w:rsid w:val="00C9074D"/>
    <w:rsid w:val="00CA3923"/>
    <w:rsid w:val="00CD420E"/>
    <w:rsid w:val="00CE1EAE"/>
    <w:rsid w:val="00CF7C10"/>
    <w:rsid w:val="00D12590"/>
    <w:rsid w:val="00D454AB"/>
    <w:rsid w:val="00D47C9A"/>
    <w:rsid w:val="00D50247"/>
    <w:rsid w:val="00D55CCF"/>
    <w:rsid w:val="00D81126"/>
    <w:rsid w:val="00D8370C"/>
    <w:rsid w:val="00D90BB3"/>
    <w:rsid w:val="00D94903"/>
    <w:rsid w:val="00DA4D7C"/>
    <w:rsid w:val="00DB01DD"/>
    <w:rsid w:val="00DC19C3"/>
    <w:rsid w:val="00DC6CB5"/>
    <w:rsid w:val="00DD270E"/>
    <w:rsid w:val="00DD3F16"/>
    <w:rsid w:val="00DD6F9A"/>
    <w:rsid w:val="00DE27EB"/>
    <w:rsid w:val="00DE3C41"/>
    <w:rsid w:val="00DE4A19"/>
    <w:rsid w:val="00DF3CC2"/>
    <w:rsid w:val="00DF4F5B"/>
    <w:rsid w:val="00E02C08"/>
    <w:rsid w:val="00E02D0C"/>
    <w:rsid w:val="00E2659D"/>
    <w:rsid w:val="00E33EF1"/>
    <w:rsid w:val="00E42CF1"/>
    <w:rsid w:val="00E47AC6"/>
    <w:rsid w:val="00E505EF"/>
    <w:rsid w:val="00E65C17"/>
    <w:rsid w:val="00E65F3D"/>
    <w:rsid w:val="00E67864"/>
    <w:rsid w:val="00E7340D"/>
    <w:rsid w:val="00E8433B"/>
    <w:rsid w:val="00E8670B"/>
    <w:rsid w:val="00E87AF5"/>
    <w:rsid w:val="00E87F7D"/>
    <w:rsid w:val="00E95074"/>
    <w:rsid w:val="00EB140E"/>
    <w:rsid w:val="00EB28DB"/>
    <w:rsid w:val="00EB4696"/>
    <w:rsid w:val="00EB5204"/>
    <w:rsid w:val="00EB68A1"/>
    <w:rsid w:val="00EC2EA9"/>
    <w:rsid w:val="00EC395F"/>
    <w:rsid w:val="00EE115C"/>
    <w:rsid w:val="00EE3A13"/>
    <w:rsid w:val="00EF3EB3"/>
    <w:rsid w:val="00F15A55"/>
    <w:rsid w:val="00F504EA"/>
    <w:rsid w:val="00F53460"/>
    <w:rsid w:val="00F5500E"/>
    <w:rsid w:val="00F6053E"/>
    <w:rsid w:val="00F6210D"/>
    <w:rsid w:val="00F710F0"/>
    <w:rsid w:val="00F724F0"/>
    <w:rsid w:val="00F776E3"/>
    <w:rsid w:val="00F875E4"/>
    <w:rsid w:val="00F912B9"/>
    <w:rsid w:val="00FB340A"/>
    <w:rsid w:val="00FC115C"/>
    <w:rsid w:val="00FC20D3"/>
    <w:rsid w:val="00FC2EA0"/>
    <w:rsid w:val="00FE0491"/>
    <w:rsid w:val="00FE2EE5"/>
    <w:rsid w:val="00FE3AAC"/>
    <w:rsid w:val="00FF0460"/>
    <w:rsid w:val="00FF4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uiPriority w:val="20"/>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 w:type="paragraph" w:styleId="TOCHeading">
    <w:name w:val="TOC Heading"/>
    <w:basedOn w:val="Heading1"/>
    <w:next w:val="Normal"/>
    <w:uiPriority w:val="39"/>
    <w:semiHidden/>
    <w:unhideWhenUsed/>
    <w:qFormat/>
    <w:rsid w:val="00DD3F16"/>
    <w:pPr>
      <w:spacing w:before="240"/>
      <w:outlineLvl w:val="9"/>
    </w:pPr>
    <w:rPr>
      <w:b w:val="0"/>
      <w:bCs w:val="0"/>
      <w:sz w:val="32"/>
      <w:szCs w:val="32"/>
      <w:lang w:val="en-US"/>
    </w:rPr>
  </w:style>
  <w:style w:type="paragraph" w:styleId="TOC2">
    <w:name w:val="toc 2"/>
    <w:basedOn w:val="Normal"/>
    <w:next w:val="Normal"/>
    <w:autoRedefine/>
    <w:uiPriority w:val="39"/>
    <w:unhideWhenUsed/>
    <w:rsid w:val="00DD3F16"/>
    <w:pPr>
      <w:spacing w:after="100"/>
      <w:ind w:left="220"/>
    </w:pPr>
    <w:rPr>
      <w:rFonts w:asciiTheme="minorHAnsi" w:hAnsiTheme="minorHAnsi" w:cstheme="minorBidi"/>
      <w:sz w:val="22"/>
      <w:szCs w:val="22"/>
      <w:lang w:val="en-IN"/>
    </w:rPr>
  </w:style>
  <w:style w:type="paragraph" w:styleId="FootnoteText">
    <w:name w:val="footnote text"/>
    <w:basedOn w:val="Normal"/>
    <w:link w:val="FootnoteTextChar"/>
    <w:uiPriority w:val="99"/>
    <w:semiHidden/>
    <w:unhideWhenUsed/>
    <w:rsid w:val="00172EC1"/>
    <w:pPr>
      <w:spacing w:after="0" w:line="240" w:lineRule="auto"/>
    </w:pPr>
    <w:rPr>
      <w:rFonts w:asciiTheme="minorHAnsi" w:hAnsiTheme="minorHAnsi" w:cstheme="minorBidi"/>
      <w:sz w:val="20"/>
      <w:szCs w:val="20"/>
      <w:lang w:val="en-GB"/>
    </w:rPr>
  </w:style>
  <w:style w:type="character" w:customStyle="1" w:styleId="FootnoteTextChar">
    <w:name w:val="Footnote Text Char"/>
    <w:basedOn w:val="DefaultParagraphFont"/>
    <w:link w:val="FootnoteText"/>
    <w:uiPriority w:val="99"/>
    <w:semiHidden/>
    <w:rsid w:val="00172EC1"/>
    <w:rPr>
      <w:sz w:val="20"/>
      <w:szCs w:val="20"/>
    </w:rPr>
  </w:style>
  <w:style w:type="character" w:styleId="FootnoteReference">
    <w:name w:val="footnote reference"/>
    <w:basedOn w:val="DefaultParagraphFont"/>
    <w:uiPriority w:val="99"/>
    <w:semiHidden/>
    <w:unhideWhenUsed/>
    <w:rsid w:val="00172EC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282537449">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about:blan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13</Pages>
  <Words>2683</Words>
  <Characters>15295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European Law Assignment: 2</vt:lpstr>
    </vt:vector>
  </TitlesOfParts>
  <Company/>
  <LinksUpToDate>false</LinksUpToDate>
  <CharactersWithSpaces>17943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European Law Assignment: 2</dc:title>
  <dc:subject>European Law Assignment – 2: Direct Effect, Indirect Effect and Member State Liability</dc:subject>
  <dc:creator>MD R Ahmed</dc:creator>
  <cp:keywords/>
  <dc:description/>
  <cp:lastModifiedBy>Md Roshid Ahmed (1922561)</cp:lastModifiedBy>
  <cp:revision>312</cp:revision>
  <cp:lastPrinted>2021-12-06T23:55:00Z</cp:lastPrinted>
  <dcterms:created xsi:type="dcterms:W3CDTF">2021-01-04T14:46:00Z</dcterms:created>
  <dcterms:modified xsi:type="dcterms:W3CDTF">2022-05-05T09:57:00Z</dcterms:modified>
</cp:coreProperties>
</file>