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6BA16" w14:textId="0CAD4E1D" w:rsidR="00A271AB" w:rsidRPr="00AB0DF7" w:rsidRDefault="00D36DAD" w:rsidP="00A271AB">
      <w:pPr>
        <w:jc w:val="center"/>
        <w:rPr>
          <w:rFonts w:ascii="Arial" w:hAnsi="Arial" w:cs="Arial"/>
          <w:b/>
          <w:bCs/>
          <w:kern w:val="0"/>
          <w:sz w:val="26"/>
          <w:szCs w:val="26"/>
        </w:rPr>
      </w:pPr>
      <w:r w:rsidRPr="006E7124">
        <w:rPr>
          <w:noProof/>
        </w:rPr>
        <w:drawing>
          <wp:anchor distT="0" distB="0" distL="114300" distR="114300" simplePos="0" relativeHeight="251658240" behindDoc="0" locked="0" layoutInCell="1" allowOverlap="1" wp14:anchorId="6F9A7531" wp14:editId="379163EF">
            <wp:simplePos x="0" y="0"/>
            <wp:positionH relativeFrom="column">
              <wp:posOffset>0</wp:posOffset>
            </wp:positionH>
            <wp:positionV relativeFrom="paragraph">
              <wp:posOffset>324485</wp:posOffset>
            </wp:positionV>
            <wp:extent cx="1719580" cy="685800"/>
            <wp:effectExtent l="0" t="0" r="0" b="0"/>
            <wp:wrapTopAndBottom/>
            <wp:docPr id="113393048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930486" name="Picture 1" descr="A black background with white text&#10;&#10;AI-generated content may be incorrect."/>
                    <pic:cNvPicPr/>
                  </pic:nvPicPr>
                  <pic:blipFill>
                    <a:blip r:embed="rId7"/>
                    <a:stretch>
                      <a:fillRect/>
                    </a:stretch>
                  </pic:blipFill>
                  <pic:spPr>
                    <a:xfrm>
                      <a:off x="0" y="0"/>
                      <a:ext cx="1719580" cy="685800"/>
                    </a:xfrm>
                    <a:prstGeom prst="rect">
                      <a:avLst/>
                    </a:prstGeom>
                  </pic:spPr>
                </pic:pic>
              </a:graphicData>
            </a:graphic>
            <wp14:sizeRelH relativeFrom="margin">
              <wp14:pctWidth>0</wp14:pctWidth>
            </wp14:sizeRelH>
            <wp14:sizeRelV relativeFrom="margin">
              <wp14:pctHeight>0</wp14:pctHeight>
            </wp14:sizeRelV>
          </wp:anchor>
        </w:drawing>
      </w:r>
    </w:p>
    <w:p w14:paraId="5502A3F3" w14:textId="77777777" w:rsidR="00A271AB" w:rsidRPr="00AB0DF7" w:rsidRDefault="00A271AB" w:rsidP="00A271AB">
      <w:pPr>
        <w:jc w:val="center"/>
        <w:rPr>
          <w:rFonts w:ascii="Arial" w:hAnsi="Arial" w:cs="Arial"/>
          <w:b/>
          <w:bCs/>
          <w:kern w:val="0"/>
          <w:sz w:val="26"/>
          <w:szCs w:val="26"/>
        </w:rPr>
      </w:pPr>
    </w:p>
    <w:p w14:paraId="1CD68449" w14:textId="77777777" w:rsidR="00A271AB" w:rsidRPr="00AB0DF7" w:rsidRDefault="00A271AB" w:rsidP="00A271AB">
      <w:pPr>
        <w:jc w:val="center"/>
        <w:rPr>
          <w:rFonts w:ascii="Arial" w:hAnsi="Arial" w:cs="Arial"/>
          <w:b/>
          <w:bCs/>
          <w:kern w:val="0"/>
          <w:sz w:val="26"/>
          <w:szCs w:val="26"/>
        </w:rPr>
      </w:pPr>
    </w:p>
    <w:p w14:paraId="76B72DF7" w14:textId="2361E949" w:rsidR="00A271AB" w:rsidRPr="00AB0DF7" w:rsidRDefault="00855D45" w:rsidP="00A271AB">
      <w:pPr>
        <w:jc w:val="center"/>
        <w:rPr>
          <w:rFonts w:ascii="Arial" w:hAnsi="Arial" w:cs="Arial"/>
          <w:b/>
          <w:bCs/>
          <w:kern w:val="0"/>
          <w:sz w:val="26"/>
          <w:szCs w:val="26"/>
        </w:rPr>
      </w:pPr>
      <w:r>
        <w:rPr>
          <w:rFonts w:ascii="Arial" w:hAnsi="Arial" w:cs="Arial"/>
          <w:b/>
          <w:bCs/>
          <w:kern w:val="0"/>
          <w:sz w:val="26"/>
          <w:szCs w:val="26"/>
        </w:rPr>
        <w:t>University Trinity Saint David</w:t>
      </w:r>
    </w:p>
    <w:p w14:paraId="6F5FFCFB" w14:textId="77777777" w:rsidR="00A271AB" w:rsidRPr="00AB0DF7" w:rsidRDefault="00A271AB" w:rsidP="00A271AB">
      <w:pPr>
        <w:jc w:val="center"/>
        <w:rPr>
          <w:rFonts w:ascii="Arial" w:hAnsi="Arial" w:cs="Arial"/>
          <w:b/>
          <w:bCs/>
          <w:kern w:val="0"/>
          <w:sz w:val="26"/>
          <w:szCs w:val="26"/>
        </w:rPr>
      </w:pPr>
    </w:p>
    <w:p w14:paraId="50B1A9AE" w14:textId="77777777" w:rsidR="00A271AB" w:rsidRPr="00AB0DF7" w:rsidRDefault="00A271AB" w:rsidP="00A271AB">
      <w:pPr>
        <w:jc w:val="center"/>
        <w:rPr>
          <w:rFonts w:ascii="Arial" w:hAnsi="Arial" w:cs="Arial"/>
          <w:b/>
          <w:bCs/>
          <w:kern w:val="0"/>
          <w:sz w:val="26"/>
          <w:szCs w:val="26"/>
        </w:rPr>
      </w:pPr>
    </w:p>
    <w:p w14:paraId="6215CE3F" w14:textId="27BEC45D" w:rsidR="00936CAB" w:rsidRPr="00AB0DF7" w:rsidRDefault="00A271AB" w:rsidP="00A271AB">
      <w:pPr>
        <w:jc w:val="center"/>
        <w:rPr>
          <w:rFonts w:ascii="Arial" w:hAnsi="Arial" w:cs="Arial"/>
          <w:b/>
          <w:bCs/>
          <w:kern w:val="0"/>
          <w:sz w:val="26"/>
          <w:szCs w:val="26"/>
        </w:rPr>
      </w:pPr>
      <w:r w:rsidRPr="00AB0DF7">
        <w:rPr>
          <w:rFonts w:ascii="Arial" w:hAnsi="Arial" w:cs="Arial"/>
          <w:b/>
          <w:bCs/>
          <w:kern w:val="0"/>
          <w:sz w:val="26"/>
          <w:szCs w:val="26"/>
        </w:rPr>
        <w:t>Barriers to Cryptocurrency adoption: A Critical Analysis of Trust, Perceived Risk,</w:t>
      </w:r>
      <w:r w:rsidR="00855D45">
        <w:rPr>
          <w:rFonts w:ascii="Arial" w:hAnsi="Arial" w:cs="Arial"/>
          <w:b/>
          <w:bCs/>
          <w:kern w:val="0"/>
          <w:sz w:val="26"/>
          <w:szCs w:val="26"/>
        </w:rPr>
        <w:t xml:space="preserve"> &amp;</w:t>
      </w:r>
      <w:r w:rsidRPr="00AB0DF7">
        <w:rPr>
          <w:rFonts w:ascii="Arial" w:hAnsi="Arial" w:cs="Arial"/>
          <w:b/>
          <w:bCs/>
          <w:kern w:val="0"/>
          <w:sz w:val="26"/>
          <w:szCs w:val="26"/>
        </w:rPr>
        <w:t xml:space="preserve"> Financial Literacy in Digital Finance</w:t>
      </w:r>
    </w:p>
    <w:p w14:paraId="4F3DF8FB" w14:textId="77777777" w:rsidR="00A271AB" w:rsidRPr="00AB0DF7" w:rsidRDefault="00A271AB" w:rsidP="00A271AB">
      <w:pPr>
        <w:jc w:val="center"/>
        <w:rPr>
          <w:rFonts w:ascii="Arial" w:hAnsi="Arial" w:cs="Arial"/>
          <w:b/>
          <w:bCs/>
          <w:kern w:val="0"/>
          <w:sz w:val="26"/>
          <w:szCs w:val="26"/>
        </w:rPr>
      </w:pPr>
    </w:p>
    <w:p w14:paraId="5CF99F01" w14:textId="77777777" w:rsidR="00A271AB" w:rsidRPr="00AB0DF7" w:rsidRDefault="00A271AB" w:rsidP="00A271AB">
      <w:pPr>
        <w:jc w:val="center"/>
        <w:rPr>
          <w:rFonts w:ascii="Arial" w:hAnsi="Arial" w:cs="Arial"/>
          <w:b/>
          <w:bCs/>
          <w:kern w:val="0"/>
          <w:sz w:val="26"/>
          <w:szCs w:val="26"/>
        </w:rPr>
      </w:pPr>
    </w:p>
    <w:p w14:paraId="7BFA51C2" w14:textId="118583F4" w:rsidR="00A271AB" w:rsidRPr="00AB0DF7" w:rsidRDefault="00A271AB" w:rsidP="00A271AB">
      <w:pPr>
        <w:jc w:val="center"/>
        <w:rPr>
          <w:rFonts w:ascii="Arial" w:hAnsi="Arial" w:cs="Arial"/>
          <w:b/>
          <w:bCs/>
          <w:kern w:val="0"/>
          <w:sz w:val="26"/>
          <w:szCs w:val="26"/>
        </w:rPr>
      </w:pPr>
      <w:r w:rsidRPr="00AB0DF7">
        <w:rPr>
          <w:rFonts w:ascii="Arial" w:hAnsi="Arial" w:cs="Arial"/>
          <w:b/>
          <w:bCs/>
          <w:kern w:val="0"/>
          <w:sz w:val="26"/>
          <w:szCs w:val="26"/>
        </w:rPr>
        <w:t>Student: Helen Rezai</w:t>
      </w:r>
    </w:p>
    <w:p w14:paraId="36772152" w14:textId="5DBDD609" w:rsidR="00A271AB" w:rsidRDefault="00A271AB" w:rsidP="00A271AB">
      <w:pPr>
        <w:jc w:val="center"/>
        <w:rPr>
          <w:rFonts w:ascii="Arial" w:hAnsi="Arial" w:cs="Arial"/>
          <w:b/>
          <w:bCs/>
          <w:kern w:val="0"/>
          <w:sz w:val="26"/>
          <w:szCs w:val="26"/>
        </w:rPr>
      </w:pPr>
      <w:r w:rsidRPr="00AB0DF7">
        <w:rPr>
          <w:rFonts w:ascii="Arial" w:hAnsi="Arial" w:cs="Arial"/>
          <w:b/>
          <w:bCs/>
          <w:kern w:val="0"/>
          <w:sz w:val="26"/>
          <w:szCs w:val="26"/>
        </w:rPr>
        <w:t>Student number: 2317544</w:t>
      </w:r>
    </w:p>
    <w:p w14:paraId="50AD0F96" w14:textId="77777777" w:rsidR="00855D45" w:rsidRPr="00AB0DF7" w:rsidRDefault="00855D45" w:rsidP="00A271AB">
      <w:pPr>
        <w:jc w:val="center"/>
        <w:rPr>
          <w:rFonts w:ascii="Arial" w:hAnsi="Arial" w:cs="Arial"/>
          <w:b/>
          <w:bCs/>
          <w:kern w:val="0"/>
          <w:sz w:val="26"/>
          <w:szCs w:val="26"/>
        </w:rPr>
      </w:pPr>
    </w:p>
    <w:p w14:paraId="790F8BB9" w14:textId="768CCF41" w:rsidR="00A271AB" w:rsidRPr="00AB0DF7" w:rsidRDefault="00A271AB" w:rsidP="00A271AB">
      <w:pPr>
        <w:jc w:val="center"/>
        <w:rPr>
          <w:rFonts w:ascii="Arial" w:hAnsi="Arial" w:cs="Arial"/>
          <w:b/>
          <w:bCs/>
          <w:kern w:val="0"/>
          <w:sz w:val="26"/>
          <w:szCs w:val="26"/>
        </w:rPr>
      </w:pPr>
      <w:r w:rsidRPr="00AB0DF7">
        <w:rPr>
          <w:rFonts w:ascii="Arial" w:hAnsi="Arial" w:cs="Arial"/>
          <w:b/>
          <w:bCs/>
          <w:kern w:val="0"/>
          <w:sz w:val="26"/>
          <w:szCs w:val="26"/>
        </w:rPr>
        <w:t>Module Title: Business Research Methods</w:t>
      </w:r>
    </w:p>
    <w:p w14:paraId="4D14FCAE" w14:textId="0E161B68" w:rsidR="00A271AB" w:rsidRDefault="00A271AB" w:rsidP="00A271AB">
      <w:pPr>
        <w:jc w:val="center"/>
        <w:rPr>
          <w:rFonts w:ascii="Arial" w:hAnsi="Arial" w:cs="Arial"/>
          <w:b/>
          <w:bCs/>
          <w:kern w:val="0"/>
          <w:sz w:val="26"/>
          <w:szCs w:val="26"/>
        </w:rPr>
      </w:pPr>
      <w:r w:rsidRPr="00AB0DF7">
        <w:rPr>
          <w:rFonts w:ascii="Arial" w:hAnsi="Arial" w:cs="Arial"/>
          <w:b/>
          <w:bCs/>
          <w:kern w:val="0"/>
          <w:sz w:val="26"/>
          <w:szCs w:val="26"/>
        </w:rPr>
        <w:t xml:space="preserve">Module </w:t>
      </w:r>
      <w:r w:rsidR="00DB440B" w:rsidRPr="00AB0DF7">
        <w:rPr>
          <w:rFonts w:ascii="Arial" w:hAnsi="Arial" w:cs="Arial"/>
          <w:b/>
          <w:bCs/>
          <w:kern w:val="0"/>
          <w:sz w:val="26"/>
          <w:szCs w:val="26"/>
        </w:rPr>
        <w:t>code: LCLM</w:t>
      </w:r>
      <w:r w:rsidRPr="00AB0DF7">
        <w:rPr>
          <w:rFonts w:ascii="Arial" w:hAnsi="Arial" w:cs="Arial"/>
          <w:b/>
          <w:bCs/>
          <w:kern w:val="0"/>
          <w:sz w:val="26"/>
          <w:szCs w:val="26"/>
        </w:rPr>
        <w:t>6004</w:t>
      </w:r>
    </w:p>
    <w:p w14:paraId="016F3205" w14:textId="77777777" w:rsidR="00855D45" w:rsidRPr="00AB0DF7" w:rsidRDefault="00855D45" w:rsidP="00A271AB">
      <w:pPr>
        <w:jc w:val="center"/>
        <w:rPr>
          <w:rFonts w:ascii="Arial" w:hAnsi="Arial" w:cs="Arial"/>
          <w:b/>
          <w:bCs/>
          <w:kern w:val="0"/>
          <w:sz w:val="26"/>
          <w:szCs w:val="26"/>
        </w:rPr>
      </w:pPr>
    </w:p>
    <w:p w14:paraId="2722B933" w14:textId="34171C62" w:rsidR="00A271AB" w:rsidRPr="00AB0DF7" w:rsidRDefault="00A271AB" w:rsidP="00A271AB">
      <w:pPr>
        <w:jc w:val="center"/>
        <w:rPr>
          <w:rFonts w:ascii="Arial" w:hAnsi="Arial" w:cs="Arial"/>
          <w:b/>
          <w:bCs/>
          <w:kern w:val="0"/>
          <w:sz w:val="26"/>
          <w:szCs w:val="26"/>
        </w:rPr>
      </w:pPr>
      <w:r w:rsidRPr="00AB0DF7">
        <w:rPr>
          <w:rFonts w:ascii="Arial" w:hAnsi="Arial" w:cs="Arial"/>
          <w:b/>
          <w:bCs/>
          <w:kern w:val="0"/>
          <w:sz w:val="26"/>
          <w:szCs w:val="26"/>
        </w:rPr>
        <w:t>Assignment title: component one: business research proposal</w:t>
      </w:r>
    </w:p>
    <w:p w14:paraId="63094FF2" w14:textId="11B1D5D7" w:rsidR="00A271AB" w:rsidRDefault="00A271AB" w:rsidP="00A271AB">
      <w:pPr>
        <w:jc w:val="center"/>
        <w:rPr>
          <w:rFonts w:ascii="Arial" w:hAnsi="Arial" w:cs="Arial"/>
          <w:b/>
          <w:bCs/>
          <w:kern w:val="0"/>
          <w:sz w:val="26"/>
          <w:szCs w:val="26"/>
        </w:rPr>
      </w:pPr>
      <w:r w:rsidRPr="00AB0DF7">
        <w:rPr>
          <w:rFonts w:ascii="Arial" w:hAnsi="Arial" w:cs="Arial"/>
          <w:b/>
          <w:bCs/>
          <w:kern w:val="0"/>
          <w:sz w:val="26"/>
          <w:szCs w:val="26"/>
        </w:rPr>
        <w:t>Lecturer: Akshay Narayanan</w:t>
      </w:r>
    </w:p>
    <w:p w14:paraId="5DB4E6BD" w14:textId="77777777" w:rsidR="00855D45" w:rsidRPr="00AB0DF7" w:rsidRDefault="00855D45" w:rsidP="00A271AB">
      <w:pPr>
        <w:jc w:val="center"/>
        <w:rPr>
          <w:rFonts w:ascii="Arial" w:hAnsi="Arial" w:cs="Arial"/>
          <w:b/>
          <w:bCs/>
          <w:kern w:val="0"/>
          <w:sz w:val="26"/>
          <w:szCs w:val="26"/>
        </w:rPr>
      </w:pPr>
    </w:p>
    <w:p w14:paraId="747AC1A1" w14:textId="5F0EED5F" w:rsidR="00A271AB" w:rsidRPr="00AB0DF7" w:rsidRDefault="00A271AB" w:rsidP="00A271AB">
      <w:pPr>
        <w:jc w:val="center"/>
        <w:rPr>
          <w:rFonts w:ascii="Arial" w:hAnsi="Arial" w:cs="Arial"/>
          <w:b/>
          <w:bCs/>
          <w:kern w:val="0"/>
          <w:sz w:val="26"/>
          <w:szCs w:val="26"/>
        </w:rPr>
      </w:pPr>
      <w:r w:rsidRPr="00AB0DF7">
        <w:rPr>
          <w:rFonts w:ascii="Arial" w:hAnsi="Arial" w:cs="Arial"/>
          <w:b/>
          <w:bCs/>
          <w:kern w:val="0"/>
          <w:sz w:val="26"/>
          <w:szCs w:val="26"/>
        </w:rPr>
        <w:t>Submission date: 21 / 04 / 26</w:t>
      </w:r>
    </w:p>
    <w:p w14:paraId="6642E49F" w14:textId="77777777" w:rsidR="00A271AB" w:rsidRPr="00AB0DF7" w:rsidRDefault="00A271AB" w:rsidP="00A271AB">
      <w:pPr>
        <w:jc w:val="center"/>
        <w:rPr>
          <w:rFonts w:ascii="Arial" w:hAnsi="Arial" w:cs="Arial"/>
          <w:b/>
          <w:bCs/>
          <w:kern w:val="0"/>
          <w:sz w:val="26"/>
          <w:szCs w:val="26"/>
        </w:rPr>
      </w:pPr>
    </w:p>
    <w:p w14:paraId="48252125" w14:textId="77777777" w:rsidR="00936CAB" w:rsidRPr="00AB0DF7" w:rsidRDefault="00936CAB" w:rsidP="007865FB">
      <w:pPr>
        <w:rPr>
          <w:rFonts w:ascii="Arial" w:hAnsi="Arial" w:cs="Arial"/>
          <w:b/>
          <w:bCs/>
          <w:kern w:val="0"/>
          <w:sz w:val="26"/>
          <w:szCs w:val="26"/>
        </w:rPr>
      </w:pPr>
    </w:p>
    <w:p w14:paraId="59F1CE32" w14:textId="77777777" w:rsidR="00936CAB" w:rsidRPr="00AB0DF7" w:rsidRDefault="00936CAB" w:rsidP="007865FB">
      <w:pPr>
        <w:rPr>
          <w:rFonts w:ascii="Arial" w:hAnsi="Arial" w:cs="Arial"/>
          <w:b/>
          <w:bCs/>
          <w:kern w:val="0"/>
          <w:sz w:val="26"/>
          <w:szCs w:val="26"/>
        </w:rPr>
      </w:pPr>
    </w:p>
    <w:p w14:paraId="7C45E49C" w14:textId="77777777" w:rsidR="00936CAB" w:rsidRDefault="00936CAB" w:rsidP="00936CAB">
      <w:pPr>
        <w:pStyle w:val="ListParagraph"/>
        <w:autoSpaceDE w:val="0"/>
        <w:autoSpaceDN w:val="0"/>
        <w:adjustRightInd w:val="0"/>
        <w:spacing w:after="0" w:line="240" w:lineRule="auto"/>
        <w:rPr>
          <w:rFonts w:ascii="Arial" w:hAnsi="Arial" w:cs="Arial"/>
          <w:b/>
          <w:bCs/>
          <w:kern w:val="0"/>
          <w:sz w:val="26"/>
          <w:szCs w:val="26"/>
        </w:rPr>
      </w:pPr>
    </w:p>
    <w:p w14:paraId="79388074" w14:textId="77777777" w:rsidR="009F2E84" w:rsidRPr="00F450E0" w:rsidRDefault="009F2E84" w:rsidP="00936CAB">
      <w:pPr>
        <w:pStyle w:val="ListParagraph"/>
        <w:autoSpaceDE w:val="0"/>
        <w:autoSpaceDN w:val="0"/>
        <w:adjustRightInd w:val="0"/>
        <w:spacing w:after="0" w:line="240" w:lineRule="auto"/>
        <w:rPr>
          <w:rFonts w:ascii="Arial" w:hAnsi="Arial" w:cs="Arial"/>
          <w:b/>
          <w:bCs/>
          <w:kern w:val="0"/>
          <w:sz w:val="26"/>
          <w:szCs w:val="26"/>
        </w:rPr>
      </w:pPr>
    </w:p>
    <w:p w14:paraId="10FF0DE7" w14:textId="77777777" w:rsidR="00A60247" w:rsidRPr="00AB0DF7" w:rsidRDefault="00A60247" w:rsidP="00936CAB">
      <w:pPr>
        <w:pStyle w:val="ListParagraph"/>
        <w:autoSpaceDE w:val="0"/>
        <w:autoSpaceDN w:val="0"/>
        <w:adjustRightInd w:val="0"/>
        <w:spacing w:after="0" w:line="240" w:lineRule="auto"/>
        <w:rPr>
          <w:rFonts w:ascii="Arial" w:hAnsi="Arial" w:cs="Arial"/>
          <w:b/>
          <w:bCs/>
          <w:kern w:val="0"/>
          <w:sz w:val="26"/>
          <w:szCs w:val="26"/>
        </w:rPr>
      </w:pPr>
    </w:p>
    <w:p w14:paraId="3D550239" w14:textId="5826BD44" w:rsidR="00F435F9" w:rsidRPr="006F7376" w:rsidRDefault="00F435F9" w:rsidP="006F7376">
      <w:pPr>
        <w:pStyle w:val="ListParagraph"/>
        <w:numPr>
          <w:ilvl w:val="0"/>
          <w:numId w:val="2"/>
        </w:numPr>
        <w:autoSpaceDE w:val="0"/>
        <w:autoSpaceDN w:val="0"/>
        <w:adjustRightInd w:val="0"/>
        <w:spacing w:after="40" w:line="240" w:lineRule="auto"/>
        <w:rPr>
          <w:rFonts w:ascii="Arial" w:hAnsi="Arial" w:cs="Arial"/>
          <w:b/>
          <w:bCs/>
          <w:kern w:val="0"/>
          <w:sz w:val="32"/>
          <w:szCs w:val="32"/>
        </w:rPr>
      </w:pPr>
      <w:r w:rsidRPr="006F7376">
        <w:rPr>
          <w:rFonts w:ascii="Arial" w:hAnsi="Arial" w:cs="Arial"/>
          <w:b/>
          <w:bCs/>
          <w:kern w:val="0"/>
          <w:sz w:val="32"/>
          <w:szCs w:val="32"/>
        </w:rPr>
        <w:t>Introduction and Identification of the Business Problem</w:t>
      </w:r>
    </w:p>
    <w:p w14:paraId="24AE9214" w14:textId="77777777" w:rsidR="006F7376" w:rsidRPr="006F7376" w:rsidRDefault="006F7376" w:rsidP="006F7376">
      <w:pPr>
        <w:autoSpaceDE w:val="0"/>
        <w:autoSpaceDN w:val="0"/>
        <w:adjustRightInd w:val="0"/>
        <w:spacing w:after="40" w:line="240" w:lineRule="auto"/>
        <w:rPr>
          <w:rFonts w:ascii="Arial" w:hAnsi="Arial" w:cs="Arial"/>
          <w:b/>
          <w:bCs/>
          <w:kern w:val="0"/>
          <w:sz w:val="32"/>
          <w:szCs w:val="32"/>
        </w:rPr>
      </w:pPr>
    </w:p>
    <w:p w14:paraId="51A3AA7E" w14:textId="77777777" w:rsidR="006F7376"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Cryptocurrency has become an important development in the financial services industry, mainly because of blockchain technology and decentralised systems that challenge how traditional banking works. Since Bitcoin was introduced (Nakamoto, 2008), digital currencies have gained a lot of attention from investors, businesses, and regulators. However, even though the technology has developed quickly and more institutions are getting involved, consumer adoption is still relatively low.</w:t>
      </w:r>
      <w:r w:rsidR="00F450E0" w:rsidRPr="00D8558F">
        <w:rPr>
          <w:rFonts w:ascii="Arial" w:hAnsi="Arial" w:cs="Arial"/>
          <w:kern w:val="0"/>
        </w:rPr>
        <w:t xml:space="preserve"> </w:t>
      </w:r>
      <w:r w:rsidRPr="00D8558F">
        <w:rPr>
          <w:rFonts w:ascii="Arial" w:hAnsi="Arial" w:cs="Arial"/>
          <w:kern w:val="0"/>
        </w:rPr>
        <w:t>This creates a clear business problem, especially for fintech companies trying to integrate cryptocurrency into everyday financial services. A lot of money and effort has been invested into developing blockchain technology, but actual user adoption has been much slower. This creates a gap between innovation and real</w:t>
      </w:r>
      <w:r w:rsidR="004631B6" w:rsidRPr="00D8558F">
        <w:rPr>
          <w:rFonts w:ascii="Arial" w:hAnsi="Arial" w:cs="Arial"/>
          <w:kern w:val="0"/>
        </w:rPr>
        <w:t xml:space="preserve"> </w:t>
      </w:r>
      <w:r w:rsidRPr="00D8558F">
        <w:rPr>
          <w:rFonts w:ascii="Arial" w:hAnsi="Arial" w:cs="Arial"/>
          <w:kern w:val="0"/>
        </w:rPr>
        <w:t>world use, which limits the long</w:t>
      </w:r>
      <w:r w:rsidR="004631B6" w:rsidRPr="00D8558F">
        <w:rPr>
          <w:rFonts w:ascii="Arial" w:hAnsi="Arial" w:cs="Arial"/>
          <w:kern w:val="0"/>
        </w:rPr>
        <w:t xml:space="preserve"> </w:t>
      </w:r>
      <w:r w:rsidRPr="00D8558F">
        <w:rPr>
          <w:rFonts w:ascii="Arial" w:hAnsi="Arial" w:cs="Arial"/>
          <w:kern w:val="0"/>
        </w:rPr>
        <w:t>term value organisations can gain from it (Tapscott and Tapscott, 2016). In practice, this means businesses are not fully benefiting from the technology they are investing in.</w:t>
      </w:r>
      <w:r w:rsidR="009B0A79" w:rsidRPr="00D8558F">
        <w:rPr>
          <w:rFonts w:ascii="Arial" w:hAnsi="Arial" w:cs="Arial"/>
          <w:kern w:val="0"/>
        </w:rPr>
        <w:t xml:space="preserve"> </w:t>
      </w:r>
    </w:p>
    <w:p w14:paraId="6E7B6CB2" w14:textId="77777777" w:rsidR="006F7376" w:rsidRPr="00D8558F" w:rsidRDefault="006F7376" w:rsidP="0007347B">
      <w:pPr>
        <w:autoSpaceDE w:val="0"/>
        <w:autoSpaceDN w:val="0"/>
        <w:adjustRightInd w:val="0"/>
        <w:spacing w:after="0" w:line="240" w:lineRule="auto"/>
        <w:jc w:val="both"/>
        <w:rPr>
          <w:rFonts w:ascii="Arial" w:hAnsi="Arial" w:cs="Arial"/>
          <w:kern w:val="0"/>
        </w:rPr>
      </w:pPr>
    </w:p>
    <w:p w14:paraId="4E72B66E" w14:textId="77777777" w:rsidR="006F7376"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The issue is not straightforward and involves a mix of behavioural, technological, and economic factors. In particular, trust, perceived risk, and financial literacy seem to have a strong influence on whether people choose to use cryptocurrency. While there are clear benefits, such as transparency and reduced reliance on intermediaries, these are often outweighed by concerns about price volatility, security risks, and unclear regulation (</w:t>
      </w:r>
      <w:proofErr w:type="spellStart"/>
      <w:r w:rsidRPr="00D8558F">
        <w:rPr>
          <w:rFonts w:ascii="Arial" w:hAnsi="Arial" w:cs="Arial"/>
          <w:kern w:val="0"/>
        </w:rPr>
        <w:t>Böhme</w:t>
      </w:r>
      <w:proofErr w:type="spellEnd"/>
      <w:r w:rsidRPr="00D8558F">
        <w:rPr>
          <w:rFonts w:ascii="Arial" w:hAnsi="Arial" w:cs="Arial"/>
          <w:kern w:val="0"/>
        </w:rPr>
        <w:t xml:space="preserve"> et al., 2015). Because of this, there is still a noticeable gap between what the technology can do and how much people actually use it.</w:t>
      </w:r>
      <w:r w:rsidR="009B0A79" w:rsidRPr="00D8558F">
        <w:rPr>
          <w:rFonts w:ascii="Arial" w:hAnsi="Arial" w:cs="Arial"/>
          <w:kern w:val="0"/>
        </w:rPr>
        <w:t xml:space="preserve"> </w:t>
      </w:r>
    </w:p>
    <w:p w14:paraId="6461544E" w14:textId="77777777" w:rsidR="006F7376" w:rsidRPr="00D8558F" w:rsidRDefault="006F7376" w:rsidP="0007347B">
      <w:pPr>
        <w:autoSpaceDE w:val="0"/>
        <w:autoSpaceDN w:val="0"/>
        <w:adjustRightInd w:val="0"/>
        <w:spacing w:after="0" w:line="240" w:lineRule="auto"/>
        <w:jc w:val="both"/>
        <w:rPr>
          <w:rFonts w:ascii="Arial" w:hAnsi="Arial" w:cs="Arial"/>
          <w:kern w:val="0"/>
        </w:rPr>
      </w:pPr>
    </w:p>
    <w:p w14:paraId="6897E525" w14:textId="04EC0F74" w:rsidR="00F435F9"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 xml:space="preserve">From a business point of view, this directly affects both market growth and customer retention. Globally, there were around 420 million cryptocurrency users in 2023, which is only about 5% of the world’s population (TripleA, 2023). In the UK, awareness is very high, with around 93% of adults having heard of </w:t>
      </w:r>
      <w:proofErr w:type="spellStart"/>
      <w:r w:rsidRPr="00D8558F">
        <w:rPr>
          <w:rFonts w:ascii="Arial" w:hAnsi="Arial" w:cs="Arial"/>
          <w:kern w:val="0"/>
        </w:rPr>
        <w:t>cryptoassets</w:t>
      </w:r>
      <w:proofErr w:type="spellEnd"/>
      <w:r w:rsidRPr="00D8558F">
        <w:rPr>
          <w:rFonts w:ascii="Arial" w:hAnsi="Arial" w:cs="Arial"/>
          <w:kern w:val="0"/>
        </w:rPr>
        <w:t>, but only about 10</w:t>
      </w:r>
      <w:r w:rsidR="009B0A79" w:rsidRPr="00D8558F">
        <w:rPr>
          <w:rFonts w:ascii="Arial" w:hAnsi="Arial" w:cs="Arial"/>
          <w:kern w:val="0"/>
        </w:rPr>
        <w:t xml:space="preserve"> to </w:t>
      </w:r>
      <w:r w:rsidRPr="00D8558F">
        <w:rPr>
          <w:rFonts w:ascii="Arial" w:hAnsi="Arial" w:cs="Arial"/>
          <w:kern w:val="0"/>
        </w:rPr>
        <w:t>12% actually own them (Financial Conduct Authority, 2023). This shows that interest does not easily turn into long</w:t>
      </w:r>
      <w:r w:rsidR="004631B6" w:rsidRPr="00D8558F">
        <w:rPr>
          <w:rFonts w:ascii="Arial" w:hAnsi="Arial" w:cs="Arial"/>
          <w:kern w:val="0"/>
        </w:rPr>
        <w:t xml:space="preserve"> </w:t>
      </w:r>
      <w:r w:rsidRPr="00D8558F">
        <w:rPr>
          <w:rFonts w:ascii="Arial" w:hAnsi="Arial" w:cs="Arial"/>
          <w:kern w:val="0"/>
        </w:rPr>
        <w:t>term use. A lack of trust can stop people from getting started, while uncertainty and lack of understanding can stop them from continuing. This highlights why businesses need to focus not just on the technology itself, but also on how users experience and understand it.</w:t>
      </w:r>
    </w:p>
    <w:p w14:paraId="263E9B0A" w14:textId="77777777" w:rsidR="00936CAB" w:rsidRPr="00AB0DF7" w:rsidRDefault="00936CAB" w:rsidP="00936CAB">
      <w:pPr>
        <w:autoSpaceDE w:val="0"/>
        <w:autoSpaceDN w:val="0"/>
        <w:adjustRightInd w:val="0"/>
        <w:spacing w:after="0" w:line="240" w:lineRule="auto"/>
        <w:rPr>
          <w:rFonts w:ascii="Arial" w:hAnsi="Arial" w:cs="Arial"/>
          <w:kern w:val="0"/>
          <w:sz w:val="26"/>
          <w:szCs w:val="26"/>
        </w:rPr>
      </w:pPr>
    </w:p>
    <w:p w14:paraId="4ACEA1A7" w14:textId="77777777" w:rsidR="00936CAB" w:rsidRPr="00F450E0" w:rsidRDefault="00936CAB" w:rsidP="00F435F9">
      <w:pPr>
        <w:autoSpaceDE w:val="0"/>
        <w:autoSpaceDN w:val="0"/>
        <w:adjustRightInd w:val="0"/>
        <w:spacing w:after="40" w:line="240" w:lineRule="auto"/>
        <w:rPr>
          <w:rFonts w:ascii="Arial" w:hAnsi="Arial" w:cs="Arial"/>
          <w:b/>
          <w:kern w:val="0"/>
          <w:sz w:val="32"/>
          <w:szCs w:val="32"/>
        </w:rPr>
      </w:pPr>
      <w:r w:rsidRPr="00F450E0">
        <w:rPr>
          <w:rFonts w:ascii="Arial" w:hAnsi="Arial" w:cs="Arial"/>
          <w:b/>
          <w:kern w:val="0"/>
          <w:sz w:val="32"/>
          <w:szCs w:val="32"/>
        </w:rPr>
        <w:t>2. Research Aim, Objectives, and Questions</w:t>
      </w:r>
    </w:p>
    <w:p w14:paraId="0A4899EA" w14:textId="4699CCD7" w:rsidR="004631B6"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The aim of this study is to examine the main factors limiting cryptocurrency adoption, focusing on trust, perceived risk, and financial literacy, and to consider what this means for businesses and financial accessibility.</w:t>
      </w:r>
      <w:r w:rsidR="009B0A79" w:rsidRPr="00D8558F">
        <w:rPr>
          <w:rFonts w:ascii="Arial" w:hAnsi="Arial" w:cs="Arial"/>
          <w:kern w:val="0"/>
        </w:rPr>
        <w:t xml:space="preserve"> </w:t>
      </w:r>
      <w:r w:rsidRPr="00D8558F">
        <w:rPr>
          <w:rFonts w:ascii="Arial" w:hAnsi="Arial" w:cs="Arial"/>
          <w:kern w:val="0"/>
        </w:rPr>
        <w:t>To achieve this, the research follows a set of linked objectives. First, it reviews existing literature to understand what has already been studied and to identify any gaps. It then looks at how trust affects people’s willingness to use cryptocurrency, especially since there is no central authority like in traditional finance. The study also explores how perceived risk influences decision</w:t>
      </w:r>
      <w:r w:rsidR="009B0A79" w:rsidRPr="00D8558F">
        <w:rPr>
          <w:rFonts w:ascii="Arial" w:hAnsi="Arial" w:cs="Arial"/>
          <w:kern w:val="0"/>
        </w:rPr>
        <w:t xml:space="preserve"> </w:t>
      </w:r>
      <w:r w:rsidRPr="00D8558F">
        <w:rPr>
          <w:rFonts w:ascii="Arial" w:hAnsi="Arial" w:cs="Arial"/>
          <w:kern w:val="0"/>
        </w:rPr>
        <w:t>making, recognising that people may view risk differently depending on their experience. In addition, it considers how financial literacy affects a person’s ability to understand and use cryptocurrency systems. Finally, it aims to bring these ideas together to suggest how organisations can respond more effectively.</w:t>
      </w:r>
      <w:r w:rsidR="00FA5A1D" w:rsidRPr="00D8558F">
        <w:rPr>
          <w:rFonts w:ascii="Arial" w:hAnsi="Arial" w:cs="Arial"/>
          <w:kern w:val="0"/>
        </w:rPr>
        <w:t xml:space="preserve"> </w:t>
      </w:r>
      <w:r w:rsidRPr="00D8558F">
        <w:rPr>
          <w:rFonts w:ascii="Arial" w:hAnsi="Arial" w:cs="Arial"/>
          <w:kern w:val="0"/>
        </w:rPr>
        <w:t xml:space="preserve">These objectives are supported by five research questions. </w:t>
      </w:r>
    </w:p>
    <w:p w14:paraId="26ACB9C2" w14:textId="77777777" w:rsidR="00FA5A1D" w:rsidRPr="00D8558F" w:rsidRDefault="00FA5A1D" w:rsidP="0007347B">
      <w:pPr>
        <w:autoSpaceDE w:val="0"/>
        <w:autoSpaceDN w:val="0"/>
        <w:adjustRightInd w:val="0"/>
        <w:spacing w:after="0" w:line="240" w:lineRule="auto"/>
        <w:jc w:val="both"/>
        <w:rPr>
          <w:rFonts w:ascii="Arial" w:hAnsi="Arial" w:cs="Arial"/>
          <w:kern w:val="0"/>
        </w:rPr>
      </w:pPr>
    </w:p>
    <w:p w14:paraId="1897143E" w14:textId="0629A98A" w:rsidR="00FA5A1D" w:rsidRPr="00D8558F" w:rsidRDefault="00F435F9" w:rsidP="0007347B">
      <w:pPr>
        <w:autoSpaceDE w:val="0"/>
        <w:autoSpaceDN w:val="0"/>
        <w:adjustRightInd w:val="0"/>
        <w:spacing w:after="0" w:line="240" w:lineRule="auto"/>
        <w:jc w:val="both"/>
        <w:rPr>
          <w:rFonts w:ascii="Arial" w:hAnsi="Arial" w:cs="Arial"/>
          <w:kern w:val="0"/>
        </w:rPr>
      </w:pPr>
      <w:r w:rsidRPr="00B62183">
        <w:rPr>
          <w:rFonts w:ascii="Arial" w:hAnsi="Arial" w:cs="Arial"/>
          <w:b/>
          <w:bCs/>
          <w:kern w:val="0"/>
        </w:rPr>
        <w:t>RQ1</w:t>
      </w:r>
      <w:r w:rsidR="00347715" w:rsidRPr="00B62183">
        <w:rPr>
          <w:rFonts w:ascii="Arial" w:hAnsi="Arial" w:cs="Arial"/>
          <w:b/>
          <w:bCs/>
          <w:kern w:val="0"/>
        </w:rPr>
        <w:t>.</w:t>
      </w:r>
      <w:r w:rsidR="00FB58BF">
        <w:rPr>
          <w:rFonts w:ascii="Arial" w:hAnsi="Arial" w:cs="Arial"/>
          <w:kern w:val="0"/>
        </w:rPr>
        <w:t xml:space="preserve"> L</w:t>
      </w:r>
      <w:r w:rsidRPr="00D8558F">
        <w:rPr>
          <w:rFonts w:ascii="Arial" w:hAnsi="Arial" w:cs="Arial"/>
          <w:kern w:val="0"/>
        </w:rPr>
        <w:t xml:space="preserve">ooks at the main barriers to cryptocurrency adoption and gaps in the literature. </w:t>
      </w:r>
    </w:p>
    <w:p w14:paraId="7C2074A6" w14:textId="77777777" w:rsidR="00FA5A1D" w:rsidRPr="00D8558F" w:rsidRDefault="00FA5A1D" w:rsidP="0007347B">
      <w:pPr>
        <w:autoSpaceDE w:val="0"/>
        <w:autoSpaceDN w:val="0"/>
        <w:adjustRightInd w:val="0"/>
        <w:spacing w:after="0" w:line="240" w:lineRule="auto"/>
        <w:jc w:val="both"/>
        <w:rPr>
          <w:rFonts w:ascii="Arial" w:hAnsi="Arial" w:cs="Arial"/>
          <w:kern w:val="0"/>
        </w:rPr>
      </w:pPr>
    </w:p>
    <w:p w14:paraId="0D7E49C5" w14:textId="5F8211F2" w:rsidR="00FA5A1D" w:rsidRPr="00D8558F" w:rsidRDefault="00F435F9" w:rsidP="0007347B">
      <w:pPr>
        <w:autoSpaceDE w:val="0"/>
        <w:autoSpaceDN w:val="0"/>
        <w:adjustRightInd w:val="0"/>
        <w:spacing w:after="0" w:line="240" w:lineRule="auto"/>
        <w:jc w:val="both"/>
        <w:rPr>
          <w:rFonts w:ascii="Arial" w:hAnsi="Arial" w:cs="Arial"/>
          <w:kern w:val="0"/>
        </w:rPr>
      </w:pPr>
      <w:r w:rsidRPr="00B62183">
        <w:rPr>
          <w:rFonts w:ascii="Arial" w:hAnsi="Arial" w:cs="Arial"/>
          <w:b/>
          <w:bCs/>
          <w:kern w:val="0"/>
        </w:rPr>
        <w:t>RQ2</w:t>
      </w:r>
      <w:r w:rsidR="00347715" w:rsidRPr="00B62183">
        <w:rPr>
          <w:rFonts w:ascii="Arial" w:hAnsi="Arial" w:cs="Arial"/>
          <w:b/>
          <w:bCs/>
          <w:kern w:val="0"/>
        </w:rPr>
        <w:t>.</w:t>
      </w:r>
      <w:r w:rsidRPr="00D8558F">
        <w:rPr>
          <w:rFonts w:ascii="Arial" w:hAnsi="Arial" w:cs="Arial"/>
          <w:kern w:val="0"/>
        </w:rPr>
        <w:t xml:space="preserve"> </w:t>
      </w:r>
      <w:r w:rsidR="00B62183">
        <w:rPr>
          <w:rFonts w:ascii="Arial" w:hAnsi="Arial" w:cs="Arial"/>
          <w:kern w:val="0"/>
        </w:rPr>
        <w:t>F</w:t>
      </w:r>
      <w:r w:rsidRPr="00D8558F">
        <w:rPr>
          <w:rFonts w:ascii="Arial" w:hAnsi="Arial" w:cs="Arial"/>
          <w:kern w:val="0"/>
        </w:rPr>
        <w:t xml:space="preserve">ocuses on how trust affects willingness to engage. </w:t>
      </w:r>
    </w:p>
    <w:p w14:paraId="0BA1FE3F" w14:textId="77777777" w:rsidR="00FA5A1D" w:rsidRPr="00D8558F" w:rsidRDefault="00FA5A1D" w:rsidP="0007347B">
      <w:pPr>
        <w:autoSpaceDE w:val="0"/>
        <w:autoSpaceDN w:val="0"/>
        <w:adjustRightInd w:val="0"/>
        <w:spacing w:after="0" w:line="240" w:lineRule="auto"/>
        <w:jc w:val="both"/>
        <w:rPr>
          <w:rFonts w:ascii="Arial" w:hAnsi="Arial" w:cs="Arial"/>
          <w:kern w:val="0"/>
        </w:rPr>
      </w:pPr>
    </w:p>
    <w:p w14:paraId="778AAB16" w14:textId="7DB8A935" w:rsidR="00FA5A1D" w:rsidRPr="00D8558F" w:rsidRDefault="00F435F9" w:rsidP="0007347B">
      <w:pPr>
        <w:autoSpaceDE w:val="0"/>
        <w:autoSpaceDN w:val="0"/>
        <w:adjustRightInd w:val="0"/>
        <w:spacing w:after="0" w:line="240" w:lineRule="auto"/>
        <w:jc w:val="both"/>
        <w:rPr>
          <w:rFonts w:ascii="Arial" w:hAnsi="Arial" w:cs="Arial"/>
          <w:kern w:val="0"/>
        </w:rPr>
      </w:pPr>
      <w:r w:rsidRPr="00B62183">
        <w:rPr>
          <w:rFonts w:ascii="Arial" w:hAnsi="Arial" w:cs="Arial"/>
          <w:b/>
          <w:bCs/>
          <w:kern w:val="0"/>
        </w:rPr>
        <w:t>RQ3</w:t>
      </w:r>
      <w:r w:rsidR="00347715" w:rsidRPr="00B62183">
        <w:rPr>
          <w:rFonts w:ascii="Arial" w:hAnsi="Arial" w:cs="Arial"/>
          <w:b/>
          <w:bCs/>
          <w:kern w:val="0"/>
        </w:rPr>
        <w:t>.</w:t>
      </w:r>
      <w:r w:rsidRPr="00D8558F">
        <w:rPr>
          <w:rFonts w:ascii="Arial" w:hAnsi="Arial" w:cs="Arial"/>
          <w:kern w:val="0"/>
        </w:rPr>
        <w:t xml:space="preserve"> </w:t>
      </w:r>
      <w:r w:rsidR="00B62183">
        <w:rPr>
          <w:rFonts w:ascii="Arial" w:hAnsi="Arial" w:cs="Arial"/>
          <w:kern w:val="0"/>
        </w:rPr>
        <w:t>E</w:t>
      </w:r>
      <w:r w:rsidRPr="00D8558F">
        <w:rPr>
          <w:rFonts w:ascii="Arial" w:hAnsi="Arial" w:cs="Arial"/>
          <w:kern w:val="0"/>
        </w:rPr>
        <w:t xml:space="preserve">xamines how perceived risk influences decisions. </w:t>
      </w:r>
    </w:p>
    <w:p w14:paraId="28877B75" w14:textId="77777777" w:rsidR="00FA5A1D" w:rsidRPr="00D8558F" w:rsidRDefault="00FA5A1D" w:rsidP="0007347B">
      <w:pPr>
        <w:autoSpaceDE w:val="0"/>
        <w:autoSpaceDN w:val="0"/>
        <w:adjustRightInd w:val="0"/>
        <w:spacing w:after="0" w:line="240" w:lineRule="auto"/>
        <w:jc w:val="both"/>
        <w:rPr>
          <w:rFonts w:ascii="Arial" w:hAnsi="Arial" w:cs="Arial"/>
          <w:kern w:val="0"/>
        </w:rPr>
      </w:pPr>
    </w:p>
    <w:p w14:paraId="0F664DA0" w14:textId="2D47AF03" w:rsidR="00FA5A1D" w:rsidRPr="00D8558F" w:rsidRDefault="00F435F9" w:rsidP="0007347B">
      <w:pPr>
        <w:autoSpaceDE w:val="0"/>
        <w:autoSpaceDN w:val="0"/>
        <w:adjustRightInd w:val="0"/>
        <w:spacing w:after="0" w:line="240" w:lineRule="auto"/>
        <w:jc w:val="both"/>
        <w:rPr>
          <w:rFonts w:ascii="Arial" w:hAnsi="Arial" w:cs="Arial"/>
          <w:kern w:val="0"/>
        </w:rPr>
      </w:pPr>
      <w:r w:rsidRPr="00B62183">
        <w:rPr>
          <w:rFonts w:ascii="Arial" w:hAnsi="Arial" w:cs="Arial"/>
          <w:b/>
          <w:bCs/>
          <w:kern w:val="0"/>
        </w:rPr>
        <w:t>RQ4</w:t>
      </w:r>
      <w:r w:rsidR="00347715" w:rsidRPr="00B62183">
        <w:rPr>
          <w:rFonts w:ascii="Arial" w:hAnsi="Arial" w:cs="Arial"/>
          <w:b/>
          <w:bCs/>
          <w:kern w:val="0"/>
        </w:rPr>
        <w:t>.</w:t>
      </w:r>
      <w:r w:rsidRPr="00D8558F">
        <w:rPr>
          <w:rFonts w:ascii="Arial" w:hAnsi="Arial" w:cs="Arial"/>
          <w:kern w:val="0"/>
        </w:rPr>
        <w:t xml:space="preserve"> </w:t>
      </w:r>
      <w:r w:rsidR="00B62183">
        <w:rPr>
          <w:rFonts w:ascii="Arial" w:hAnsi="Arial" w:cs="Arial"/>
          <w:kern w:val="0"/>
        </w:rPr>
        <w:t>C</w:t>
      </w:r>
      <w:r w:rsidRPr="00D8558F">
        <w:rPr>
          <w:rFonts w:ascii="Arial" w:hAnsi="Arial" w:cs="Arial"/>
          <w:kern w:val="0"/>
        </w:rPr>
        <w:t xml:space="preserve">onsiders the role of financial literacy in shaping user behaviour. </w:t>
      </w:r>
    </w:p>
    <w:p w14:paraId="7C109F70" w14:textId="77777777" w:rsidR="00FA5A1D" w:rsidRPr="00D8558F" w:rsidRDefault="00FA5A1D" w:rsidP="0007347B">
      <w:pPr>
        <w:autoSpaceDE w:val="0"/>
        <w:autoSpaceDN w:val="0"/>
        <w:adjustRightInd w:val="0"/>
        <w:spacing w:after="0" w:line="240" w:lineRule="auto"/>
        <w:jc w:val="both"/>
        <w:rPr>
          <w:rFonts w:ascii="Arial" w:hAnsi="Arial" w:cs="Arial"/>
          <w:kern w:val="0"/>
        </w:rPr>
      </w:pPr>
    </w:p>
    <w:p w14:paraId="3173AC51" w14:textId="73389A16" w:rsidR="00FA5A1D" w:rsidRPr="00D8558F" w:rsidRDefault="00F435F9" w:rsidP="0007347B">
      <w:pPr>
        <w:autoSpaceDE w:val="0"/>
        <w:autoSpaceDN w:val="0"/>
        <w:adjustRightInd w:val="0"/>
        <w:spacing w:after="0" w:line="240" w:lineRule="auto"/>
        <w:jc w:val="both"/>
        <w:rPr>
          <w:rFonts w:ascii="Arial" w:hAnsi="Arial" w:cs="Arial"/>
          <w:kern w:val="0"/>
        </w:rPr>
      </w:pPr>
      <w:r w:rsidRPr="00B62183">
        <w:rPr>
          <w:rFonts w:ascii="Arial" w:hAnsi="Arial" w:cs="Arial"/>
          <w:b/>
          <w:bCs/>
          <w:kern w:val="0"/>
        </w:rPr>
        <w:t>RQ5</w:t>
      </w:r>
      <w:r w:rsidR="00347715" w:rsidRPr="00B62183">
        <w:rPr>
          <w:rFonts w:ascii="Arial" w:hAnsi="Arial" w:cs="Arial"/>
          <w:b/>
          <w:bCs/>
          <w:kern w:val="0"/>
        </w:rPr>
        <w:t>.</w:t>
      </w:r>
      <w:r w:rsidRPr="00D8558F">
        <w:rPr>
          <w:rFonts w:ascii="Arial" w:hAnsi="Arial" w:cs="Arial"/>
          <w:kern w:val="0"/>
        </w:rPr>
        <w:t xml:space="preserve"> </w:t>
      </w:r>
      <w:r w:rsidR="00B62183">
        <w:rPr>
          <w:rFonts w:ascii="Arial" w:hAnsi="Arial" w:cs="Arial"/>
          <w:kern w:val="0"/>
        </w:rPr>
        <w:t>E</w:t>
      </w:r>
      <w:r w:rsidRPr="00D8558F">
        <w:rPr>
          <w:rFonts w:ascii="Arial" w:hAnsi="Arial" w:cs="Arial"/>
          <w:kern w:val="0"/>
        </w:rPr>
        <w:t xml:space="preserve">xplores what businesses can do in response to these challenges. </w:t>
      </w:r>
    </w:p>
    <w:p w14:paraId="339E78DF" w14:textId="77777777" w:rsidR="00FA5A1D" w:rsidRPr="00D8558F" w:rsidRDefault="00FA5A1D" w:rsidP="0007347B">
      <w:pPr>
        <w:autoSpaceDE w:val="0"/>
        <w:autoSpaceDN w:val="0"/>
        <w:adjustRightInd w:val="0"/>
        <w:spacing w:after="0" w:line="240" w:lineRule="auto"/>
        <w:jc w:val="both"/>
        <w:rPr>
          <w:rFonts w:ascii="Arial" w:hAnsi="Arial" w:cs="Arial"/>
          <w:kern w:val="0"/>
        </w:rPr>
      </w:pPr>
    </w:p>
    <w:p w14:paraId="1B6F8B84" w14:textId="3DA665DC" w:rsidR="00F435F9"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Overall, the aim, objectives, and questions are clearly linked and all work towards understanding and improving adoption.</w:t>
      </w:r>
    </w:p>
    <w:p w14:paraId="2147F9E8" w14:textId="77777777" w:rsidR="00BC661D" w:rsidRPr="00AB0DF7" w:rsidRDefault="00BC661D" w:rsidP="00BC661D">
      <w:pPr>
        <w:autoSpaceDE w:val="0"/>
        <w:autoSpaceDN w:val="0"/>
        <w:adjustRightInd w:val="0"/>
        <w:spacing w:after="0" w:line="240" w:lineRule="auto"/>
        <w:rPr>
          <w:rFonts w:ascii="Arial" w:hAnsi="Arial" w:cs="Arial"/>
          <w:kern w:val="0"/>
          <w:sz w:val="26"/>
          <w:szCs w:val="26"/>
        </w:rPr>
      </w:pPr>
    </w:p>
    <w:p w14:paraId="614B0C0A" w14:textId="77777777" w:rsidR="00936CAB" w:rsidRPr="00F450E0" w:rsidRDefault="00936CAB" w:rsidP="00F435F9">
      <w:pPr>
        <w:autoSpaceDE w:val="0"/>
        <w:autoSpaceDN w:val="0"/>
        <w:adjustRightInd w:val="0"/>
        <w:spacing w:after="40" w:line="240" w:lineRule="auto"/>
        <w:rPr>
          <w:rFonts w:ascii="Arial" w:hAnsi="Arial" w:cs="Arial"/>
          <w:b/>
          <w:kern w:val="0"/>
          <w:sz w:val="32"/>
          <w:szCs w:val="32"/>
        </w:rPr>
      </w:pPr>
      <w:r w:rsidRPr="00F450E0">
        <w:rPr>
          <w:rFonts w:ascii="Arial" w:hAnsi="Arial" w:cs="Arial"/>
          <w:b/>
          <w:kern w:val="0"/>
          <w:sz w:val="32"/>
          <w:szCs w:val="32"/>
        </w:rPr>
        <w:t>3. Critical Literature Review</w:t>
      </w:r>
    </w:p>
    <w:p w14:paraId="137FE1A3" w14:textId="77777777" w:rsidR="00EF789B" w:rsidRDefault="00EF789B" w:rsidP="00F435F9">
      <w:pPr>
        <w:autoSpaceDE w:val="0"/>
        <w:autoSpaceDN w:val="0"/>
        <w:adjustRightInd w:val="0"/>
        <w:spacing w:after="40" w:line="240" w:lineRule="auto"/>
        <w:rPr>
          <w:rFonts w:ascii="Arial" w:hAnsi="Arial" w:cs="Arial"/>
          <w:b/>
          <w:bCs/>
          <w:kern w:val="0"/>
          <w:sz w:val="32"/>
          <w:szCs w:val="32"/>
        </w:rPr>
      </w:pPr>
    </w:p>
    <w:p w14:paraId="1719BA28" w14:textId="28FD2BA3" w:rsidR="00936CAB" w:rsidRPr="00F450E0" w:rsidRDefault="00936CAB" w:rsidP="00F435F9">
      <w:pPr>
        <w:autoSpaceDE w:val="0"/>
        <w:autoSpaceDN w:val="0"/>
        <w:adjustRightInd w:val="0"/>
        <w:spacing w:after="40" w:line="240" w:lineRule="auto"/>
        <w:rPr>
          <w:rFonts w:ascii="Arial" w:hAnsi="Arial" w:cs="Arial"/>
          <w:b/>
          <w:kern w:val="0"/>
          <w:sz w:val="32"/>
          <w:szCs w:val="32"/>
        </w:rPr>
      </w:pPr>
      <w:r w:rsidRPr="00F450E0">
        <w:rPr>
          <w:rFonts w:ascii="Arial" w:hAnsi="Arial" w:cs="Arial"/>
          <w:b/>
          <w:kern w:val="0"/>
          <w:sz w:val="32"/>
          <w:szCs w:val="32"/>
        </w:rPr>
        <w:t>3.1 Overview</w:t>
      </w:r>
    </w:p>
    <w:p w14:paraId="51075C95" w14:textId="4580D868" w:rsidR="00F435F9"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Research into cryptocurrency adoption shows that it is influenced by a range of different factors, including behaviour, technology, and economic conditions. However, many studies look at these factors separately, which makes it harder to fully understand how they work together in real</w:t>
      </w:r>
      <w:r w:rsidR="00BB4AB5" w:rsidRPr="00D8558F">
        <w:rPr>
          <w:rFonts w:ascii="Arial" w:hAnsi="Arial" w:cs="Arial"/>
          <w:kern w:val="0"/>
        </w:rPr>
        <w:t xml:space="preserve"> </w:t>
      </w:r>
      <w:r w:rsidRPr="00D8558F">
        <w:rPr>
          <w:rFonts w:ascii="Arial" w:hAnsi="Arial" w:cs="Arial"/>
          <w:kern w:val="0"/>
        </w:rPr>
        <w:t>life situations. This is important because adoption decisions are rarely based on just one factor.</w:t>
      </w:r>
    </w:p>
    <w:p w14:paraId="2277A7FB" w14:textId="77777777" w:rsidR="00936CAB" w:rsidRPr="00AB0DF7" w:rsidRDefault="00936CAB" w:rsidP="00936CAB">
      <w:pPr>
        <w:autoSpaceDE w:val="0"/>
        <w:autoSpaceDN w:val="0"/>
        <w:adjustRightInd w:val="0"/>
        <w:spacing w:after="0" w:line="240" w:lineRule="auto"/>
        <w:rPr>
          <w:rFonts w:ascii="Arial" w:hAnsi="Arial" w:cs="Arial"/>
          <w:kern w:val="0"/>
          <w:sz w:val="26"/>
          <w:szCs w:val="26"/>
        </w:rPr>
      </w:pPr>
    </w:p>
    <w:p w14:paraId="63741894" w14:textId="77777777" w:rsidR="00936CAB" w:rsidRPr="00F450E0" w:rsidRDefault="00936CAB" w:rsidP="00F435F9">
      <w:pPr>
        <w:autoSpaceDE w:val="0"/>
        <w:autoSpaceDN w:val="0"/>
        <w:adjustRightInd w:val="0"/>
        <w:spacing w:after="40" w:line="240" w:lineRule="auto"/>
        <w:rPr>
          <w:rFonts w:ascii="Arial" w:hAnsi="Arial" w:cs="Arial"/>
          <w:b/>
          <w:kern w:val="0"/>
          <w:sz w:val="32"/>
          <w:szCs w:val="32"/>
        </w:rPr>
      </w:pPr>
      <w:r w:rsidRPr="00F450E0">
        <w:rPr>
          <w:rFonts w:ascii="Arial" w:hAnsi="Arial" w:cs="Arial"/>
          <w:b/>
          <w:kern w:val="0"/>
          <w:sz w:val="32"/>
          <w:szCs w:val="32"/>
        </w:rPr>
        <w:t>3.2 Technology and User Acceptance</w:t>
      </w:r>
    </w:p>
    <w:p w14:paraId="12501C52" w14:textId="77777777" w:rsidR="00936CAB" w:rsidRPr="00AB0DF7" w:rsidRDefault="00936CAB" w:rsidP="0007347B">
      <w:pPr>
        <w:autoSpaceDE w:val="0"/>
        <w:autoSpaceDN w:val="0"/>
        <w:adjustRightInd w:val="0"/>
        <w:spacing w:after="0" w:line="240" w:lineRule="auto"/>
        <w:jc w:val="both"/>
        <w:rPr>
          <w:rFonts w:ascii="Arial" w:hAnsi="Arial" w:cs="Arial"/>
          <w:kern w:val="0"/>
          <w:sz w:val="26"/>
          <w:szCs w:val="26"/>
        </w:rPr>
      </w:pPr>
    </w:p>
    <w:p w14:paraId="62F3935C" w14:textId="2BFFE064" w:rsidR="00F435F9"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Cryptocurrency is often described as a disruptive innovation because it uses blockchain technology and operates without a central authority (Tapscott and Tapscott, 2016). The Technology Acceptance Model (Davis, 1989) suggests that people are more likely to adopt technology if they find it useful and easy to use. While this is helpful, it does not fully explain cryptocurrency, as many platforms are still quite complex and difficult for new users (Li and Wang, 2017).</w:t>
      </w:r>
      <w:r w:rsidR="000831F8" w:rsidRPr="00D8558F">
        <w:rPr>
          <w:rFonts w:ascii="Arial" w:hAnsi="Arial" w:cs="Arial"/>
          <w:kern w:val="0"/>
        </w:rPr>
        <w:t xml:space="preserve"> </w:t>
      </w:r>
      <w:r w:rsidRPr="00D8558F">
        <w:rPr>
          <w:rFonts w:ascii="Arial" w:hAnsi="Arial" w:cs="Arial"/>
          <w:kern w:val="0"/>
        </w:rPr>
        <w:t>Rogers’ (2003) Diffusion of Innovations theory also helps explain adoption by focusing on factors like compatibility and ease of trial. However, cryptocurrency can be difficult to experiment with due to irreversible transactions and technical risks. Because of this, traditional models may not fully apply and may need to be adapted when looking at digital financial technologies.</w:t>
      </w:r>
    </w:p>
    <w:p w14:paraId="35691C3F" w14:textId="77777777" w:rsidR="00F435F9" w:rsidRPr="00F450E0" w:rsidRDefault="00F435F9" w:rsidP="00F435F9">
      <w:pPr>
        <w:autoSpaceDE w:val="0"/>
        <w:autoSpaceDN w:val="0"/>
        <w:adjustRightInd w:val="0"/>
        <w:spacing w:after="0" w:line="240" w:lineRule="auto"/>
        <w:rPr>
          <w:rFonts w:ascii="Arial" w:hAnsi="Arial" w:cs="Arial"/>
          <w:kern w:val="0"/>
          <w:sz w:val="26"/>
          <w:szCs w:val="26"/>
        </w:rPr>
      </w:pPr>
    </w:p>
    <w:p w14:paraId="1C6D5EFA" w14:textId="77777777" w:rsidR="00F435F9" w:rsidRPr="00F450E0" w:rsidRDefault="00F435F9" w:rsidP="00F435F9">
      <w:pPr>
        <w:autoSpaceDE w:val="0"/>
        <w:autoSpaceDN w:val="0"/>
        <w:adjustRightInd w:val="0"/>
        <w:spacing w:after="40" w:line="240" w:lineRule="auto"/>
        <w:rPr>
          <w:rFonts w:ascii="Arial" w:hAnsi="Arial" w:cs="Arial"/>
          <w:b/>
          <w:bCs/>
          <w:kern w:val="0"/>
          <w:sz w:val="32"/>
          <w:szCs w:val="32"/>
        </w:rPr>
      </w:pPr>
      <w:r w:rsidRPr="00F450E0">
        <w:rPr>
          <w:rFonts w:ascii="Arial" w:hAnsi="Arial" w:cs="Arial"/>
          <w:b/>
          <w:bCs/>
          <w:kern w:val="0"/>
          <w:sz w:val="32"/>
          <w:szCs w:val="32"/>
        </w:rPr>
        <w:t>3.3 Trust as a Key Factor</w:t>
      </w:r>
    </w:p>
    <w:p w14:paraId="12FD1F5C" w14:textId="77777777" w:rsidR="00EF789B" w:rsidRDefault="00EF789B" w:rsidP="0007347B">
      <w:pPr>
        <w:autoSpaceDE w:val="0"/>
        <w:autoSpaceDN w:val="0"/>
        <w:adjustRightInd w:val="0"/>
        <w:spacing w:after="0" w:line="240" w:lineRule="auto"/>
        <w:jc w:val="both"/>
        <w:rPr>
          <w:rFonts w:ascii="Arial" w:hAnsi="Arial" w:cs="Arial"/>
          <w:kern w:val="0"/>
          <w:sz w:val="26"/>
          <w:szCs w:val="26"/>
        </w:rPr>
      </w:pPr>
    </w:p>
    <w:p w14:paraId="2202F793" w14:textId="265B2DEA" w:rsidR="00F435F9"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Trust is an important factor in online environments (</w:t>
      </w:r>
      <w:proofErr w:type="spellStart"/>
      <w:r w:rsidRPr="00D8558F">
        <w:rPr>
          <w:rFonts w:ascii="Arial" w:hAnsi="Arial" w:cs="Arial"/>
          <w:kern w:val="0"/>
        </w:rPr>
        <w:t>Gefen</w:t>
      </w:r>
      <w:proofErr w:type="spellEnd"/>
      <w:r w:rsidRPr="00D8558F">
        <w:rPr>
          <w:rFonts w:ascii="Arial" w:hAnsi="Arial" w:cs="Arial"/>
          <w:kern w:val="0"/>
        </w:rPr>
        <w:t xml:space="preserve"> et al., 2003). Blockchain is often seen as creating trust through transparency and decentralisation (Tapscott and Tapscott, 2016). However, in reality, this does not always match how users feel. For many people, especially those who are less familiar with the technology, decentralisation can feel confusing rather than reassuring.</w:t>
      </w:r>
      <w:r w:rsidR="00BB4AB5" w:rsidRPr="00D8558F">
        <w:rPr>
          <w:rFonts w:ascii="Arial" w:hAnsi="Arial" w:cs="Arial"/>
          <w:kern w:val="0"/>
        </w:rPr>
        <w:t xml:space="preserve"> </w:t>
      </w:r>
      <w:r w:rsidRPr="00D8558F">
        <w:rPr>
          <w:rFonts w:ascii="Arial" w:hAnsi="Arial" w:cs="Arial"/>
          <w:kern w:val="0"/>
        </w:rPr>
        <w:t>Research shows that trust still plays a major role in whether people adopt cryptocurrency (</w:t>
      </w:r>
      <w:proofErr w:type="spellStart"/>
      <w:r w:rsidRPr="00D8558F">
        <w:rPr>
          <w:rFonts w:ascii="Arial" w:hAnsi="Arial" w:cs="Arial"/>
          <w:kern w:val="0"/>
        </w:rPr>
        <w:t>Shahzad</w:t>
      </w:r>
      <w:proofErr w:type="spellEnd"/>
      <w:r w:rsidRPr="00D8558F">
        <w:rPr>
          <w:rFonts w:ascii="Arial" w:hAnsi="Arial" w:cs="Arial"/>
          <w:kern w:val="0"/>
        </w:rPr>
        <w:t xml:space="preserve"> et al., 2024). However, it is not something that automatically comes from the technology itself. This suggests that businesses need to actively build trust through clear communication, reliable systems, and user support.</w:t>
      </w:r>
    </w:p>
    <w:p w14:paraId="66E08CF4" w14:textId="77777777" w:rsidR="00B644A2" w:rsidRPr="00AB0DF7" w:rsidRDefault="00B644A2" w:rsidP="00B644A2">
      <w:pPr>
        <w:autoSpaceDE w:val="0"/>
        <w:autoSpaceDN w:val="0"/>
        <w:adjustRightInd w:val="0"/>
        <w:spacing w:after="0" w:line="240" w:lineRule="auto"/>
        <w:rPr>
          <w:rFonts w:ascii="Arial" w:hAnsi="Arial" w:cs="Arial"/>
          <w:kern w:val="0"/>
          <w:sz w:val="26"/>
          <w:szCs w:val="26"/>
        </w:rPr>
      </w:pPr>
    </w:p>
    <w:p w14:paraId="4F8C6294" w14:textId="77777777" w:rsidR="00936CAB" w:rsidRPr="00F450E0" w:rsidRDefault="00936CAB" w:rsidP="00F435F9">
      <w:pPr>
        <w:autoSpaceDE w:val="0"/>
        <w:autoSpaceDN w:val="0"/>
        <w:adjustRightInd w:val="0"/>
        <w:spacing w:after="40" w:line="240" w:lineRule="auto"/>
        <w:rPr>
          <w:rFonts w:ascii="Arial" w:hAnsi="Arial" w:cs="Arial"/>
          <w:b/>
          <w:kern w:val="0"/>
          <w:sz w:val="32"/>
          <w:szCs w:val="32"/>
        </w:rPr>
      </w:pPr>
      <w:r w:rsidRPr="00F450E0">
        <w:rPr>
          <w:rFonts w:ascii="Arial" w:hAnsi="Arial" w:cs="Arial"/>
          <w:b/>
          <w:kern w:val="0"/>
          <w:sz w:val="32"/>
          <w:szCs w:val="32"/>
        </w:rPr>
        <w:t>3.4 Perceived Risk and Uncertainty</w:t>
      </w:r>
    </w:p>
    <w:p w14:paraId="4DB99680" w14:textId="77777777" w:rsidR="00BC661D" w:rsidRDefault="00BC661D" w:rsidP="0007347B">
      <w:pPr>
        <w:autoSpaceDE w:val="0"/>
        <w:autoSpaceDN w:val="0"/>
        <w:adjustRightInd w:val="0"/>
        <w:spacing w:after="0" w:line="240" w:lineRule="auto"/>
        <w:jc w:val="both"/>
        <w:rPr>
          <w:rFonts w:ascii="Arial" w:hAnsi="Arial" w:cs="Arial"/>
          <w:kern w:val="0"/>
          <w:sz w:val="26"/>
          <w:szCs w:val="26"/>
        </w:rPr>
      </w:pPr>
    </w:p>
    <w:p w14:paraId="60EACF72" w14:textId="13A8CC7D" w:rsidR="00F435F9"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Perceived risk is another important factor in financial decisions. Cryptocurrency is often linked with risks such as price changes, fraud, and security issues (</w:t>
      </w:r>
      <w:proofErr w:type="spellStart"/>
      <w:r w:rsidRPr="00D8558F">
        <w:rPr>
          <w:rFonts w:ascii="Arial" w:hAnsi="Arial" w:cs="Arial"/>
          <w:kern w:val="0"/>
        </w:rPr>
        <w:t>Böhme</w:t>
      </w:r>
      <w:proofErr w:type="spellEnd"/>
      <w:r w:rsidRPr="00D8558F">
        <w:rPr>
          <w:rFonts w:ascii="Arial" w:hAnsi="Arial" w:cs="Arial"/>
          <w:kern w:val="0"/>
        </w:rPr>
        <w:t xml:space="preserve"> et al., 2015). According to Rogers (2003), higher uncertainty makes people less likely to adopt new technology.</w:t>
      </w:r>
      <w:r w:rsidR="005645C9" w:rsidRPr="00D8558F">
        <w:rPr>
          <w:rFonts w:ascii="Arial" w:hAnsi="Arial" w:cs="Arial"/>
          <w:kern w:val="0"/>
        </w:rPr>
        <w:t xml:space="preserve"> </w:t>
      </w:r>
      <w:r w:rsidRPr="00D8558F">
        <w:rPr>
          <w:rFonts w:ascii="Arial" w:hAnsi="Arial" w:cs="Arial"/>
          <w:kern w:val="0"/>
        </w:rPr>
        <w:t>However, this view can be slightly limited. Over time, as people become more familiar with cryptocurrency and as regulation improves, risk may feel lower (Salim et al., 2025). This shows that risk is not fixed and can change depending on experience and external factors.</w:t>
      </w:r>
    </w:p>
    <w:p w14:paraId="2B25300B" w14:textId="77777777" w:rsidR="00936CAB" w:rsidRPr="00AB0DF7" w:rsidRDefault="00936CAB" w:rsidP="00936CAB">
      <w:pPr>
        <w:autoSpaceDE w:val="0"/>
        <w:autoSpaceDN w:val="0"/>
        <w:adjustRightInd w:val="0"/>
        <w:spacing w:after="0" w:line="240" w:lineRule="auto"/>
        <w:rPr>
          <w:rFonts w:ascii="Arial" w:hAnsi="Arial" w:cs="Arial"/>
          <w:kern w:val="0"/>
          <w:sz w:val="26"/>
          <w:szCs w:val="26"/>
        </w:rPr>
      </w:pPr>
    </w:p>
    <w:p w14:paraId="4CB0D17D" w14:textId="77777777" w:rsidR="00936CAB" w:rsidRPr="00F450E0" w:rsidRDefault="00936CAB" w:rsidP="00F435F9">
      <w:pPr>
        <w:autoSpaceDE w:val="0"/>
        <w:autoSpaceDN w:val="0"/>
        <w:adjustRightInd w:val="0"/>
        <w:spacing w:after="40" w:line="240" w:lineRule="auto"/>
        <w:rPr>
          <w:rFonts w:ascii="Arial" w:hAnsi="Arial" w:cs="Arial"/>
          <w:b/>
          <w:kern w:val="0"/>
          <w:sz w:val="32"/>
          <w:szCs w:val="32"/>
        </w:rPr>
      </w:pPr>
      <w:r w:rsidRPr="00F450E0">
        <w:rPr>
          <w:rFonts w:ascii="Arial" w:hAnsi="Arial" w:cs="Arial"/>
          <w:b/>
          <w:kern w:val="0"/>
          <w:sz w:val="32"/>
          <w:szCs w:val="32"/>
        </w:rPr>
        <w:t>3.5 Financial Literacy and the Digital Divide</w:t>
      </w:r>
    </w:p>
    <w:p w14:paraId="2B0B4D29" w14:textId="77777777" w:rsidR="00936CAB" w:rsidRPr="00AB0DF7" w:rsidRDefault="00936CAB" w:rsidP="0007347B">
      <w:pPr>
        <w:autoSpaceDE w:val="0"/>
        <w:autoSpaceDN w:val="0"/>
        <w:adjustRightInd w:val="0"/>
        <w:spacing w:after="0" w:line="240" w:lineRule="auto"/>
        <w:jc w:val="both"/>
        <w:rPr>
          <w:rFonts w:ascii="Arial" w:hAnsi="Arial" w:cs="Arial"/>
          <w:kern w:val="0"/>
          <w:sz w:val="26"/>
          <w:szCs w:val="26"/>
        </w:rPr>
      </w:pPr>
    </w:p>
    <w:p w14:paraId="36618ACB" w14:textId="63CF8417" w:rsidR="00F435F9"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Financial literacy plays a key role in helping people make informed decisions (</w:t>
      </w:r>
      <w:proofErr w:type="spellStart"/>
      <w:r w:rsidRPr="00D8558F">
        <w:rPr>
          <w:rFonts w:ascii="Arial" w:hAnsi="Arial" w:cs="Arial"/>
          <w:kern w:val="0"/>
        </w:rPr>
        <w:t>Lusardi</w:t>
      </w:r>
      <w:proofErr w:type="spellEnd"/>
      <w:r w:rsidRPr="00D8558F">
        <w:rPr>
          <w:rFonts w:ascii="Arial" w:hAnsi="Arial" w:cs="Arial"/>
          <w:kern w:val="0"/>
        </w:rPr>
        <w:t xml:space="preserve"> and Mitchell, 2014). With cryptocurrency, this also includes understanding digital systems. People with lower levels of knowledge may find it harder to engage, which can reduce adoption.</w:t>
      </w:r>
    </w:p>
    <w:p w14:paraId="5716542D" w14:textId="77777777" w:rsidR="00F435F9"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 xml:space="preserve">The idea of the digital divide (van </w:t>
      </w:r>
      <w:proofErr w:type="spellStart"/>
      <w:r w:rsidRPr="00D8558F">
        <w:rPr>
          <w:rFonts w:ascii="Arial" w:hAnsi="Arial" w:cs="Arial"/>
          <w:kern w:val="0"/>
        </w:rPr>
        <w:t>Dijk</w:t>
      </w:r>
      <w:proofErr w:type="spellEnd"/>
      <w:r w:rsidRPr="00D8558F">
        <w:rPr>
          <w:rFonts w:ascii="Arial" w:hAnsi="Arial" w:cs="Arial"/>
          <w:kern w:val="0"/>
        </w:rPr>
        <w:t>, 2020) highlights how some groups may be excluded due to lack of access or skills. This suggests that adoption is not just about interest, but also about ability and confidence in using digital tools.</w:t>
      </w:r>
    </w:p>
    <w:p w14:paraId="0EA838AA" w14:textId="77777777" w:rsidR="00F435F9" w:rsidRPr="00F450E0" w:rsidRDefault="00F435F9" w:rsidP="00F435F9">
      <w:pPr>
        <w:autoSpaceDE w:val="0"/>
        <w:autoSpaceDN w:val="0"/>
        <w:adjustRightInd w:val="0"/>
        <w:spacing w:after="0" w:line="240" w:lineRule="auto"/>
        <w:rPr>
          <w:rFonts w:ascii="Arial" w:hAnsi="Arial" w:cs="Arial"/>
          <w:kern w:val="0"/>
          <w:sz w:val="26"/>
          <w:szCs w:val="26"/>
        </w:rPr>
      </w:pPr>
    </w:p>
    <w:p w14:paraId="66927DF7" w14:textId="77777777" w:rsidR="00F435F9" w:rsidRPr="00F450E0" w:rsidRDefault="00F435F9" w:rsidP="00F435F9">
      <w:pPr>
        <w:autoSpaceDE w:val="0"/>
        <w:autoSpaceDN w:val="0"/>
        <w:adjustRightInd w:val="0"/>
        <w:spacing w:after="40" w:line="240" w:lineRule="auto"/>
        <w:rPr>
          <w:rFonts w:ascii="Arial" w:hAnsi="Arial" w:cs="Arial"/>
          <w:b/>
          <w:bCs/>
          <w:kern w:val="0"/>
          <w:sz w:val="32"/>
          <w:szCs w:val="32"/>
        </w:rPr>
      </w:pPr>
      <w:r w:rsidRPr="00F450E0">
        <w:rPr>
          <w:rFonts w:ascii="Arial" w:hAnsi="Arial" w:cs="Arial"/>
          <w:b/>
          <w:bCs/>
          <w:kern w:val="0"/>
          <w:sz w:val="32"/>
          <w:szCs w:val="32"/>
        </w:rPr>
        <w:t>3.6 Synthesis and Research Gap</w:t>
      </w:r>
    </w:p>
    <w:p w14:paraId="54F26D37" w14:textId="77777777" w:rsidR="00EF789B" w:rsidRDefault="00EF789B" w:rsidP="0007347B">
      <w:pPr>
        <w:autoSpaceDE w:val="0"/>
        <w:autoSpaceDN w:val="0"/>
        <w:adjustRightInd w:val="0"/>
        <w:spacing w:after="0" w:line="240" w:lineRule="auto"/>
        <w:jc w:val="both"/>
        <w:rPr>
          <w:rFonts w:ascii="Arial" w:hAnsi="Arial" w:cs="Arial"/>
          <w:kern w:val="0"/>
          <w:sz w:val="26"/>
          <w:szCs w:val="26"/>
        </w:rPr>
      </w:pPr>
    </w:p>
    <w:p w14:paraId="1CF74D04" w14:textId="6B9BD976" w:rsidR="00F435F9"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Overall, while the literature provides useful insights, it often looks at factors like trust, risk, and literacy separately. This limits understanding of how they interact in real situations (</w:t>
      </w:r>
      <w:proofErr w:type="spellStart"/>
      <w:r w:rsidRPr="00D8558F">
        <w:rPr>
          <w:rFonts w:ascii="Arial" w:hAnsi="Arial" w:cs="Arial"/>
          <w:kern w:val="0"/>
        </w:rPr>
        <w:t>Shahzad</w:t>
      </w:r>
      <w:proofErr w:type="spellEnd"/>
      <w:r w:rsidRPr="00D8558F">
        <w:rPr>
          <w:rFonts w:ascii="Arial" w:hAnsi="Arial" w:cs="Arial"/>
          <w:kern w:val="0"/>
        </w:rPr>
        <w:t xml:space="preserve"> et al., 2024; Li and Wang, 2017). There is also a lack of focus on how these findings can be applied in a business context (</w:t>
      </w:r>
      <w:proofErr w:type="spellStart"/>
      <w:r w:rsidRPr="00D8558F">
        <w:rPr>
          <w:rFonts w:ascii="Arial" w:hAnsi="Arial" w:cs="Arial"/>
          <w:kern w:val="0"/>
        </w:rPr>
        <w:t>Böhme</w:t>
      </w:r>
      <w:proofErr w:type="spellEnd"/>
      <w:r w:rsidRPr="00D8558F">
        <w:rPr>
          <w:rFonts w:ascii="Arial" w:hAnsi="Arial" w:cs="Arial"/>
          <w:kern w:val="0"/>
        </w:rPr>
        <w:t xml:space="preserve"> et al., 2015). This study aims to address these gaps by looking at these factors together and linking them more clearly to practical strategies.</w:t>
      </w:r>
    </w:p>
    <w:p w14:paraId="56525596" w14:textId="77777777" w:rsidR="00936CAB" w:rsidRPr="00AB0DF7" w:rsidRDefault="00936CAB" w:rsidP="00936CAB">
      <w:pPr>
        <w:autoSpaceDE w:val="0"/>
        <w:autoSpaceDN w:val="0"/>
        <w:adjustRightInd w:val="0"/>
        <w:spacing w:after="0" w:line="240" w:lineRule="auto"/>
        <w:rPr>
          <w:rFonts w:ascii="Arial" w:hAnsi="Arial" w:cs="Arial"/>
          <w:kern w:val="0"/>
          <w:sz w:val="26"/>
          <w:szCs w:val="26"/>
        </w:rPr>
      </w:pPr>
    </w:p>
    <w:p w14:paraId="2FAA521B" w14:textId="77777777" w:rsidR="00936CAB" w:rsidRPr="00F450E0" w:rsidRDefault="00936CAB" w:rsidP="00F435F9">
      <w:pPr>
        <w:autoSpaceDE w:val="0"/>
        <w:autoSpaceDN w:val="0"/>
        <w:adjustRightInd w:val="0"/>
        <w:spacing w:after="40" w:line="240" w:lineRule="auto"/>
        <w:rPr>
          <w:rFonts w:ascii="Arial" w:hAnsi="Arial" w:cs="Arial"/>
          <w:b/>
          <w:kern w:val="0"/>
          <w:sz w:val="32"/>
          <w:szCs w:val="32"/>
        </w:rPr>
      </w:pPr>
      <w:r w:rsidRPr="00F450E0">
        <w:rPr>
          <w:rFonts w:ascii="Arial" w:hAnsi="Arial" w:cs="Arial"/>
          <w:b/>
          <w:kern w:val="0"/>
          <w:sz w:val="32"/>
          <w:szCs w:val="32"/>
        </w:rPr>
        <w:t>4. Proposed Conceptual Framework</w:t>
      </w:r>
    </w:p>
    <w:p w14:paraId="1549605B" w14:textId="77777777" w:rsidR="00936CAB" w:rsidRDefault="00936CAB" w:rsidP="0007347B">
      <w:pPr>
        <w:autoSpaceDE w:val="0"/>
        <w:autoSpaceDN w:val="0"/>
        <w:adjustRightInd w:val="0"/>
        <w:spacing w:after="0" w:line="240" w:lineRule="auto"/>
        <w:jc w:val="both"/>
        <w:rPr>
          <w:rFonts w:ascii="Arial" w:hAnsi="Arial" w:cs="Arial"/>
          <w:kern w:val="0"/>
          <w:sz w:val="26"/>
          <w:szCs w:val="26"/>
        </w:rPr>
      </w:pPr>
    </w:p>
    <w:p w14:paraId="48E203A0" w14:textId="7354BFA7" w:rsidR="00F435F9"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This study suggests that cryptocurrency adoption is influenced by the interaction between financial literacy, trust, and perceived risk. Financial literacy is seen as a starting point, as it affects how well people can understand information and make decisions.</w:t>
      </w:r>
      <w:r w:rsidR="004B3C7E" w:rsidRPr="00D8558F">
        <w:rPr>
          <w:rFonts w:ascii="Arial" w:hAnsi="Arial" w:cs="Arial"/>
          <w:kern w:val="0"/>
        </w:rPr>
        <w:t xml:space="preserve"> </w:t>
      </w:r>
      <w:r w:rsidRPr="00D8558F">
        <w:rPr>
          <w:rFonts w:ascii="Arial" w:hAnsi="Arial" w:cs="Arial"/>
          <w:kern w:val="0"/>
        </w:rPr>
        <w:t>Higher financial literacy can increase confidence and reduce uncertainty, while lower levels may lead to hesitation. Trust then acts as something that encourages people to engage, while perceived risk works as a barrier. Looking at these factors together gives a clearer picture of why people adopt or avoid cryptocurrency and shows where businesses can focus their efforts.</w:t>
      </w:r>
    </w:p>
    <w:p w14:paraId="21B1FC20" w14:textId="77777777" w:rsidR="00936CAB" w:rsidRPr="00AB0DF7" w:rsidRDefault="00936CAB" w:rsidP="00936CAB">
      <w:pPr>
        <w:autoSpaceDE w:val="0"/>
        <w:autoSpaceDN w:val="0"/>
        <w:adjustRightInd w:val="0"/>
        <w:spacing w:after="0" w:line="240" w:lineRule="auto"/>
        <w:rPr>
          <w:rFonts w:ascii="Arial" w:hAnsi="Arial" w:cs="Arial"/>
          <w:kern w:val="0"/>
          <w:sz w:val="26"/>
          <w:szCs w:val="26"/>
        </w:rPr>
      </w:pPr>
    </w:p>
    <w:p w14:paraId="442219C9" w14:textId="77777777" w:rsidR="00936CAB" w:rsidRPr="00F450E0" w:rsidRDefault="00936CAB" w:rsidP="00F435F9">
      <w:pPr>
        <w:autoSpaceDE w:val="0"/>
        <w:autoSpaceDN w:val="0"/>
        <w:adjustRightInd w:val="0"/>
        <w:spacing w:after="40" w:line="240" w:lineRule="auto"/>
        <w:rPr>
          <w:rFonts w:ascii="Arial" w:hAnsi="Arial" w:cs="Arial"/>
          <w:b/>
          <w:kern w:val="0"/>
          <w:sz w:val="32"/>
          <w:szCs w:val="32"/>
        </w:rPr>
      </w:pPr>
      <w:r w:rsidRPr="00F450E0">
        <w:rPr>
          <w:rFonts w:ascii="Arial" w:hAnsi="Arial" w:cs="Arial"/>
          <w:b/>
          <w:kern w:val="0"/>
          <w:sz w:val="32"/>
          <w:szCs w:val="32"/>
        </w:rPr>
        <w:t>5. Research Methodology and Design</w:t>
      </w:r>
    </w:p>
    <w:p w14:paraId="6314C7D9" w14:textId="77777777" w:rsidR="00BC661D" w:rsidRDefault="00BC661D" w:rsidP="0007347B">
      <w:pPr>
        <w:autoSpaceDE w:val="0"/>
        <w:autoSpaceDN w:val="0"/>
        <w:adjustRightInd w:val="0"/>
        <w:spacing w:after="0" w:line="240" w:lineRule="auto"/>
        <w:jc w:val="both"/>
        <w:rPr>
          <w:rFonts w:ascii="Arial" w:hAnsi="Arial" w:cs="Arial"/>
          <w:kern w:val="0"/>
          <w:sz w:val="26"/>
          <w:szCs w:val="26"/>
        </w:rPr>
      </w:pPr>
    </w:p>
    <w:p w14:paraId="65FE991E" w14:textId="3B02521C" w:rsidR="00F435F9"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This study uses a qualitative approach, based on a systematic literature review. This is suitable because the topic is complex and focuses on understanding behaviour rather than measuring simple outcomes.</w:t>
      </w:r>
      <w:r w:rsidR="009A7C9F" w:rsidRPr="00D8558F">
        <w:rPr>
          <w:rFonts w:ascii="Arial" w:hAnsi="Arial" w:cs="Arial"/>
          <w:kern w:val="0"/>
        </w:rPr>
        <w:t xml:space="preserve"> </w:t>
      </w:r>
      <w:r w:rsidRPr="00D8558F">
        <w:rPr>
          <w:rFonts w:ascii="Arial" w:hAnsi="Arial" w:cs="Arial"/>
          <w:kern w:val="0"/>
        </w:rPr>
        <w:t xml:space="preserve">The review follows the approach by </w:t>
      </w:r>
      <w:proofErr w:type="spellStart"/>
      <w:r w:rsidRPr="00D8558F">
        <w:rPr>
          <w:rFonts w:ascii="Arial" w:hAnsi="Arial" w:cs="Arial"/>
          <w:kern w:val="0"/>
        </w:rPr>
        <w:t>Tranfield</w:t>
      </w:r>
      <w:proofErr w:type="spellEnd"/>
      <w:r w:rsidRPr="00D8558F">
        <w:rPr>
          <w:rFonts w:ascii="Arial" w:hAnsi="Arial" w:cs="Arial"/>
          <w:kern w:val="0"/>
        </w:rPr>
        <w:t xml:space="preserve"> et al. (2003), which provides a structured way of selecting and analysing sources. Only relevant and reliable academic studies will be included, mainly from peer-reviewed journals published between 2008 and 2025.</w:t>
      </w:r>
      <w:r w:rsidR="009A7C9F" w:rsidRPr="00D8558F">
        <w:rPr>
          <w:rFonts w:ascii="Arial" w:hAnsi="Arial" w:cs="Arial"/>
          <w:kern w:val="0"/>
        </w:rPr>
        <w:t xml:space="preserve"> </w:t>
      </w:r>
      <w:r w:rsidRPr="00D8558F">
        <w:rPr>
          <w:rFonts w:ascii="Arial" w:hAnsi="Arial" w:cs="Arial"/>
          <w:kern w:val="0"/>
        </w:rPr>
        <w:t>Data will be collected using databases such as Google Scholar, focusing on key themes like trust, risk, and financial literacy. Around 30 to 50 sources will be used to ensure enough depth. The data will then be analysed using thematic analysis (Braun and Clarke, 2006), which helps identify patterns across different studies.</w:t>
      </w:r>
      <w:r w:rsidR="009A7C9F" w:rsidRPr="00D8558F">
        <w:rPr>
          <w:rFonts w:ascii="Arial" w:hAnsi="Arial" w:cs="Arial"/>
          <w:kern w:val="0"/>
        </w:rPr>
        <w:t xml:space="preserve">  </w:t>
      </w:r>
      <w:r w:rsidRPr="00D8558F">
        <w:rPr>
          <w:rFonts w:ascii="Arial" w:hAnsi="Arial" w:cs="Arial"/>
          <w:kern w:val="0"/>
        </w:rPr>
        <w:t>One limitation is that the study relies on existing research rather than primary data, so it may not fully reflect current user behaviour. However, using a wide range of sources helps improve reliability. Ethical issues are minimal, as all data is publicly available, and all sources will be properly referenced.</w:t>
      </w:r>
    </w:p>
    <w:p w14:paraId="7344F7A0" w14:textId="77777777" w:rsidR="00936CAB" w:rsidRPr="00AB0DF7" w:rsidRDefault="00936CAB" w:rsidP="00936CAB">
      <w:pPr>
        <w:autoSpaceDE w:val="0"/>
        <w:autoSpaceDN w:val="0"/>
        <w:adjustRightInd w:val="0"/>
        <w:spacing w:after="0" w:line="240" w:lineRule="auto"/>
        <w:rPr>
          <w:rFonts w:ascii="Arial" w:hAnsi="Arial" w:cs="Arial"/>
          <w:kern w:val="0"/>
          <w:sz w:val="26"/>
          <w:szCs w:val="26"/>
        </w:rPr>
      </w:pPr>
    </w:p>
    <w:p w14:paraId="37DCAC43" w14:textId="77777777" w:rsidR="00936CAB" w:rsidRPr="00F450E0" w:rsidRDefault="00936CAB" w:rsidP="00F435F9">
      <w:pPr>
        <w:autoSpaceDE w:val="0"/>
        <w:autoSpaceDN w:val="0"/>
        <w:adjustRightInd w:val="0"/>
        <w:spacing w:after="40" w:line="240" w:lineRule="auto"/>
        <w:rPr>
          <w:rFonts w:ascii="Arial" w:hAnsi="Arial" w:cs="Arial"/>
          <w:b/>
          <w:kern w:val="0"/>
          <w:sz w:val="32"/>
          <w:szCs w:val="32"/>
        </w:rPr>
      </w:pPr>
      <w:r w:rsidRPr="00F450E0">
        <w:rPr>
          <w:rFonts w:ascii="Arial" w:hAnsi="Arial" w:cs="Arial"/>
          <w:b/>
          <w:kern w:val="0"/>
          <w:sz w:val="32"/>
          <w:szCs w:val="32"/>
        </w:rPr>
        <w:t>6. Business Relevance and Practical Implications</w:t>
      </w:r>
    </w:p>
    <w:p w14:paraId="54719EE5" w14:textId="77777777" w:rsidR="002F699B" w:rsidRDefault="002F699B" w:rsidP="0007347B">
      <w:pPr>
        <w:autoSpaceDE w:val="0"/>
        <w:autoSpaceDN w:val="0"/>
        <w:adjustRightInd w:val="0"/>
        <w:spacing w:after="0" w:line="240" w:lineRule="auto"/>
        <w:jc w:val="both"/>
        <w:rPr>
          <w:rFonts w:ascii="Arial" w:hAnsi="Arial" w:cs="Arial"/>
          <w:kern w:val="0"/>
          <w:sz w:val="26"/>
          <w:szCs w:val="26"/>
        </w:rPr>
      </w:pPr>
    </w:p>
    <w:p w14:paraId="30507DB5" w14:textId="2F43BB35" w:rsidR="00F435F9" w:rsidRPr="00D8558F" w:rsidRDefault="00F435F9" w:rsidP="0007347B">
      <w:pPr>
        <w:autoSpaceDE w:val="0"/>
        <w:autoSpaceDN w:val="0"/>
        <w:adjustRightInd w:val="0"/>
        <w:spacing w:after="0" w:line="240" w:lineRule="auto"/>
        <w:jc w:val="both"/>
        <w:rPr>
          <w:rFonts w:ascii="Arial" w:hAnsi="Arial" w:cs="Arial"/>
          <w:kern w:val="0"/>
        </w:rPr>
      </w:pPr>
      <w:r w:rsidRPr="00D8558F">
        <w:rPr>
          <w:rFonts w:ascii="Arial" w:hAnsi="Arial" w:cs="Arial"/>
          <w:kern w:val="0"/>
        </w:rPr>
        <w:t>The findings of this study are important for businesses operating in digital finance. By understanding the factors that influence adoption, organisations can move beyond focusing only on technology and instead develop strategies that reflect user behaviour and expectations.</w:t>
      </w:r>
      <w:r w:rsidR="009A7C9F" w:rsidRPr="00D8558F">
        <w:rPr>
          <w:rFonts w:ascii="Arial" w:hAnsi="Arial" w:cs="Arial"/>
          <w:kern w:val="0"/>
        </w:rPr>
        <w:t xml:space="preserve"> </w:t>
      </w:r>
      <w:r w:rsidRPr="00D8558F">
        <w:rPr>
          <w:rFonts w:ascii="Arial" w:hAnsi="Arial" w:cs="Arial"/>
          <w:kern w:val="0"/>
        </w:rPr>
        <w:t>Building trust requires consistent communication and strong, reliable security systems. Reducing perceived risk involves not only improving technology but also explaining it clearly so that users can understand it. In addition, improving financial literacy through targeted education can help users feel more confident when engaging with cryptocurrency.</w:t>
      </w:r>
      <w:r w:rsidR="009A7C9F" w:rsidRPr="00D8558F">
        <w:rPr>
          <w:rFonts w:ascii="Arial" w:hAnsi="Arial" w:cs="Arial"/>
          <w:kern w:val="0"/>
        </w:rPr>
        <w:t xml:space="preserve"> </w:t>
      </w:r>
      <w:r w:rsidRPr="00D8558F">
        <w:rPr>
          <w:rFonts w:ascii="Arial" w:hAnsi="Arial" w:cs="Arial"/>
          <w:kern w:val="0"/>
        </w:rPr>
        <w:t>Overall, businesses that take these factors into account are more likely to turn initial interest into long</w:t>
      </w:r>
      <w:r w:rsidR="0007347B" w:rsidRPr="00D8558F">
        <w:rPr>
          <w:rFonts w:ascii="Arial" w:hAnsi="Arial" w:cs="Arial"/>
          <w:kern w:val="0"/>
        </w:rPr>
        <w:t xml:space="preserve"> </w:t>
      </w:r>
      <w:r w:rsidRPr="00D8558F">
        <w:rPr>
          <w:rFonts w:ascii="Arial" w:hAnsi="Arial" w:cs="Arial"/>
          <w:kern w:val="0"/>
        </w:rPr>
        <w:t>term use. This can help them stay competitive in a market that is constantly evolving.</w:t>
      </w:r>
    </w:p>
    <w:p w14:paraId="1AF358B4" w14:textId="77777777" w:rsidR="002F699B" w:rsidRPr="00AB0DF7" w:rsidRDefault="002F699B" w:rsidP="00F435F9">
      <w:pPr>
        <w:autoSpaceDE w:val="0"/>
        <w:autoSpaceDN w:val="0"/>
        <w:adjustRightInd w:val="0"/>
        <w:spacing w:after="0" w:line="240" w:lineRule="auto"/>
        <w:rPr>
          <w:rFonts w:ascii="Arial" w:hAnsi="Arial" w:cs="Arial"/>
          <w:kern w:val="0"/>
          <w:sz w:val="26"/>
          <w:szCs w:val="26"/>
        </w:rPr>
      </w:pPr>
    </w:p>
    <w:p w14:paraId="585040F6" w14:textId="77777777" w:rsidR="009969E3" w:rsidRDefault="009969E3" w:rsidP="00F435F9">
      <w:pPr>
        <w:autoSpaceDE w:val="0"/>
        <w:autoSpaceDN w:val="0"/>
        <w:adjustRightInd w:val="0"/>
        <w:spacing w:after="40" w:line="240" w:lineRule="auto"/>
        <w:rPr>
          <w:rFonts w:ascii="Arial" w:hAnsi="Arial" w:cs="Arial"/>
          <w:b/>
          <w:kern w:val="0"/>
          <w:sz w:val="32"/>
          <w:szCs w:val="32"/>
        </w:rPr>
      </w:pPr>
    </w:p>
    <w:p w14:paraId="049EC3F7" w14:textId="07A4CCC4" w:rsidR="00936CAB" w:rsidRPr="00F450E0" w:rsidRDefault="00936CAB" w:rsidP="00F435F9">
      <w:pPr>
        <w:autoSpaceDE w:val="0"/>
        <w:autoSpaceDN w:val="0"/>
        <w:adjustRightInd w:val="0"/>
        <w:spacing w:after="40" w:line="240" w:lineRule="auto"/>
        <w:rPr>
          <w:rFonts w:ascii="Arial" w:hAnsi="Arial" w:cs="Arial"/>
          <w:b/>
          <w:kern w:val="0"/>
          <w:sz w:val="32"/>
          <w:szCs w:val="32"/>
        </w:rPr>
      </w:pPr>
      <w:r w:rsidRPr="00F450E0">
        <w:rPr>
          <w:rFonts w:ascii="Arial" w:hAnsi="Arial" w:cs="Arial"/>
          <w:b/>
          <w:kern w:val="0"/>
          <w:sz w:val="32"/>
          <w:szCs w:val="32"/>
        </w:rPr>
        <w:t>7. Conclusion</w:t>
      </w:r>
    </w:p>
    <w:p w14:paraId="342E96D0" w14:textId="77777777" w:rsidR="00936CAB" w:rsidRDefault="00936CAB" w:rsidP="0007347B">
      <w:pPr>
        <w:autoSpaceDE w:val="0"/>
        <w:autoSpaceDN w:val="0"/>
        <w:adjustRightInd w:val="0"/>
        <w:spacing w:after="0" w:line="240" w:lineRule="auto"/>
        <w:jc w:val="both"/>
        <w:rPr>
          <w:rFonts w:ascii="Arial" w:hAnsi="Arial" w:cs="Arial"/>
          <w:kern w:val="0"/>
          <w:sz w:val="26"/>
          <w:szCs w:val="26"/>
        </w:rPr>
      </w:pPr>
    </w:p>
    <w:p w14:paraId="3ABB7E97" w14:textId="77777777" w:rsidR="00AE6FE7" w:rsidRPr="00D8558F" w:rsidRDefault="00AE6FE7" w:rsidP="00DD12DD">
      <w:pPr>
        <w:autoSpaceDE w:val="0"/>
        <w:autoSpaceDN w:val="0"/>
        <w:adjustRightInd w:val="0"/>
        <w:spacing w:after="0" w:line="240" w:lineRule="auto"/>
        <w:jc w:val="both"/>
        <w:rPr>
          <w:rFonts w:ascii="Arial" w:hAnsi="Arial" w:cs="Arial"/>
          <w:kern w:val="0"/>
        </w:rPr>
      </w:pPr>
      <w:r w:rsidRPr="00D8558F">
        <w:rPr>
          <w:rFonts w:ascii="Arial" w:hAnsi="Arial" w:cs="Arial"/>
          <w:kern w:val="0"/>
        </w:rPr>
        <w:t>Cryptocurrency adoption is influenced by factors such as trust, perceived risk, and financial literacy. While the technology offers strong potential, these challenges continue to affect how people engage with it. This study shows that adoption should not be seen as just a technical issue, but also as a behavioural and strategic one. By understanding how these factors work together, businesses can take a more informed approach. Improving adoption will depend on aligning technology with user understanding and confidence, rather than relying on innovation alone.</w:t>
      </w:r>
    </w:p>
    <w:p w14:paraId="28EFB1F5" w14:textId="77777777" w:rsidR="005B3917" w:rsidRPr="00D8558F" w:rsidRDefault="005B3917" w:rsidP="00DD12DD">
      <w:pPr>
        <w:autoSpaceDE w:val="0"/>
        <w:autoSpaceDN w:val="0"/>
        <w:adjustRightInd w:val="0"/>
        <w:spacing w:after="0" w:line="240" w:lineRule="auto"/>
        <w:jc w:val="both"/>
        <w:rPr>
          <w:rFonts w:ascii="Arial" w:hAnsi="Arial" w:cs="Arial"/>
          <w:kern w:val="0"/>
        </w:rPr>
      </w:pPr>
    </w:p>
    <w:p w14:paraId="45F44710" w14:textId="77777777" w:rsidR="00AE6FE7" w:rsidRPr="00D8558F" w:rsidRDefault="00AE6FE7" w:rsidP="00DD12DD">
      <w:pPr>
        <w:autoSpaceDE w:val="0"/>
        <w:autoSpaceDN w:val="0"/>
        <w:adjustRightInd w:val="0"/>
        <w:spacing w:after="0" w:line="240" w:lineRule="auto"/>
        <w:jc w:val="both"/>
        <w:rPr>
          <w:rFonts w:ascii="Arial" w:hAnsi="Arial" w:cs="Arial"/>
          <w:kern w:val="0"/>
        </w:rPr>
      </w:pPr>
      <w:r w:rsidRPr="00D8558F">
        <w:rPr>
          <w:rFonts w:ascii="Arial" w:hAnsi="Arial" w:cs="Arial"/>
          <w:kern w:val="0"/>
        </w:rPr>
        <w:t>Building on this, the evidence from the referenced materials also suggests that broader structural elements play a decisive role in shaping adoption patterns. Regulatory clarity, for instance, can significantly reduce uncertainty, allowing both individuals and organisations to participate with greater assurance. In contrast, inconsistent or restrictive policy environments tend to reinforce hesitation, regardless of the underlying technological benefits. Furthermore, social influence and institutional endorsement appear to act as important catalysts, as users are more likely to engage with cryptocurrency when it is normalised within mainstream financial systems or supported by trusted entities.</w:t>
      </w:r>
    </w:p>
    <w:p w14:paraId="7CB8E3D1" w14:textId="77777777" w:rsidR="005B3917" w:rsidRPr="00D8558F" w:rsidRDefault="005B3917" w:rsidP="00DD12DD">
      <w:pPr>
        <w:autoSpaceDE w:val="0"/>
        <w:autoSpaceDN w:val="0"/>
        <w:adjustRightInd w:val="0"/>
        <w:spacing w:after="0" w:line="240" w:lineRule="auto"/>
        <w:jc w:val="both"/>
        <w:rPr>
          <w:rFonts w:ascii="Arial" w:hAnsi="Arial" w:cs="Arial"/>
          <w:kern w:val="0"/>
        </w:rPr>
      </w:pPr>
    </w:p>
    <w:p w14:paraId="47571358" w14:textId="54DCEDFB" w:rsidR="00AE6FE7" w:rsidRPr="00D8558F" w:rsidRDefault="00AE6FE7" w:rsidP="00DD12DD">
      <w:pPr>
        <w:autoSpaceDE w:val="0"/>
        <w:autoSpaceDN w:val="0"/>
        <w:adjustRightInd w:val="0"/>
        <w:spacing w:after="0" w:line="240" w:lineRule="auto"/>
        <w:jc w:val="both"/>
        <w:rPr>
          <w:rFonts w:ascii="Arial" w:hAnsi="Arial" w:cs="Arial"/>
          <w:kern w:val="0"/>
        </w:rPr>
      </w:pPr>
      <w:r w:rsidRPr="00D8558F">
        <w:rPr>
          <w:rFonts w:ascii="Arial" w:hAnsi="Arial" w:cs="Arial"/>
          <w:kern w:val="0"/>
        </w:rPr>
        <w:t>In addition, accessibility remains a key determinant. Even when individuals possess a basic awareness of cryptocurrency, barriers such as complex user interfaces, limited consumer protection, and volatile market conditions can discourage sustained use. The literature highlights that simplifying user experiences and integrating educational initiatives into digital platforms can help bridge this gap, enabling users to make more confident and informed decisions.</w:t>
      </w:r>
      <w:r w:rsidR="005B3917" w:rsidRPr="00D8558F">
        <w:rPr>
          <w:rFonts w:ascii="Arial" w:hAnsi="Arial" w:cs="Arial"/>
          <w:kern w:val="0"/>
        </w:rPr>
        <w:t xml:space="preserve">  </w:t>
      </w:r>
    </w:p>
    <w:p w14:paraId="0A1A20BE" w14:textId="77777777" w:rsidR="005B3917" w:rsidRPr="00D8558F" w:rsidRDefault="005B3917" w:rsidP="00DD12DD">
      <w:pPr>
        <w:autoSpaceDE w:val="0"/>
        <w:autoSpaceDN w:val="0"/>
        <w:adjustRightInd w:val="0"/>
        <w:spacing w:after="0" w:line="240" w:lineRule="auto"/>
        <w:jc w:val="both"/>
        <w:rPr>
          <w:rFonts w:ascii="Arial" w:hAnsi="Arial" w:cs="Arial"/>
          <w:kern w:val="0"/>
        </w:rPr>
      </w:pPr>
    </w:p>
    <w:p w14:paraId="728DEB56" w14:textId="76BA7FAA" w:rsidR="00AE6FE7" w:rsidRPr="00D8558F" w:rsidRDefault="00AE6FE7" w:rsidP="00DD12DD">
      <w:pPr>
        <w:autoSpaceDE w:val="0"/>
        <w:autoSpaceDN w:val="0"/>
        <w:adjustRightInd w:val="0"/>
        <w:spacing w:after="0" w:line="240" w:lineRule="auto"/>
        <w:jc w:val="both"/>
        <w:rPr>
          <w:rFonts w:ascii="Arial" w:hAnsi="Arial" w:cs="Arial"/>
          <w:kern w:val="0"/>
        </w:rPr>
      </w:pPr>
      <w:r w:rsidRPr="00D8558F">
        <w:rPr>
          <w:rFonts w:ascii="Arial" w:hAnsi="Arial" w:cs="Arial"/>
          <w:kern w:val="0"/>
        </w:rPr>
        <w:t>Ultimately, the findings indicate that long</w:t>
      </w:r>
      <w:r w:rsidR="00DD12DD" w:rsidRPr="00D8558F">
        <w:rPr>
          <w:rFonts w:ascii="Arial" w:hAnsi="Arial" w:cs="Arial"/>
          <w:kern w:val="0"/>
        </w:rPr>
        <w:t xml:space="preserve"> </w:t>
      </w:r>
      <w:r w:rsidRPr="00D8558F">
        <w:rPr>
          <w:rFonts w:ascii="Arial" w:hAnsi="Arial" w:cs="Arial"/>
          <w:kern w:val="0"/>
        </w:rPr>
        <w:t>term adoption will rely on a coordinated effort between technological development, regulatory frameworks, and user</w:t>
      </w:r>
      <w:r w:rsidR="00DD12DD" w:rsidRPr="00D8558F">
        <w:rPr>
          <w:rFonts w:ascii="Arial" w:hAnsi="Arial" w:cs="Arial"/>
          <w:kern w:val="0"/>
        </w:rPr>
        <w:t xml:space="preserve"> </w:t>
      </w:r>
      <w:r w:rsidRPr="00D8558F">
        <w:rPr>
          <w:rFonts w:ascii="Arial" w:hAnsi="Arial" w:cs="Arial"/>
          <w:kern w:val="0"/>
        </w:rPr>
        <w:t>centred design. Rather than viewing adoption as a linear outcome of innovation, it should be approached as an evolving process shaped by economic, psychological, and institutional dynamics. This perspective allows businesses and policymakers to move beyond short</w:t>
      </w:r>
      <w:r w:rsidR="00DD12DD" w:rsidRPr="00D8558F">
        <w:rPr>
          <w:rFonts w:ascii="Arial" w:hAnsi="Arial" w:cs="Arial"/>
          <w:kern w:val="0"/>
        </w:rPr>
        <w:t xml:space="preserve"> </w:t>
      </w:r>
      <w:r w:rsidRPr="00D8558F">
        <w:rPr>
          <w:rFonts w:ascii="Arial" w:hAnsi="Arial" w:cs="Arial"/>
          <w:kern w:val="0"/>
        </w:rPr>
        <w:t>term engagement strategies and instead foster a more stable and inclusive environment for cryptocurrency use.</w:t>
      </w:r>
    </w:p>
    <w:p w14:paraId="6A588EA6" w14:textId="77777777" w:rsidR="00936CAB" w:rsidRDefault="00936CAB" w:rsidP="00936CAB">
      <w:pPr>
        <w:autoSpaceDE w:val="0"/>
        <w:autoSpaceDN w:val="0"/>
        <w:adjustRightInd w:val="0"/>
        <w:spacing w:after="0" w:line="240" w:lineRule="auto"/>
        <w:rPr>
          <w:rFonts w:ascii="Arial" w:hAnsi="Arial" w:cs="Arial"/>
          <w:kern w:val="0"/>
          <w:sz w:val="26"/>
          <w:szCs w:val="26"/>
        </w:rPr>
      </w:pPr>
    </w:p>
    <w:p w14:paraId="62656BF1" w14:textId="77777777" w:rsidR="00936CAB" w:rsidRDefault="00936CAB" w:rsidP="00936CAB">
      <w:pPr>
        <w:autoSpaceDE w:val="0"/>
        <w:autoSpaceDN w:val="0"/>
        <w:adjustRightInd w:val="0"/>
        <w:spacing w:after="0" w:line="240" w:lineRule="auto"/>
        <w:rPr>
          <w:rFonts w:ascii="Arial" w:hAnsi="Arial" w:cs="Arial"/>
          <w:kern w:val="0"/>
          <w:sz w:val="26"/>
          <w:szCs w:val="26"/>
        </w:rPr>
      </w:pPr>
    </w:p>
    <w:p w14:paraId="2EE1E2C4" w14:textId="77777777" w:rsidR="00936CAB" w:rsidRDefault="00936CAB" w:rsidP="00936CAB">
      <w:pPr>
        <w:autoSpaceDE w:val="0"/>
        <w:autoSpaceDN w:val="0"/>
        <w:adjustRightInd w:val="0"/>
        <w:spacing w:after="0" w:line="240" w:lineRule="auto"/>
        <w:rPr>
          <w:rFonts w:ascii="Arial" w:hAnsi="Arial" w:cs="Arial"/>
          <w:kern w:val="0"/>
          <w:sz w:val="26"/>
          <w:szCs w:val="26"/>
        </w:rPr>
      </w:pPr>
    </w:p>
    <w:p w14:paraId="29389596"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7BFB8158"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1A2D3C99"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7B7C7EAA"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0D4B591A"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5E7D0A37"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6C0C980F"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42BF34F2"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24B91071"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43531C97"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58BD3932"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5DABEB16"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2347ADF3"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79AAC0A0"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482DA006"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37956DED"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6F2EAB75"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4ED1C4DA" w14:textId="77777777" w:rsidR="00936CAB" w:rsidRDefault="00936CAB" w:rsidP="004720E5">
      <w:pPr>
        <w:autoSpaceDE w:val="0"/>
        <w:autoSpaceDN w:val="0"/>
        <w:adjustRightInd w:val="0"/>
        <w:spacing w:after="0" w:line="240" w:lineRule="auto"/>
        <w:jc w:val="center"/>
        <w:rPr>
          <w:rFonts w:ascii="Arial" w:hAnsi="Arial" w:cs="Arial"/>
          <w:b/>
          <w:kern w:val="0"/>
          <w:sz w:val="26"/>
          <w:szCs w:val="26"/>
        </w:rPr>
      </w:pPr>
    </w:p>
    <w:p w14:paraId="36F074A2" w14:textId="77777777" w:rsidR="00A441EE" w:rsidRDefault="00A441EE" w:rsidP="004720E5">
      <w:pPr>
        <w:autoSpaceDE w:val="0"/>
        <w:autoSpaceDN w:val="0"/>
        <w:adjustRightInd w:val="0"/>
        <w:spacing w:after="0" w:line="240" w:lineRule="auto"/>
        <w:jc w:val="center"/>
        <w:rPr>
          <w:rFonts w:ascii="Arial" w:hAnsi="Arial" w:cs="Arial"/>
          <w:b/>
          <w:kern w:val="0"/>
          <w:sz w:val="26"/>
          <w:szCs w:val="26"/>
        </w:rPr>
      </w:pPr>
    </w:p>
    <w:p w14:paraId="2FD5C056" w14:textId="77777777" w:rsidR="00BC661D" w:rsidRDefault="00BC661D" w:rsidP="004720E5">
      <w:pPr>
        <w:autoSpaceDE w:val="0"/>
        <w:autoSpaceDN w:val="0"/>
        <w:adjustRightInd w:val="0"/>
        <w:spacing w:after="0" w:line="240" w:lineRule="auto"/>
        <w:jc w:val="center"/>
        <w:rPr>
          <w:rFonts w:ascii="Arial" w:hAnsi="Arial" w:cs="Arial"/>
          <w:b/>
          <w:bCs/>
          <w:kern w:val="0"/>
          <w:sz w:val="26"/>
          <w:szCs w:val="26"/>
        </w:rPr>
      </w:pPr>
    </w:p>
    <w:p w14:paraId="5F230D4E" w14:textId="77777777" w:rsidR="00997CD8" w:rsidRDefault="00997CD8" w:rsidP="004720E5">
      <w:pPr>
        <w:autoSpaceDE w:val="0"/>
        <w:autoSpaceDN w:val="0"/>
        <w:adjustRightInd w:val="0"/>
        <w:spacing w:after="0" w:line="240" w:lineRule="auto"/>
        <w:jc w:val="center"/>
        <w:rPr>
          <w:rFonts w:ascii="Arial" w:hAnsi="Arial" w:cs="Arial"/>
          <w:b/>
          <w:bCs/>
          <w:kern w:val="0"/>
          <w:sz w:val="26"/>
          <w:szCs w:val="26"/>
        </w:rPr>
      </w:pPr>
    </w:p>
    <w:p w14:paraId="5FBA0E72" w14:textId="77777777" w:rsidR="00997CD8" w:rsidRDefault="00997CD8" w:rsidP="004720E5">
      <w:pPr>
        <w:autoSpaceDE w:val="0"/>
        <w:autoSpaceDN w:val="0"/>
        <w:adjustRightInd w:val="0"/>
        <w:spacing w:after="0" w:line="240" w:lineRule="auto"/>
        <w:jc w:val="center"/>
        <w:rPr>
          <w:rFonts w:ascii="Arial" w:hAnsi="Arial" w:cs="Arial"/>
          <w:b/>
          <w:bCs/>
          <w:kern w:val="0"/>
          <w:sz w:val="26"/>
          <w:szCs w:val="26"/>
        </w:rPr>
      </w:pPr>
    </w:p>
    <w:p w14:paraId="612E3A01" w14:textId="77777777" w:rsidR="00997CD8" w:rsidRDefault="00997CD8" w:rsidP="004720E5">
      <w:pPr>
        <w:autoSpaceDE w:val="0"/>
        <w:autoSpaceDN w:val="0"/>
        <w:adjustRightInd w:val="0"/>
        <w:spacing w:after="0" w:line="240" w:lineRule="auto"/>
        <w:jc w:val="center"/>
        <w:rPr>
          <w:rFonts w:ascii="Arial" w:hAnsi="Arial" w:cs="Arial"/>
          <w:b/>
          <w:bCs/>
          <w:kern w:val="0"/>
          <w:sz w:val="26"/>
          <w:szCs w:val="26"/>
        </w:rPr>
      </w:pPr>
    </w:p>
    <w:p w14:paraId="1204D9E4" w14:textId="77777777" w:rsidR="00997CD8" w:rsidRDefault="00997CD8" w:rsidP="004720E5">
      <w:pPr>
        <w:autoSpaceDE w:val="0"/>
        <w:autoSpaceDN w:val="0"/>
        <w:adjustRightInd w:val="0"/>
        <w:spacing w:after="0" w:line="240" w:lineRule="auto"/>
        <w:jc w:val="center"/>
        <w:rPr>
          <w:rFonts w:ascii="Arial" w:hAnsi="Arial" w:cs="Arial"/>
          <w:b/>
          <w:bCs/>
          <w:kern w:val="0"/>
          <w:sz w:val="26"/>
          <w:szCs w:val="26"/>
        </w:rPr>
      </w:pPr>
    </w:p>
    <w:p w14:paraId="13BCEA7D" w14:textId="77777777" w:rsidR="00997CD8" w:rsidRDefault="00997CD8" w:rsidP="004720E5">
      <w:pPr>
        <w:autoSpaceDE w:val="0"/>
        <w:autoSpaceDN w:val="0"/>
        <w:adjustRightInd w:val="0"/>
        <w:spacing w:after="0" w:line="240" w:lineRule="auto"/>
        <w:jc w:val="center"/>
        <w:rPr>
          <w:rFonts w:ascii="Arial" w:hAnsi="Arial" w:cs="Arial"/>
          <w:b/>
          <w:bCs/>
          <w:kern w:val="0"/>
          <w:sz w:val="26"/>
          <w:szCs w:val="26"/>
        </w:rPr>
      </w:pPr>
    </w:p>
    <w:p w14:paraId="31AC9BFA" w14:textId="77777777" w:rsidR="00997CD8" w:rsidRDefault="00997CD8" w:rsidP="004720E5">
      <w:pPr>
        <w:autoSpaceDE w:val="0"/>
        <w:autoSpaceDN w:val="0"/>
        <w:adjustRightInd w:val="0"/>
        <w:spacing w:after="0" w:line="240" w:lineRule="auto"/>
        <w:jc w:val="center"/>
        <w:rPr>
          <w:rFonts w:ascii="Arial" w:hAnsi="Arial" w:cs="Arial"/>
          <w:b/>
          <w:bCs/>
          <w:kern w:val="0"/>
          <w:sz w:val="26"/>
          <w:szCs w:val="26"/>
        </w:rPr>
      </w:pPr>
    </w:p>
    <w:p w14:paraId="0813EA24" w14:textId="77777777" w:rsidR="00997CD8" w:rsidRDefault="00997CD8" w:rsidP="004720E5">
      <w:pPr>
        <w:autoSpaceDE w:val="0"/>
        <w:autoSpaceDN w:val="0"/>
        <w:adjustRightInd w:val="0"/>
        <w:spacing w:after="0" w:line="240" w:lineRule="auto"/>
        <w:jc w:val="center"/>
        <w:rPr>
          <w:rFonts w:ascii="Arial" w:hAnsi="Arial" w:cs="Arial"/>
          <w:b/>
          <w:bCs/>
          <w:kern w:val="0"/>
          <w:sz w:val="26"/>
          <w:szCs w:val="26"/>
        </w:rPr>
      </w:pPr>
    </w:p>
    <w:p w14:paraId="3FFA5EA8" w14:textId="77777777" w:rsidR="00997CD8" w:rsidRDefault="00997CD8" w:rsidP="004720E5">
      <w:pPr>
        <w:autoSpaceDE w:val="0"/>
        <w:autoSpaceDN w:val="0"/>
        <w:adjustRightInd w:val="0"/>
        <w:spacing w:after="0" w:line="240" w:lineRule="auto"/>
        <w:jc w:val="center"/>
        <w:rPr>
          <w:rFonts w:ascii="Arial" w:hAnsi="Arial" w:cs="Arial"/>
          <w:b/>
          <w:bCs/>
          <w:kern w:val="0"/>
          <w:sz w:val="26"/>
          <w:szCs w:val="26"/>
        </w:rPr>
      </w:pPr>
    </w:p>
    <w:p w14:paraId="5271B1F5" w14:textId="77777777" w:rsidR="00997CD8" w:rsidRDefault="00997CD8" w:rsidP="004720E5">
      <w:pPr>
        <w:autoSpaceDE w:val="0"/>
        <w:autoSpaceDN w:val="0"/>
        <w:adjustRightInd w:val="0"/>
        <w:spacing w:after="0" w:line="240" w:lineRule="auto"/>
        <w:jc w:val="center"/>
        <w:rPr>
          <w:rFonts w:ascii="Arial" w:hAnsi="Arial" w:cs="Arial"/>
          <w:b/>
          <w:bCs/>
          <w:kern w:val="0"/>
          <w:sz w:val="26"/>
          <w:szCs w:val="26"/>
        </w:rPr>
      </w:pPr>
    </w:p>
    <w:p w14:paraId="13CFB581" w14:textId="77777777" w:rsidR="00997CD8" w:rsidRDefault="00997CD8" w:rsidP="004720E5">
      <w:pPr>
        <w:autoSpaceDE w:val="0"/>
        <w:autoSpaceDN w:val="0"/>
        <w:adjustRightInd w:val="0"/>
        <w:spacing w:after="0" w:line="240" w:lineRule="auto"/>
        <w:jc w:val="center"/>
        <w:rPr>
          <w:rFonts w:ascii="Arial" w:hAnsi="Arial" w:cs="Arial"/>
          <w:b/>
          <w:bCs/>
          <w:kern w:val="0"/>
          <w:sz w:val="26"/>
          <w:szCs w:val="26"/>
        </w:rPr>
      </w:pPr>
    </w:p>
    <w:p w14:paraId="2C3AB6E5" w14:textId="77777777" w:rsidR="00394D3F" w:rsidRDefault="00394D3F" w:rsidP="004720E5">
      <w:pPr>
        <w:autoSpaceDE w:val="0"/>
        <w:autoSpaceDN w:val="0"/>
        <w:adjustRightInd w:val="0"/>
        <w:spacing w:after="0" w:line="240" w:lineRule="auto"/>
        <w:jc w:val="center"/>
        <w:rPr>
          <w:rFonts w:ascii="Arial" w:hAnsi="Arial" w:cs="Arial"/>
          <w:b/>
          <w:bCs/>
          <w:kern w:val="0"/>
          <w:sz w:val="26"/>
          <w:szCs w:val="26"/>
        </w:rPr>
      </w:pPr>
    </w:p>
    <w:p w14:paraId="55D0632F" w14:textId="77777777" w:rsidR="00394D3F" w:rsidRDefault="00394D3F" w:rsidP="004720E5">
      <w:pPr>
        <w:autoSpaceDE w:val="0"/>
        <w:autoSpaceDN w:val="0"/>
        <w:adjustRightInd w:val="0"/>
        <w:spacing w:after="0" w:line="240" w:lineRule="auto"/>
        <w:jc w:val="center"/>
        <w:rPr>
          <w:rFonts w:ascii="Arial" w:hAnsi="Arial" w:cs="Arial"/>
          <w:b/>
          <w:bCs/>
          <w:kern w:val="0"/>
          <w:sz w:val="26"/>
          <w:szCs w:val="26"/>
        </w:rPr>
      </w:pPr>
    </w:p>
    <w:p w14:paraId="01434B56" w14:textId="63873A31" w:rsidR="00936CAB" w:rsidRPr="00CC23ED" w:rsidRDefault="00936CAB" w:rsidP="004720E5">
      <w:pPr>
        <w:autoSpaceDE w:val="0"/>
        <w:autoSpaceDN w:val="0"/>
        <w:adjustRightInd w:val="0"/>
        <w:spacing w:after="0" w:line="240" w:lineRule="auto"/>
        <w:jc w:val="center"/>
        <w:rPr>
          <w:rFonts w:ascii="Arial" w:hAnsi="Arial" w:cs="Arial"/>
          <w:b/>
          <w:bCs/>
          <w:kern w:val="0"/>
          <w:sz w:val="26"/>
          <w:szCs w:val="26"/>
        </w:rPr>
      </w:pPr>
      <w:r w:rsidRPr="00CC23ED">
        <w:rPr>
          <w:rFonts w:ascii="Arial" w:hAnsi="Arial" w:cs="Arial"/>
          <w:b/>
          <w:bCs/>
          <w:kern w:val="0"/>
          <w:sz w:val="26"/>
          <w:szCs w:val="26"/>
        </w:rPr>
        <w:t>References</w:t>
      </w:r>
    </w:p>
    <w:p w14:paraId="0DADD92B" w14:textId="77777777" w:rsidR="00936CAB" w:rsidRPr="00CC23ED" w:rsidRDefault="00936CAB" w:rsidP="00936CAB">
      <w:pPr>
        <w:autoSpaceDE w:val="0"/>
        <w:autoSpaceDN w:val="0"/>
        <w:adjustRightInd w:val="0"/>
        <w:spacing w:after="0" w:line="240" w:lineRule="auto"/>
        <w:rPr>
          <w:rFonts w:ascii="Arial" w:hAnsi="Arial" w:cs="Arial"/>
          <w:kern w:val="0"/>
          <w:sz w:val="26"/>
          <w:szCs w:val="26"/>
        </w:rPr>
      </w:pPr>
    </w:p>
    <w:p w14:paraId="72DEAB24" w14:textId="77777777" w:rsidR="00A1190C" w:rsidRDefault="00A1190C" w:rsidP="00C50351">
      <w:pPr>
        <w:pStyle w:val="NormalWeb"/>
        <w:shd w:val="clear" w:color="auto" w:fill="FFFFFF"/>
        <w:spacing w:before="0" w:beforeAutospacing="0" w:after="0" w:afterAutospacing="0" w:line="360" w:lineRule="atLeast"/>
        <w:rPr>
          <w:rFonts w:ascii="Calibri" w:hAnsi="Calibri" w:cs="Calibri"/>
          <w:color w:val="000000"/>
          <w:sz w:val="27"/>
          <w:szCs w:val="27"/>
        </w:rPr>
      </w:pPr>
    </w:p>
    <w:p w14:paraId="5F90802B" w14:textId="77777777" w:rsidR="005932CE" w:rsidRPr="00394D3F" w:rsidRDefault="005932CE" w:rsidP="005932CE">
      <w:pPr>
        <w:autoSpaceDE w:val="0"/>
        <w:autoSpaceDN w:val="0"/>
        <w:adjustRightInd w:val="0"/>
        <w:spacing w:after="0" w:line="240" w:lineRule="auto"/>
        <w:rPr>
          <w:rFonts w:ascii="Arial" w:hAnsi="Arial" w:cs="Arial"/>
          <w:kern w:val="0"/>
        </w:rPr>
      </w:pPr>
      <w:proofErr w:type="spellStart"/>
      <w:r w:rsidRPr="00394D3F">
        <w:rPr>
          <w:rFonts w:ascii="Arial" w:hAnsi="Arial" w:cs="Arial"/>
          <w:kern w:val="0"/>
        </w:rPr>
        <w:t>Böhme</w:t>
      </w:r>
      <w:proofErr w:type="spellEnd"/>
      <w:r w:rsidRPr="00394D3F">
        <w:rPr>
          <w:rFonts w:ascii="Arial" w:hAnsi="Arial" w:cs="Arial"/>
          <w:kern w:val="0"/>
        </w:rPr>
        <w:t xml:space="preserve">, R., Christin, N., Edelman, B. and Moore, T. (2015) ‘Bitcoin: Economics, Technology, and Governance’, </w:t>
      </w:r>
      <w:r w:rsidRPr="00394D3F">
        <w:rPr>
          <w:rFonts w:ascii="Arial" w:hAnsi="Arial" w:cs="Arial"/>
          <w:i/>
          <w:iCs/>
          <w:kern w:val="0"/>
        </w:rPr>
        <w:t>Journal of Economic Perspectives</w:t>
      </w:r>
      <w:r w:rsidRPr="00394D3F">
        <w:rPr>
          <w:rFonts w:ascii="Arial" w:hAnsi="Arial" w:cs="Arial"/>
          <w:kern w:val="0"/>
        </w:rPr>
        <w:t xml:space="preserve">, 29(2), pp. 213–238. Available at: </w:t>
      </w:r>
      <w:hyperlink r:id="rId8" w:history="1">
        <w:r w:rsidRPr="00394D3F">
          <w:rPr>
            <w:rFonts w:ascii="Arial" w:hAnsi="Arial" w:cs="Arial"/>
            <w:kern w:val="0"/>
            <w:u w:val="single"/>
          </w:rPr>
          <w:t>https://doi.org/10.1257/jep.29.2.213</w:t>
        </w:r>
      </w:hyperlink>
    </w:p>
    <w:p w14:paraId="4591D367" w14:textId="77777777" w:rsidR="005932CE" w:rsidRPr="00394D3F" w:rsidRDefault="005932CE" w:rsidP="005932CE">
      <w:pPr>
        <w:autoSpaceDE w:val="0"/>
        <w:autoSpaceDN w:val="0"/>
        <w:adjustRightInd w:val="0"/>
        <w:spacing w:after="0" w:line="240" w:lineRule="auto"/>
        <w:rPr>
          <w:rFonts w:ascii="Arial" w:hAnsi="Arial" w:cs="Arial"/>
          <w:kern w:val="0"/>
        </w:rPr>
      </w:pPr>
    </w:p>
    <w:p w14:paraId="0667F1D6" w14:textId="77777777" w:rsidR="005932CE" w:rsidRPr="00394D3F" w:rsidRDefault="005932CE" w:rsidP="005932CE">
      <w:pPr>
        <w:autoSpaceDE w:val="0"/>
        <w:autoSpaceDN w:val="0"/>
        <w:adjustRightInd w:val="0"/>
        <w:spacing w:after="0" w:line="240" w:lineRule="auto"/>
        <w:rPr>
          <w:rFonts w:ascii="Arial" w:hAnsi="Arial" w:cs="Arial"/>
          <w:kern w:val="0"/>
        </w:rPr>
      </w:pPr>
      <w:r w:rsidRPr="00394D3F">
        <w:rPr>
          <w:rFonts w:ascii="Arial" w:hAnsi="Arial" w:cs="Arial"/>
          <w:kern w:val="0"/>
        </w:rPr>
        <w:t xml:space="preserve">Braun, V. and Clarke, V. (2006) ‘Using thematic analysis in psychology’, </w:t>
      </w:r>
      <w:r w:rsidRPr="00394D3F">
        <w:rPr>
          <w:rFonts w:ascii="Arial" w:hAnsi="Arial" w:cs="Arial"/>
          <w:i/>
          <w:iCs/>
          <w:kern w:val="0"/>
        </w:rPr>
        <w:t>Qualitative Research in Psychology</w:t>
      </w:r>
      <w:r w:rsidRPr="00394D3F">
        <w:rPr>
          <w:rFonts w:ascii="Arial" w:hAnsi="Arial" w:cs="Arial"/>
          <w:kern w:val="0"/>
        </w:rPr>
        <w:t xml:space="preserve">, 3(2), pp. 77–101. Available at: </w:t>
      </w:r>
      <w:hyperlink r:id="rId9" w:history="1">
        <w:r w:rsidRPr="00394D3F">
          <w:rPr>
            <w:rFonts w:ascii="Arial" w:hAnsi="Arial" w:cs="Arial"/>
            <w:kern w:val="0"/>
            <w:u w:val="single"/>
          </w:rPr>
          <w:t>https://doi.org/10.1191/1478088706qp063oa</w:t>
        </w:r>
      </w:hyperlink>
    </w:p>
    <w:p w14:paraId="5CB542EE" w14:textId="77777777" w:rsidR="005932CE" w:rsidRPr="00394D3F" w:rsidRDefault="005932CE" w:rsidP="005932CE">
      <w:pPr>
        <w:autoSpaceDE w:val="0"/>
        <w:autoSpaceDN w:val="0"/>
        <w:adjustRightInd w:val="0"/>
        <w:spacing w:after="0" w:line="240" w:lineRule="auto"/>
        <w:rPr>
          <w:rFonts w:ascii="Arial" w:hAnsi="Arial" w:cs="Arial"/>
          <w:kern w:val="0"/>
        </w:rPr>
      </w:pPr>
    </w:p>
    <w:p w14:paraId="30D59A66" w14:textId="77777777" w:rsidR="005932CE" w:rsidRPr="00394D3F" w:rsidRDefault="005932CE" w:rsidP="005932CE">
      <w:pPr>
        <w:autoSpaceDE w:val="0"/>
        <w:autoSpaceDN w:val="0"/>
        <w:adjustRightInd w:val="0"/>
        <w:spacing w:after="0" w:line="240" w:lineRule="auto"/>
        <w:rPr>
          <w:rFonts w:ascii="Arial" w:hAnsi="Arial" w:cs="Arial"/>
          <w:kern w:val="0"/>
        </w:rPr>
      </w:pPr>
      <w:r w:rsidRPr="00394D3F">
        <w:rPr>
          <w:rFonts w:ascii="Arial" w:hAnsi="Arial" w:cs="Arial"/>
          <w:kern w:val="0"/>
        </w:rPr>
        <w:t xml:space="preserve">Davis, F.D. (1989) ‘Perceived usefulness, perceived ease of use, and user acceptance of information technology’, </w:t>
      </w:r>
      <w:r w:rsidRPr="00394D3F">
        <w:rPr>
          <w:rFonts w:ascii="Arial" w:hAnsi="Arial" w:cs="Arial"/>
          <w:i/>
          <w:iCs/>
          <w:kern w:val="0"/>
        </w:rPr>
        <w:t>MIS Quarterly</w:t>
      </w:r>
      <w:r w:rsidRPr="00394D3F">
        <w:rPr>
          <w:rFonts w:ascii="Arial" w:hAnsi="Arial" w:cs="Arial"/>
          <w:kern w:val="0"/>
        </w:rPr>
        <w:t xml:space="preserve">, 13(3), pp. 319–340. Available at: </w:t>
      </w:r>
      <w:hyperlink r:id="rId10" w:history="1">
        <w:r w:rsidRPr="00394D3F">
          <w:rPr>
            <w:rFonts w:ascii="Arial" w:hAnsi="Arial" w:cs="Arial"/>
            <w:kern w:val="0"/>
            <w:u w:val="single"/>
          </w:rPr>
          <w:t>https://doi.org/10.2307/249008</w:t>
        </w:r>
      </w:hyperlink>
    </w:p>
    <w:p w14:paraId="0D911127" w14:textId="77777777" w:rsidR="005932CE" w:rsidRPr="00394D3F" w:rsidRDefault="005932CE" w:rsidP="005932CE">
      <w:pPr>
        <w:autoSpaceDE w:val="0"/>
        <w:autoSpaceDN w:val="0"/>
        <w:adjustRightInd w:val="0"/>
        <w:spacing w:after="0" w:line="240" w:lineRule="auto"/>
        <w:rPr>
          <w:rFonts w:ascii="Arial" w:hAnsi="Arial" w:cs="Arial"/>
          <w:kern w:val="0"/>
        </w:rPr>
      </w:pPr>
    </w:p>
    <w:p w14:paraId="114BAD55" w14:textId="77777777" w:rsidR="005932CE" w:rsidRPr="00394D3F" w:rsidRDefault="005932CE" w:rsidP="005932CE">
      <w:pPr>
        <w:autoSpaceDE w:val="0"/>
        <w:autoSpaceDN w:val="0"/>
        <w:adjustRightInd w:val="0"/>
        <w:spacing w:after="0" w:line="240" w:lineRule="auto"/>
        <w:rPr>
          <w:rFonts w:ascii="Arial" w:hAnsi="Arial" w:cs="Arial"/>
          <w:kern w:val="0"/>
        </w:rPr>
      </w:pPr>
      <w:r w:rsidRPr="00394D3F">
        <w:rPr>
          <w:rFonts w:ascii="Arial" w:hAnsi="Arial" w:cs="Arial"/>
          <w:kern w:val="0"/>
        </w:rPr>
        <w:t xml:space="preserve">Financial Conduct Authority (2023) </w:t>
      </w:r>
      <w:proofErr w:type="spellStart"/>
      <w:r w:rsidRPr="00394D3F">
        <w:rPr>
          <w:rFonts w:ascii="Arial" w:hAnsi="Arial" w:cs="Arial"/>
          <w:i/>
          <w:iCs/>
          <w:kern w:val="0"/>
        </w:rPr>
        <w:t>Cryptoasset</w:t>
      </w:r>
      <w:proofErr w:type="spellEnd"/>
      <w:r w:rsidRPr="00394D3F">
        <w:rPr>
          <w:rFonts w:ascii="Arial" w:hAnsi="Arial" w:cs="Arial"/>
          <w:i/>
          <w:iCs/>
          <w:kern w:val="0"/>
        </w:rPr>
        <w:t xml:space="preserve"> Consumer Research 2023 (Wave 4)</w:t>
      </w:r>
      <w:r w:rsidRPr="00394D3F">
        <w:rPr>
          <w:rFonts w:ascii="Arial" w:hAnsi="Arial" w:cs="Arial"/>
          <w:kern w:val="0"/>
        </w:rPr>
        <w:t xml:space="preserve">. Available at: </w:t>
      </w:r>
      <w:hyperlink r:id="rId11" w:history="1">
        <w:r w:rsidRPr="00394D3F">
          <w:rPr>
            <w:rFonts w:ascii="Arial" w:hAnsi="Arial" w:cs="Arial"/>
            <w:kern w:val="0"/>
            <w:u w:val="single"/>
          </w:rPr>
          <w:t>https://www.fca.org.uk/publication/research-notes/research-note-cryptoasset-consumer-research-2023-wave4.pdf</w:t>
        </w:r>
      </w:hyperlink>
    </w:p>
    <w:p w14:paraId="1F455725" w14:textId="77777777" w:rsidR="005932CE" w:rsidRPr="00394D3F" w:rsidRDefault="005932CE" w:rsidP="005932CE">
      <w:pPr>
        <w:autoSpaceDE w:val="0"/>
        <w:autoSpaceDN w:val="0"/>
        <w:adjustRightInd w:val="0"/>
        <w:spacing w:after="0" w:line="240" w:lineRule="auto"/>
        <w:rPr>
          <w:rFonts w:ascii="Arial" w:hAnsi="Arial" w:cs="Arial"/>
          <w:kern w:val="0"/>
        </w:rPr>
      </w:pPr>
    </w:p>
    <w:p w14:paraId="422CE1EF" w14:textId="77777777" w:rsidR="005932CE" w:rsidRPr="00394D3F" w:rsidRDefault="005932CE" w:rsidP="005932CE">
      <w:pPr>
        <w:autoSpaceDE w:val="0"/>
        <w:autoSpaceDN w:val="0"/>
        <w:adjustRightInd w:val="0"/>
        <w:spacing w:after="0" w:line="240" w:lineRule="auto"/>
        <w:rPr>
          <w:rFonts w:ascii="Arial" w:hAnsi="Arial" w:cs="Arial"/>
          <w:kern w:val="0"/>
        </w:rPr>
      </w:pPr>
      <w:proofErr w:type="spellStart"/>
      <w:r w:rsidRPr="00394D3F">
        <w:rPr>
          <w:rFonts w:ascii="Arial" w:hAnsi="Arial" w:cs="Arial"/>
          <w:kern w:val="0"/>
        </w:rPr>
        <w:t>Gefen</w:t>
      </w:r>
      <w:proofErr w:type="spellEnd"/>
      <w:r w:rsidRPr="00394D3F">
        <w:rPr>
          <w:rFonts w:ascii="Arial" w:hAnsi="Arial" w:cs="Arial"/>
          <w:kern w:val="0"/>
        </w:rPr>
        <w:t xml:space="preserve">, D., </w:t>
      </w:r>
      <w:proofErr w:type="spellStart"/>
      <w:r w:rsidRPr="00394D3F">
        <w:rPr>
          <w:rFonts w:ascii="Arial" w:hAnsi="Arial" w:cs="Arial"/>
          <w:kern w:val="0"/>
        </w:rPr>
        <w:t>Karahanna</w:t>
      </w:r>
      <w:proofErr w:type="spellEnd"/>
      <w:r w:rsidRPr="00394D3F">
        <w:rPr>
          <w:rFonts w:ascii="Arial" w:hAnsi="Arial" w:cs="Arial"/>
          <w:kern w:val="0"/>
        </w:rPr>
        <w:t xml:space="preserve">, E. and </w:t>
      </w:r>
      <w:proofErr w:type="spellStart"/>
      <w:r w:rsidRPr="00394D3F">
        <w:rPr>
          <w:rFonts w:ascii="Arial" w:hAnsi="Arial" w:cs="Arial"/>
          <w:kern w:val="0"/>
        </w:rPr>
        <w:t>Straub</w:t>
      </w:r>
      <w:proofErr w:type="spellEnd"/>
      <w:r w:rsidRPr="00394D3F">
        <w:rPr>
          <w:rFonts w:ascii="Arial" w:hAnsi="Arial" w:cs="Arial"/>
          <w:kern w:val="0"/>
        </w:rPr>
        <w:t xml:space="preserve">, D.W. (2003) ‘Trust and TAM in online shopping: an integrated model’, </w:t>
      </w:r>
      <w:r w:rsidRPr="00394D3F">
        <w:rPr>
          <w:rFonts w:ascii="Arial" w:hAnsi="Arial" w:cs="Arial"/>
          <w:i/>
          <w:iCs/>
          <w:kern w:val="0"/>
        </w:rPr>
        <w:t>MIS Quarterly</w:t>
      </w:r>
      <w:r w:rsidRPr="00394D3F">
        <w:rPr>
          <w:rFonts w:ascii="Arial" w:hAnsi="Arial" w:cs="Arial"/>
          <w:kern w:val="0"/>
        </w:rPr>
        <w:t xml:space="preserve">, 27(1), pp. 51–90. Available at: </w:t>
      </w:r>
      <w:hyperlink r:id="rId12" w:history="1">
        <w:r w:rsidRPr="00394D3F">
          <w:rPr>
            <w:rFonts w:ascii="Arial" w:hAnsi="Arial" w:cs="Arial"/>
            <w:kern w:val="0"/>
            <w:u w:val="single"/>
          </w:rPr>
          <w:t>https://doi.org/10.2307/30036519</w:t>
        </w:r>
      </w:hyperlink>
    </w:p>
    <w:p w14:paraId="4EE47034" w14:textId="77777777" w:rsidR="005932CE" w:rsidRPr="00394D3F" w:rsidRDefault="005932CE" w:rsidP="005932CE">
      <w:pPr>
        <w:autoSpaceDE w:val="0"/>
        <w:autoSpaceDN w:val="0"/>
        <w:adjustRightInd w:val="0"/>
        <w:spacing w:after="0" w:line="240" w:lineRule="auto"/>
        <w:rPr>
          <w:rFonts w:ascii="Arial" w:hAnsi="Arial" w:cs="Arial"/>
          <w:kern w:val="0"/>
        </w:rPr>
      </w:pPr>
    </w:p>
    <w:p w14:paraId="2CB167B0" w14:textId="77777777" w:rsidR="005932CE" w:rsidRPr="00394D3F" w:rsidRDefault="005932CE" w:rsidP="005932CE">
      <w:pPr>
        <w:autoSpaceDE w:val="0"/>
        <w:autoSpaceDN w:val="0"/>
        <w:adjustRightInd w:val="0"/>
        <w:spacing w:after="0" w:line="240" w:lineRule="auto"/>
        <w:rPr>
          <w:rFonts w:ascii="Arial" w:hAnsi="Arial" w:cs="Arial"/>
          <w:kern w:val="0"/>
        </w:rPr>
      </w:pPr>
      <w:r w:rsidRPr="00394D3F">
        <w:rPr>
          <w:rFonts w:ascii="Arial" w:hAnsi="Arial" w:cs="Arial"/>
          <w:kern w:val="0"/>
        </w:rPr>
        <w:t xml:space="preserve">Li, X. and Wang, C.A. (2017) ‘The technology and economic determinants of cryptocurrency exchange rates: The case of Bitcoin’, </w:t>
      </w:r>
      <w:r w:rsidRPr="00394D3F">
        <w:rPr>
          <w:rFonts w:ascii="Arial" w:hAnsi="Arial" w:cs="Arial"/>
          <w:i/>
          <w:iCs/>
          <w:kern w:val="0"/>
        </w:rPr>
        <w:t>Decision Support Systems</w:t>
      </w:r>
      <w:r w:rsidRPr="00394D3F">
        <w:rPr>
          <w:rFonts w:ascii="Arial" w:hAnsi="Arial" w:cs="Arial"/>
          <w:kern w:val="0"/>
        </w:rPr>
        <w:t xml:space="preserve">, 95, pp. 49–60. Available at: </w:t>
      </w:r>
      <w:hyperlink r:id="rId13" w:history="1">
        <w:r w:rsidRPr="00394D3F">
          <w:rPr>
            <w:rFonts w:ascii="Arial" w:hAnsi="Arial" w:cs="Arial"/>
            <w:kern w:val="0"/>
            <w:u w:val="single"/>
          </w:rPr>
          <w:t>https://doi.org/10.1016/j.dss.2016.12.001</w:t>
        </w:r>
      </w:hyperlink>
    </w:p>
    <w:p w14:paraId="2CE39AE3" w14:textId="77777777" w:rsidR="005932CE" w:rsidRPr="00394D3F" w:rsidRDefault="005932CE" w:rsidP="005932CE">
      <w:pPr>
        <w:autoSpaceDE w:val="0"/>
        <w:autoSpaceDN w:val="0"/>
        <w:adjustRightInd w:val="0"/>
        <w:spacing w:after="0" w:line="240" w:lineRule="auto"/>
        <w:rPr>
          <w:rFonts w:ascii="Arial" w:hAnsi="Arial" w:cs="Arial"/>
          <w:kern w:val="0"/>
        </w:rPr>
      </w:pPr>
    </w:p>
    <w:p w14:paraId="32B9C909" w14:textId="77777777" w:rsidR="005932CE" w:rsidRPr="00394D3F" w:rsidRDefault="005932CE" w:rsidP="005932CE">
      <w:pPr>
        <w:autoSpaceDE w:val="0"/>
        <w:autoSpaceDN w:val="0"/>
        <w:adjustRightInd w:val="0"/>
        <w:spacing w:after="0" w:line="240" w:lineRule="auto"/>
        <w:rPr>
          <w:rFonts w:ascii="Arial" w:hAnsi="Arial" w:cs="Arial"/>
          <w:kern w:val="0"/>
        </w:rPr>
      </w:pPr>
      <w:proofErr w:type="spellStart"/>
      <w:r w:rsidRPr="00394D3F">
        <w:rPr>
          <w:rFonts w:ascii="Arial" w:hAnsi="Arial" w:cs="Arial"/>
          <w:kern w:val="0"/>
        </w:rPr>
        <w:t>Lusardi</w:t>
      </w:r>
      <w:proofErr w:type="spellEnd"/>
      <w:r w:rsidRPr="00394D3F">
        <w:rPr>
          <w:rFonts w:ascii="Arial" w:hAnsi="Arial" w:cs="Arial"/>
          <w:kern w:val="0"/>
        </w:rPr>
        <w:t xml:space="preserve">, A. and Mitchell, O.S. (2014) ‘The economic importance of financial literacy: Theory and evidence’, </w:t>
      </w:r>
      <w:r w:rsidRPr="00394D3F">
        <w:rPr>
          <w:rFonts w:ascii="Arial" w:hAnsi="Arial" w:cs="Arial"/>
          <w:i/>
          <w:iCs/>
          <w:kern w:val="0"/>
        </w:rPr>
        <w:t>Journal of Economic Literature</w:t>
      </w:r>
      <w:r w:rsidRPr="00394D3F">
        <w:rPr>
          <w:rFonts w:ascii="Arial" w:hAnsi="Arial" w:cs="Arial"/>
          <w:kern w:val="0"/>
        </w:rPr>
        <w:t xml:space="preserve">, 52(1), pp. 5–44. Available at: </w:t>
      </w:r>
      <w:hyperlink r:id="rId14" w:history="1">
        <w:r w:rsidRPr="00394D3F">
          <w:rPr>
            <w:rFonts w:ascii="Arial" w:hAnsi="Arial" w:cs="Arial"/>
            <w:kern w:val="0"/>
            <w:u w:val="single"/>
          </w:rPr>
          <w:t>https://doi.org/10.1257/jel.52.1.5</w:t>
        </w:r>
      </w:hyperlink>
    </w:p>
    <w:p w14:paraId="1C623E8E" w14:textId="77777777" w:rsidR="005932CE" w:rsidRPr="00394D3F" w:rsidRDefault="005932CE" w:rsidP="005932CE">
      <w:pPr>
        <w:autoSpaceDE w:val="0"/>
        <w:autoSpaceDN w:val="0"/>
        <w:adjustRightInd w:val="0"/>
        <w:spacing w:after="0" w:line="240" w:lineRule="auto"/>
        <w:rPr>
          <w:rFonts w:ascii="Arial" w:hAnsi="Arial" w:cs="Arial"/>
          <w:kern w:val="0"/>
        </w:rPr>
      </w:pPr>
    </w:p>
    <w:p w14:paraId="000690BA" w14:textId="77777777" w:rsidR="005932CE" w:rsidRPr="00394D3F" w:rsidRDefault="005932CE" w:rsidP="005932CE">
      <w:pPr>
        <w:autoSpaceDE w:val="0"/>
        <w:autoSpaceDN w:val="0"/>
        <w:adjustRightInd w:val="0"/>
        <w:spacing w:after="0" w:line="240" w:lineRule="auto"/>
        <w:rPr>
          <w:rFonts w:ascii="Arial" w:hAnsi="Arial" w:cs="Arial"/>
          <w:kern w:val="0"/>
        </w:rPr>
      </w:pPr>
      <w:r w:rsidRPr="00394D3F">
        <w:rPr>
          <w:rFonts w:ascii="Arial" w:hAnsi="Arial" w:cs="Arial"/>
          <w:kern w:val="0"/>
        </w:rPr>
        <w:t xml:space="preserve">Nakamoto, S. (2008) </w:t>
      </w:r>
      <w:r w:rsidRPr="00394D3F">
        <w:rPr>
          <w:rFonts w:ascii="Arial" w:hAnsi="Arial" w:cs="Arial"/>
          <w:i/>
          <w:iCs/>
          <w:kern w:val="0"/>
        </w:rPr>
        <w:t>Bitcoin: A Peer-to-Peer Electronic Cash System</w:t>
      </w:r>
      <w:r w:rsidRPr="00394D3F">
        <w:rPr>
          <w:rFonts w:ascii="Arial" w:hAnsi="Arial" w:cs="Arial"/>
          <w:kern w:val="0"/>
        </w:rPr>
        <w:t xml:space="preserve">. Available at: </w:t>
      </w:r>
      <w:hyperlink r:id="rId15" w:history="1">
        <w:r w:rsidRPr="00394D3F">
          <w:rPr>
            <w:rFonts w:ascii="Arial" w:hAnsi="Arial" w:cs="Arial"/>
            <w:kern w:val="0"/>
            <w:u w:val="single"/>
          </w:rPr>
          <w:t>https://bitcoin.org/bitcoin.pdf</w:t>
        </w:r>
      </w:hyperlink>
    </w:p>
    <w:p w14:paraId="16EAD975" w14:textId="77777777" w:rsidR="005932CE" w:rsidRPr="00394D3F" w:rsidRDefault="005932CE" w:rsidP="005932CE">
      <w:pPr>
        <w:autoSpaceDE w:val="0"/>
        <w:autoSpaceDN w:val="0"/>
        <w:adjustRightInd w:val="0"/>
        <w:spacing w:after="0" w:line="240" w:lineRule="auto"/>
        <w:rPr>
          <w:rFonts w:ascii="Arial" w:hAnsi="Arial" w:cs="Arial"/>
          <w:kern w:val="0"/>
        </w:rPr>
      </w:pPr>
    </w:p>
    <w:p w14:paraId="4AA52596" w14:textId="77777777" w:rsidR="00936CAB" w:rsidRPr="00394D3F" w:rsidRDefault="00936CAB" w:rsidP="00936CAB">
      <w:pPr>
        <w:autoSpaceDE w:val="0"/>
        <w:autoSpaceDN w:val="0"/>
        <w:adjustRightInd w:val="0"/>
        <w:spacing w:after="0" w:line="240" w:lineRule="auto"/>
        <w:rPr>
          <w:rFonts w:ascii="Arial" w:hAnsi="Arial" w:cs="Arial"/>
          <w:kern w:val="0"/>
        </w:rPr>
      </w:pPr>
      <w:r w:rsidRPr="00394D3F">
        <w:rPr>
          <w:rFonts w:ascii="Arial" w:hAnsi="Arial" w:cs="Arial"/>
          <w:kern w:val="0"/>
        </w:rPr>
        <w:t xml:space="preserve">Rogers, E.M. (2003) </w:t>
      </w:r>
      <w:r w:rsidRPr="00394D3F">
        <w:rPr>
          <w:rFonts w:ascii="Arial" w:hAnsi="Arial" w:cs="Arial"/>
          <w:i/>
          <w:kern w:val="0"/>
        </w:rPr>
        <w:t>Diffusion of Innovations</w:t>
      </w:r>
      <w:r w:rsidRPr="00394D3F">
        <w:rPr>
          <w:rFonts w:ascii="Arial" w:hAnsi="Arial" w:cs="Arial"/>
          <w:kern w:val="0"/>
        </w:rPr>
        <w:t xml:space="preserve">. 5th </w:t>
      </w:r>
      <w:proofErr w:type="spellStart"/>
      <w:r w:rsidRPr="00394D3F">
        <w:rPr>
          <w:rFonts w:ascii="Arial" w:hAnsi="Arial" w:cs="Arial"/>
          <w:kern w:val="0"/>
        </w:rPr>
        <w:t>edn</w:t>
      </w:r>
      <w:proofErr w:type="spellEnd"/>
      <w:r w:rsidRPr="00394D3F">
        <w:rPr>
          <w:rFonts w:ascii="Arial" w:hAnsi="Arial" w:cs="Arial"/>
          <w:kern w:val="0"/>
        </w:rPr>
        <w:t>. New York: Free Press.</w:t>
      </w:r>
    </w:p>
    <w:p w14:paraId="3C9FC8F2" w14:textId="77777777" w:rsidR="00936CAB" w:rsidRPr="00394D3F" w:rsidRDefault="00936CAB" w:rsidP="00936CAB">
      <w:pPr>
        <w:autoSpaceDE w:val="0"/>
        <w:autoSpaceDN w:val="0"/>
        <w:adjustRightInd w:val="0"/>
        <w:spacing w:after="0" w:line="240" w:lineRule="auto"/>
        <w:rPr>
          <w:rFonts w:ascii="Arial" w:hAnsi="Arial" w:cs="Arial"/>
          <w:kern w:val="0"/>
        </w:rPr>
      </w:pPr>
    </w:p>
    <w:p w14:paraId="58ECD14A" w14:textId="77777777" w:rsidR="00936CAB" w:rsidRPr="00394D3F" w:rsidRDefault="00936CAB" w:rsidP="00936CAB">
      <w:pPr>
        <w:autoSpaceDE w:val="0"/>
        <w:autoSpaceDN w:val="0"/>
        <w:adjustRightInd w:val="0"/>
        <w:spacing w:after="0" w:line="240" w:lineRule="auto"/>
        <w:rPr>
          <w:rFonts w:ascii="Arial" w:hAnsi="Arial" w:cs="Arial"/>
          <w:kern w:val="0"/>
        </w:rPr>
      </w:pPr>
      <w:r w:rsidRPr="00394D3F">
        <w:rPr>
          <w:rFonts w:ascii="Arial" w:hAnsi="Arial" w:cs="Arial"/>
          <w:kern w:val="0"/>
        </w:rPr>
        <w:t xml:space="preserve">Salim, K., Hassan, R. and Ismail, K. </w:t>
      </w:r>
      <w:r w:rsidR="005932CE" w:rsidRPr="00394D3F">
        <w:rPr>
          <w:rFonts w:ascii="Arial" w:hAnsi="Arial" w:cs="Arial"/>
          <w:kern w:val="0"/>
        </w:rPr>
        <w:t xml:space="preserve">(2025) ‘Factors affecting cryptocurrency adoption: Extending the UTAUT2 model with financial literacy and trust’, </w:t>
      </w:r>
      <w:r w:rsidR="005932CE" w:rsidRPr="00394D3F">
        <w:rPr>
          <w:rFonts w:ascii="Arial" w:hAnsi="Arial" w:cs="Arial"/>
          <w:i/>
          <w:iCs/>
          <w:kern w:val="0"/>
        </w:rPr>
        <w:t>Edelweiss Applied Science and Technology</w:t>
      </w:r>
      <w:r w:rsidR="005932CE" w:rsidRPr="00394D3F">
        <w:rPr>
          <w:rFonts w:ascii="Arial" w:hAnsi="Arial" w:cs="Arial"/>
          <w:kern w:val="0"/>
        </w:rPr>
        <w:t>, 9(1), pp. 114–128.</w:t>
      </w:r>
    </w:p>
    <w:p w14:paraId="1025FADF" w14:textId="77777777" w:rsidR="005932CE" w:rsidRPr="00394D3F" w:rsidRDefault="005932CE" w:rsidP="005932CE">
      <w:pPr>
        <w:autoSpaceDE w:val="0"/>
        <w:autoSpaceDN w:val="0"/>
        <w:adjustRightInd w:val="0"/>
        <w:spacing w:after="0" w:line="240" w:lineRule="auto"/>
        <w:rPr>
          <w:rFonts w:ascii="Arial" w:hAnsi="Arial" w:cs="Arial"/>
          <w:kern w:val="0"/>
        </w:rPr>
      </w:pPr>
    </w:p>
    <w:p w14:paraId="1C160193" w14:textId="77777777" w:rsidR="005932CE" w:rsidRPr="00394D3F" w:rsidRDefault="005932CE" w:rsidP="005932CE">
      <w:pPr>
        <w:autoSpaceDE w:val="0"/>
        <w:autoSpaceDN w:val="0"/>
        <w:adjustRightInd w:val="0"/>
        <w:spacing w:after="0" w:line="240" w:lineRule="auto"/>
        <w:rPr>
          <w:rFonts w:ascii="Arial" w:hAnsi="Arial" w:cs="Arial"/>
          <w:kern w:val="0"/>
        </w:rPr>
      </w:pPr>
      <w:proofErr w:type="spellStart"/>
      <w:r w:rsidRPr="00394D3F">
        <w:rPr>
          <w:rFonts w:ascii="Arial" w:hAnsi="Arial" w:cs="Arial"/>
          <w:kern w:val="0"/>
        </w:rPr>
        <w:t>Shahzad</w:t>
      </w:r>
      <w:proofErr w:type="spellEnd"/>
      <w:r w:rsidRPr="00394D3F">
        <w:rPr>
          <w:rFonts w:ascii="Arial" w:hAnsi="Arial" w:cs="Arial"/>
          <w:kern w:val="0"/>
        </w:rPr>
        <w:t xml:space="preserve">, F., </w:t>
      </w:r>
      <w:proofErr w:type="spellStart"/>
      <w:r w:rsidRPr="00394D3F">
        <w:rPr>
          <w:rFonts w:ascii="Arial" w:hAnsi="Arial" w:cs="Arial"/>
          <w:kern w:val="0"/>
        </w:rPr>
        <w:t>Xiu</w:t>
      </w:r>
      <w:proofErr w:type="spellEnd"/>
      <w:r w:rsidRPr="00394D3F">
        <w:rPr>
          <w:rFonts w:ascii="Arial" w:hAnsi="Arial" w:cs="Arial"/>
          <w:kern w:val="0"/>
        </w:rPr>
        <w:t xml:space="preserve">, G., </w:t>
      </w:r>
      <w:proofErr w:type="spellStart"/>
      <w:r w:rsidRPr="00394D3F">
        <w:rPr>
          <w:rFonts w:ascii="Arial" w:hAnsi="Arial" w:cs="Arial"/>
          <w:kern w:val="0"/>
        </w:rPr>
        <w:t>Qureshi</w:t>
      </w:r>
      <w:proofErr w:type="spellEnd"/>
      <w:r w:rsidRPr="00394D3F">
        <w:rPr>
          <w:rFonts w:ascii="Arial" w:hAnsi="Arial" w:cs="Arial"/>
          <w:kern w:val="0"/>
        </w:rPr>
        <w:t xml:space="preserve">, J.A. and </w:t>
      </w:r>
      <w:proofErr w:type="spellStart"/>
      <w:r w:rsidRPr="00394D3F">
        <w:rPr>
          <w:rFonts w:ascii="Arial" w:hAnsi="Arial" w:cs="Arial"/>
          <w:kern w:val="0"/>
        </w:rPr>
        <w:t>Arif</w:t>
      </w:r>
      <w:proofErr w:type="spellEnd"/>
      <w:r w:rsidRPr="00394D3F">
        <w:rPr>
          <w:rFonts w:ascii="Arial" w:hAnsi="Arial" w:cs="Arial"/>
          <w:kern w:val="0"/>
        </w:rPr>
        <w:t xml:space="preserve">, M. (2024) ‘Cryptocurrency awareness, acceptance, and adoption: The role of trust’, </w:t>
      </w:r>
      <w:r w:rsidRPr="00394D3F">
        <w:rPr>
          <w:rFonts w:ascii="Arial" w:hAnsi="Arial" w:cs="Arial"/>
          <w:i/>
          <w:iCs/>
          <w:kern w:val="0"/>
        </w:rPr>
        <w:t>Humanities and Social Sciences Communications</w:t>
      </w:r>
      <w:r w:rsidRPr="00394D3F">
        <w:rPr>
          <w:rFonts w:ascii="Arial" w:hAnsi="Arial" w:cs="Arial"/>
          <w:kern w:val="0"/>
        </w:rPr>
        <w:t xml:space="preserve">, 11(1). Available at: </w:t>
      </w:r>
      <w:hyperlink r:id="rId16" w:history="1">
        <w:r w:rsidRPr="00394D3F">
          <w:rPr>
            <w:rFonts w:ascii="Arial" w:hAnsi="Arial" w:cs="Arial"/>
            <w:kern w:val="0"/>
            <w:u w:val="single"/>
          </w:rPr>
          <w:t>https://doi.org/10.1057/s41599-023-02528-7</w:t>
        </w:r>
      </w:hyperlink>
    </w:p>
    <w:p w14:paraId="13471F99" w14:textId="77777777" w:rsidR="00936CAB" w:rsidRPr="00394D3F" w:rsidRDefault="00936CAB" w:rsidP="00936CAB">
      <w:pPr>
        <w:autoSpaceDE w:val="0"/>
        <w:autoSpaceDN w:val="0"/>
        <w:adjustRightInd w:val="0"/>
        <w:spacing w:after="0" w:line="240" w:lineRule="auto"/>
        <w:rPr>
          <w:rFonts w:ascii="Arial" w:hAnsi="Arial" w:cs="Arial"/>
          <w:kern w:val="0"/>
        </w:rPr>
      </w:pPr>
    </w:p>
    <w:p w14:paraId="2A93F717" w14:textId="77777777" w:rsidR="00936CAB" w:rsidRPr="00394D3F" w:rsidRDefault="00936CAB" w:rsidP="00936CAB">
      <w:pPr>
        <w:autoSpaceDE w:val="0"/>
        <w:autoSpaceDN w:val="0"/>
        <w:adjustRightInd w:val="0"/>
        <w:spacing w:after="0" w:line="240" w:lineRule="auto"/>
        <w:rPr>
          <w:rFonts w:ascii="Arial" w:hAnsi="Arial" w:cs="Arial"/>
          <w:kern w:val="0"/>
        </w:rPr>
      </w:pPr>
      <w:r w:rsidRPr="00394D3F">
        <w:rPr>
          <w:rFonts w:ascii="Arial" w:hAnsi="Arial" w:cs="Arial"/>
          <w:kern w:val="0"/>
        </w:rPr>
        <w:t xml:space="preserve">Tapscott, D. and Tapscott, A. (2016) </w:t>
      </w:r>
      <w:r w:rsidRPr="00394D3F">
        <w:rPr>
          <w:rFonts w:ascii="Arial" w:hAnsi="Arial" w:cs="Arial"/>
          <w:i/>
          <w:kern w:val="0"/>
        </w:rPr>
        <w:t>Blockchain Revolution</w:t>
      </w:r>
      <w:r w:rsidRPr="00394D3F">
        <w:rPr>
          <w:rFonts w:ascii="Arial" w:hAnsi="Arial" w:cs="Arial"/>
          <w:kern w:val="0"/>
        </w:rPr>
        <w:t>. New York: Penguin.</w:t>
      </w:r>
    </w:p>
    <w:p w14:paraId="097B0447" w14:textId="77777777" w:rsidR="00936CAB" w:rsidRPr="00394D3F" w:rsidRDefault="00936CAB" w:rsidP="00936CAB">
      <w:pPr>
        <w:autoSpaceDE w:val="0"/>
        <w:autoSpaceDN w:val="0"/>
        <w:adjustRightInd w:val="0"/>
        <w:spacing w:after="0" w:line="240" w:lineRule="auto"/>
        <w:rPr>
          <w:rFonts w:ascii="Arial" w:hAnsi="Arial" w:cs="Arial"/>
          <w:kern w:val="0"/>
        </w:rPr>
      </w:pPr>
    </w:p>
    <w:p w14:paraId="4F5FBFE1" w14:textId="77777777" w:rsidR="00936CAB" w:rsidRPr="00394D3F" w:rsidRDefault="00936CAB" w:rsidP="00936CAB">
      <w:pPr>
        <w:autoSpaceDE w:val="0"/>
        <w:autoSpaceDN w:val="0"/>
        <w:adjustRightInd w:val="0"/>
        <w:spacing w:after="0" w:line="240" w:lineRule="auto"/>
        <w:rPr>
          <w:rFonts w:ascii="Arial" w:hAnsi="Arial" w:cs="Arial"/>
          <w:kern w:val="0"/>
        </w:rPr>
      </w:pPr>
      <w:proofErr w:type="spellStart"/>
      <w:r w:rsidRPr="00394D3F">
        <w:rPr>
          <w:rFonts w:ascii="Arial" w:hAnsi="Arial" w:cs="Arial"/>
          <w:kern w:val="0"/>
        </w:rPr>
        <w:t>Tranfield</w:t>
      </w:r>
      <w:proofErr w:type="spellEnd"/>
      <w:r w:rsidRPr="00394D3F">
        <w:rPr>
          <w:rFonts w:ascii="Arial" w:hAnsi="Arial" w:cs="Arial"/>
          <w:kern w:val="0"/>
        </w:rPr>
        <w:t xml:space="preserve">, D., Denyer, D. and Smart, P. </w:t>
      </w:r>
      <w:r w:rsidR="005932CE" w:rsidRPr="00394D3F">
        <w:rPr>
          <w:rFonts w:ascii="Arial" w:hAnsi="Arial" w:cs="Arial"/>
          <w:kern w:val="0"/>
        </w:rPr>
        <w:t xml:space="preserve">(2003) ‘Towards a methodology for developing evidence-informed management knowledge’, </w:t>
      </w:r>
      <w:r w:rsidR="005932CE" w:rsidRPr="00394D3F">
        <w:rPr>
          <w:rFonts w:ascii="Arial" w:hAnsi="Arial" w:cs="Arial"/>
          <w:i/>
          <w:iCs/>
          <w:kern w:val="0"/>
        </w:rPr>
        <w:t>British Journal of Management</w:t>
      </w:r>
      <w:r w:rsidR="005932CE" w:rsidRPr="00394D3F">
        <w:rPr>
          <w:rFonts w:ascii="Arial" w:hAnsi="Arial" w:cs="Arial"/>
          <w:kern w:val="0"/>
        </w:rPr>
        <w:t>, 14(3), pp. 207–</w:t>
      </w:r>
      <w:r w:rsidRPr="00394D3F">
        <w:rPr>
          <w:rFonts w:ascii="Arial" w:hAnsi="Arial" w:cs="Arial"/>
          <w:kern w:val="0"/>
        </w:rPr>
        <w:t>222.</w:t>
      </w:r>
    </w:p>
    <w:p w14:paraId="2750FB66" w14:textId="77777777" w:rsidR="00936CAB" w:rsidRPr="00394D3F" w:rsidRDefault="00936CAB" w:rsidP="00936CAB">
      <w:pPr>
        <w:autoSpaceDE w:val="0"/>
        <w:autoSpaceDN w:val="0"/>
        <w:adjustRightInd w:val="0"/>
        <w:spacing w:after="0" w:line="240" w:lineRule="auto"/>
        <w:rPr>
          <w:rFonts w:ascii="Arial" w:hAnsi="Arial" w:cs="Arial"/>
          <w:kern w:val="0"/>
        </w:rPr>
      </w:pPr>
    </w:p>
    <w:p w14:paraId="68C937AB" w14:textId="77777777" w:rsidR="005932CE" w:rsidRPr="00394D3F" w:rsidRDefault="005932CE" w:rsidP="005932CE">
      <w:pPr>
        <w:autoSpaceDE w:val="0"/>
        <w:autoSpaceDN w:val="0"/>
        <w:adjustRightInd w:val="0"/>
        <w:spacing w:after="0" w:line="240" w:lineRule="auto"/>
        <w:rPr>
          <w:rFonts w:ascii="Arial" w:hAnsi="Arial" w:cs="Arial"/>
          <w:kern w:val="0"/>
        </w:rPr>
      </w:pPr>
      <w:r w:rsidRPr="00394D3F">
        <w:rPr>
          <w:rFonts w:ascii="Arial" w:hAnsi="Arial" w:cs="Arial"/>
          <w:kern w:val="0"/>
        </w:rPr>
        <w:t xml:space="preserve">TripleA (2023) </w:t>
      </w:r>
      <w:r w:rsidRPr="00394D3F">
        <w:rPr>
          <w:rFonts w:ascii="Arial" w:hAnsi="Arial" w:cs="Arial"/>
          <w:i/>
          <w:iCs/>
          <w:kern w:val="0"/>
        </w:rPr>
        <w:t>Global Cryptocurrency Ownership Data</w:t>
      </w:r>
      <w:r w:rsidRPr="00394D3F">
        <w:rPr>
          <w:rFonts w:ascii="Arial" w:hAnsi="Arial" w:cs="Arial"/>
          <w:kern w:val="0"/>
        </w:rPr>
        <w:t xml:space="preserve">. Available at: </w:t>
      </w:r>
      <w:hyperlink r:id="rId17" w:history="1">
        <w:r w:rsidRPr="00394D3F">
          <w:rPr>
            <w:rFonts w:ascii="Arial" w:hAnsi="Arial" w:cs="Arial"/>
            <w:kern w:val="0"/>
            <w:u w:val="single"/>
          </w:rPr>
          <w:t>https://www.triple-a.io/cryptocurrency-ownership-data</w:t>
        </w:r>
      </w:hyperlink>
    </w:p>
    <w:p w14:paraId="2D73576E" w14:textId="0A697D22" w:rsidR="00AD0DB8" w:rsidRPr="00394D3F" w:rsidRDefault="005932CE" w:rsidP="005932CE">
      <w:pPr>
        <w:pStyle w:val="NormalWeb"/>
        <w:shd w:val="clear" w:color="auto" w:fill="FFFFFF"/>
        <w:rPr>
          <w:rFonts w:ascii="Arial" w:hAnsi="Arial" w:cs="Arial"/>
          <w:color w:val="000000"/>
        </w:rPr>
      </w:pPr>
      <w:r w:rsidRPr="00394D3F">
        <w:rPr>
          <w:rFonts w:ascii="Arial" w:hAnsi="Arial" w:cs="Arial"/>
        </w:rPr>
        <w:t xml:space="preserve">van </w:t>
      </w:r>
      <w:proofErr w:type="spellStart"/>
      <w:r w:rsidRPr="00394D3F">
        <w:rPr>
          <w:rFonts w:ascii="Arial" w:hAnsi="Arial" w:cs="Arial"/>
        </w:rPr>
        <w:t>Dijk</w:t>
      </w:r>
      <w:proofErr w:type="spellEnd"/>
      <w:r w:rsidRPr="00394D3F">
        <w:rPr>
          <w:rFonts w:ascii="Arial" w:hAnsi="Arial" w:cs="Arial"/>
        </w:rPr>
        <w:t xml:space="preserve">, J. (2020) </w:t>
      </w:r>
      <w:r w:rsidRPr="00394D3F">
        <w:rPr>
          <w:rFonts w:ascii="Arial" w:hAnsi="Arial" w:cs="Arial"/>
          <w:i/>
          <w:iCs/>
        </w:rPr>
        <w:t>The Digital Divide</w:t>
      </w:r>
      <w:r w:rsidRPr="00394D3F">
        <w:rPr>
          <w:rFonts w:ascii="Arial" w:hAnsi="Arial" w:cs="Arial"/>
        </w:rPr>
        <w:t>. Cambridge: Polity Press.</w:t>
      </w:r>
      <w:r w:rsidR="00AD0DB8" w:rsidRPr="00394D3F">
        <w:rPr>
          <w:rFonts w:ascii="Arial" w:hAnsi="Arial" w:cs="Arial"/>
          <w:i/>
          <w:iCs/>
          <w:color w:val="000000"/>
        </w:rPr>
        <w:t>Communications</w:t>
      </w:r>
      <w:r w:rsidR="00AD0DB8" w:rsidRPr="00394D3F">
        <w:rPr>
          <w:rFonts w:ascii="Arial" w:hAnsi="Arial" w:cs="Arial"/>
          <w:color w:val="000000"/>
        </w:rPr>
        <w:t>, 11(1), pp. 1–14. Available at: https://doi.org/10.1057/s41599-023-02528-7.</w:t>
      </w:r>
    </w:p>
    <w:p w14:paraId="78B86F13" w14:textId="77777777" w:rsidR="007F51B0" w:rsidRPr="00394D3F" w:rsidRDefault="007F51B0" w:rsidP="007F51B0">
      <w:pPr>
        <w:pStyle w:val="NormalWeb"/>
        <w:shd w:val="clear" w:color="auto" w:fill="FFFFFF"/>
        <w:spacing w:before="0" w:beforeAutospacing="0" w:after="0" w:afterAutospacing="0" w:line="360" w:lineRule="atLeast"/>
        <w:rPr>
          <w:rFonts w:ascii="Arial" w:hAnsi="Arial" w:cs="Arial"/>
          <w:color w:val="000000"/>
        </w:rPr>
      </w:pPr>
      <w:proofErr w:type="spellStart"/>
      <w:r w:rsidRPr="00394D3F">
        <w:rPr>
          <w:rFonts w:ascii="Arial" w:hAnsi="Arial" w:cs="Arial"/>
          <w:color w:val="000000"/>
        </w:rPr>
        <w:t>Radziwill</w:t>
      </w:r>
      <w:proofErr w:type="spellEnd"/>
      <w:r w:rsidRPr="00394D3F">
        <w:rPr>
          <w:rFonts w:ascii="Arial" w:hAnsi="Arial" w:cs="Arial"/>
          <w:color w:val="000000"/>
        </w:rPr>
        <w:t>, N. (2018) ‘Blockchain Revolution: How the Technology Behind Bitcoin is Changing Money, Business, and the World.’,</w:t>
      </w:r>
      <w:r w:rsidRPr="00394D3F">
        <w:rPr>
          <w:rStyle w:val="apple-converted-space"/>
          <w:rFonts w:ascii="Arial" w:eastAsiaTheme="majorEastAsia" w:hAnsi="Arial" w:cs="Arial"/>
          <w:color w:val="000000"/>
        </w:rPr>
        <w:t> </w:t>
      </w:r>
      <w:r w:rsidRPr="00394D3F">
        <w:rPr>
          <w:rFonts w:ascii="Arial" w:hAnsi="Arial" w:cs="Arial"/>
          <w:i/>
          <w:iCs/>
          <w:color w:val="000000"/>
        </w:rPr>
        <w:t>Quality Management Journal</w:t>
      </w:r>
      <w:r w:rsidRPr="00394D3F">
        <w:rPr>
          <w:rFonts w:ascii="Arial" w:hAnsi="Arial" w:cs="Arial"/>
          <w:color w:val="000000"/>
        </w:rPr>
        <w:t>, 25(1), pp. 64–65. Available at: https://doi.org/10.1080/10686967.2018.1404373.</w:t>
      </w:r>
    </w:p>
    <w:p w14:paraId="106CD204" w14:textId="457648EC" w:rsidR="00DD6BC7" w:rsidRPr="00394D3F" w:rsidRDefault="007F51B0" w:rsidP="00DD6BC7">
      <w:pPr>
        <w:pStyle w:val="NormalWeb"/>
        <w:shd w:val="clear" w:color="auto" w:fill="FFFFFF"/>
        <w:rPr>
          <w:rFonts w:ascii="Arial" w:hAnsi="Arial" w:cs="Arial"/>
          <w:color w:val="000000"/>
        </w:rPr>
      </w:pPr>
      <w:r w:rsidRPr="00394D3F">
        <w:rPr>
          <w:rFonts w:ascii="Arial" w:hAnsi="Arial" w:cs="Arial"/>
          <w:color w:val="000000"/>
        </w:rPr>
        <w:t>‌</w:t>
      </w:r>
      <w:proofErr w:type="spellStart"/>
      <w:r w:rsidR="00DD6BC7" w:rsidRPr="00394D3F">
        <w:rPr>
          <w:rFonts w:ascii="Arial" w:hAnsi="Arial" w:cs="Arial"/>
          <w:color w:val="000000"/>
        </w:rPr>
        <w:t>Tranfield</w:t>
      </w:r>
      <w:proofErr w:type="spellEnd"/>
      <w:r w:rsidR="00DD6BC7" w:rsidRPr="00394D3F">
        <w:rPr>
          <w:rFonts w:ascii="Arial" w:hAnsi="Arial" w:cs="Arial"/>
          <w:color w:val="000000"/>
        </w:rPr>
        <w:t>, D., Denyer, D. and Smart, P. (2003) ‘Towards a Methodology for Developing Evidence-Informed Management Knowledge by Means of Systematic Review’,</w:t>
      </w:r>
      <w:r w:rsidR="00DD6BC7" w:rsidRPr="00394D3F">
        <w:rPr>
          <w:rStyle w:val="apple-converted-space"/>
          <w:rFonts w:ascii="Arial" w:eastAsiaTheme="majorEastAsia" w:hAnsi="Arial" w:cs="Arial"/>
          <w:color w:val="000000"/>
        </w:rPr>
        <w:t> </w:t>
      </w:r>
      <w:r w:rsidR="00DD6BC7" w:rsidRPr="00394D3F">
        <w:rPr>
          <w:rFonts w:ascii="Arial" w:hAnsi="Arial" w:cs="Arial"/>
          <w:i/>
          <w:iCs/>
          <w:color w:val="000000"/>
        </w:rPr>
        <w:t>British Journal of Management</w:t>
      </w:r>
      <w:r w:rsidR="00DD6BC7" w:rsidRPr="00394D3F">
        <w:rPr>
          <w:rFonts w:ascii="Arial" w:hAnsi="Arial" w:cs="Arial"/>
          <w:color w:val="000000"/>
        </w:rPr>
        <w:t>, 14(3), pp. 207–222.</w:t>
      </w:r>
    </w:p>
    <w:p w14:paraId="29CBA5F6" w14:textId="77777777" w:rsidR="00B87BC7" w:rsidRPr="00394D3F" w:rsidRDefault="00B87BC7" w:rsidP="00B87BC7">
      <w:pPr>
        <w:pStyle w:val="NormalWeb"/>
        <w:shd w:val="clear" w:color="auto" w:fill="FFFFFF"/>
        <w:spacing w:before="0" w:beforeAutospacing="0" w:after="0" w:afterAutospacing="0" w:line="360" w:lineRule="atLeast"/>
        <w:rPr>
          <w:rFonts w:ascii="Arial" w:hAnsi="Arial" w:cs="Arial"/>
          <w:color w:val="000000"/>
        </w:rPr>
      </w:pPr>
      <w:r w:rsidRPr="00394D3F">
        <w:rPr>
          <w:rFonts w:ascii="Arial" w:hAnsi="Arial" w:cs="Arial"/>
          <w:color w:val="000000"/>
        </w:rPr>
        <w:t>Murdock, G. (2002) ‘Review Article: Debating Digital Divides’,</w:t>
      </w:r>
      <w:r w:rsidRPr="00394D3F">
        <w:rPr>
          <w:rStyle w:val="apple-converted-space"/>
          <w:rFonts w:ascii="Arial" w:eastAsiaTheme="majorEastAsia" w:hAnsi="Arial" w:cs="Arial"/>
          <w:color w:val="000000"/>
        </w:rPr>
        <w:t> </w:t>
      </w:r>
      <w:r w:rsidRPr="00394D3F">
        <w:rPr>
          <w:rFonts w:ascii="Arial" w:hAnsi="Arial" w:cs="Arial"/>
          <w:i/>
          <w:iCs/>
          <w:color w:val="000000"/>
        </w:rPr>
        <w:t>European Journal of Communication</w:t>
      </w:r>
      <w:r w:rsidRPr="00394D3F">
        <w:rPr>
          <w:rFonts w:ascii="Arial" w:hAnsi="Arial" w:cs="Arial"/>
          <w:color w:val="000000"/>
        </w:rPr>
        <w:t>, 17(3), pp. 385–390. Available at: https://doi.org/10.1177/0267323102017003695.</w:t>
      </w:r>
    </w:p>
    <w:p w14:paraId="2B3DBED8" w14:textId="26C32F91" w:rsidR="00A40B8F" w:rsidRPr="00394D3F" w:rsidRDefault="00B87BC7" w:rsidP="00A40B8F">
      <w:pPr>
        <w:pStyle w:val="NormalWeb"/>
        <w:shd w:val="clear" w:color="auto" w:fill="FFFFFF"/>
        <w:rPr>
          <w:rFonts w:ascii="Arial" w:hAnsi="Arial" w:cs="Arial"/>
          <w:color w:val="000000"/>
        </w:rPr>
      </w:pPr>
      <w:r w:rsidRPr="00394D3F">
        <w:rPr>
          <w:rFonts w:ascii="Arial" w:hAnsi="Arial" w:cs="Arial"/>
          <w:color w:val="000000"/>
        </w:rPr>
        <w:t>‌</w:t>
      </w:r>
      <w:r w:rsidR="00A40B8F" w:rsidRPr="00394D3F">
        <w:rPr>
          <w:rFonts w:ascii="Arial" w:hAnsi="Arial" w:cs="Arial"/>
          <w:color w:val="000000"/>
        </w:rPr>
        <w:t>Triple-A (2023)</w:t>
      </w:r>
      <w:r w:rsidR="00A40B8F" w:rsidRPr="00394D3F">
        <w:rPr>
          <w:rStyle w:val="apple-converted-space"/>
          <w:rFonts w:ascii="Arial" w:eastAsiaTheme="majorEastAsia" w:hAnsi="Arial" w:cs="Arial"/>
          <w:color w:val="000000"/>
        </w:rPr>
        <w:t> </w:t>
      </w:r>
      <w:r w:rsidR="00A40B8F" w:rsidRPr="00394D3F">
        <w:rPr>
          <w:rFonts w:ascii="Arial" w:hAnsi="Arial" w:cs="Arial"/>
          <w:i/>
          <w:iCs/>
          <w:color w:val="000000"/>
        </w:rPr>
        <w:t>Cryptocurrency Ownership Data – Triple-A</w:t>
      </w:r>
      <w:r w:rsidR="00A40B8F" w:rsidRPr="00394D3F">
        <w:rPr>
          <w:rFonts w:ascii="Arial" w:hAnsi="Arial" w:cs="Arial"/>
          <w:color w:val="000000"/>
        </w:rPr>
        <w:t>,</w:t>
      </w:r>
      <w:r w:rsidR="00A40B8F" w:rsidRPr="00394D3F">
        <w:rPr>
          <w:rStyle w:val="apple-converted-space"/>
          <w:rFonts w:ascii="Arial" w:eastAsiaTheme="majorEastAsia" w:hAnsi="Arial" w:cs="Arial"/>
          <w:color w:val="000000"/>
        </w:rPr>
        <w:t> </w:t>
      </w:r>
      <w:r w:rsidR="00A40B8F" w:rsidRPr="00394D3F">
        <w:rPr>
          <w:rFonts w:ascii="Arial" w:hAnsi="Arial" w:cs="Arial"/>
          <w:i/>
          <w:iCs/>
          <w:color w:val="000000"/>
        </w:rPr>
        <w:t>Triple-A – Triple-A</w:t>
      </w:r>
      <w:r w:rsidR="00A40B8F" w:rsidRPr="00394D3F">
        <w:rPr>
          <w:rFonts w:ascii="Arial" w:hAnsi="Arial" w:cs="Arial"/>
          <w:color w:val="000000"/>
        </w:rPr>
        <w:t>. Available at: https://www.triple-a.io/cryptocurrency-ownership-data.</w:t>
      </w:r>
    </w:p>
    <w:p w14:paraId="55F54A7D" w14:textId="63AE7AAC" w:rsidR="00D42263" w:rsidRPr="00394D3F" w:rsidRDefault="00A40B8F" w:rsidP="00D42263">
      <w:pPr>
        <w:pStyle w:val="NormalWeb"/>
        <w:shd w:val="clear" w:color="auto" w:fill="FFFFFF"/>
        <w:spacing w:before="0" w:beforeAutospacing="0" w:after="0" w:afterAutospacing="0" w:line="360" w:lineRule="atLeast"/>
        <w:rPr>
          <w:rFonts w:ascii="Arial" w:hAnsi="Arial" w:cs="Arial"/>
          <w:color w:val="000000"/>
        </w:rPr>
      </w:pPr>
      <w:r w:rsidRPr="00394D3F">
        <w:rPr>
          <w:rFonts w:ascii="Arial" w:hAnsi="Arial" w:cs="Arial"/>
          <w:color w:val="000000"/>
        </w:rPr>
        <w:t>‌</w:t>
      </w:r>
      <w:r w:rsidR="00D42263" w:rsidRPr="00394D3F">
        <w:rPr>
          <w:rFonts w:ascii="Arial" w:hAnsi="Arial" w:cs="Arial"/>
          <w:color w:val="000000"/>
        </w:rPr>
        <w:t xml:space="preserve"> FCA (2023)</w:t>
      </w:r>
      <w:r w:rsidR="00D42263" w:rsidRPr="00394D3F">
        <w:rPr>
          <w:rStyle w:val="apple-converted-space"/>
          <w:rFonts w:ascii="Arial" w:eastAsiaTheme="majorEastAsia" w:hAnsi="Arial" w:cs="Arial"/>
          <w:color w:val="000000"/>
        </w:rPr>
        <w:t> </w:t>
      </w:r>
      <w:r w:rsidR="00D42263" w:rsidRPr="00394D3F">
        <w:rPr>
          <w:rFonts w:ascii="Arial" w:hAnsi="Arial" w:cs="Arial"/>
          <w:i/>
          <w:iCs/>
          <w:color w:val="000000"/>
        </w:rPr>
        <w:t>FCA</w:t>
      </w:r>
      <w:r w:rsidR="00D42263" w:rsidRPr="00394D3F">
        <w:rPr>
          <w:rFonts w:ascii="Arial" w:hAnsi="Arial" w:cs="Arial"/>
          <w:color w:val="000000"/>
        </w:rPr>
        <w:t>,</w:t>
      </w:r>
      <w:r w:rsidR="00D42263" w:rsidRPr="00394D3F">
        <w:rPr>
          <w:rStyle w:val="apple-converted-space"/>
          <w:rFonts w:ascii="Arial" w:eastAsiaTheme="majorEastAsia" w:hAnsi="Arial" w:cs="Arial"/>
          <w:color w:val="000000"/>
        </w:rPr>
        <w:t> </w:t>
      </w:r>
      <w:r w:rsidR="00D42263" w:rsidRPr="00394D3F">
        <w:rPr>
          <w:rFonts w:ascii="Arial" w:hAnsi="Arial" w:cs="Arial"/>
          <w:i/>
          <w:iCs/>
          <w:color w:val="000000"/>
        </w:rPr>
        <w:t>FCA</w:t>
      </w:r>
      <w:r w:rsidR="00D42263" w:rsidRPr="00394D3F">
        <w:rPr>
          <w:rFonts w:ascii="Arial" w:hAnsi="Arial" w:cs="Arial"/>
          <w:color w:val="000000"/>
        </w:rPr>
        <w:t>. Available at: https://www.fca.org.uk.</w:t>
      </w:r>
    </w:p>
    <w:p w14:paraId="27A613DC" w14:textId="25DB98A7" w:rsidR="00C909A1" w:rsidRPr="00394D3F" w:rsidRDefault="00D42263" w:rsidP="00C909A1">
      <w:pPr>
        <w:pStyle w:val="NormalWeb"/>
        <w:shd w:val="clear" w:color="auto" w:fill="FFFFFF"/>
        <w:rPr>
          <w:rFonts w:ascii="Arial" w:hAnsi="Arial" w:cs="Arial"/>
          <w:color w:val="000000"/>
        </w:rPr>
      </w:pPr>
      <w:r w:rsidRPr="00394D3F">
        <w:rPr>
          <w:rFonts w:ascii="Arial" w:hAnsi="Arial" w:cs="Arial"/>
          <w:color w:val="000000"/>
        </w:rPr>
        <w:t>‌</w:t>
      </w:r>
      <w:proofErr w:type="spellStart"/>
      <w:r w:rsidR="00C909A1" w:rsidRPr="00394D3F">
        <w:rPr>
          <w:rFonts w:ascii="Arial" w:hAnsi="Arial" w:cs="Arial"/>
          <w:color w:val="000000"/>
        </w:rPr>
        <w:t>Aju</w:t>
      </w:r>
      <w:proofErr w:type="spellEnd"/>
      <w:r w:rsidR="00C909A1" w:rsidRPr="00394D3F">
        <w:rPr>
          <w:rFonts w:ascii="Arial" w:hAnsi="Arial" w:cs="Arial"/>
          <w:color w:val="000000"/>
        </w:rPr>
        <w:t>, M. and Burrell, T. (2023). Available at: https://www.fca.org.uk/publication/research-notes/research-note-cryptoasset-consumer-research-2023-wave4.pdf.</w:t>
      </w:r>
    </w:p>
    <w:p w14:paraId="2954B05F" w14:textId="77777777" w:rsidR="00C909A1" w:rsidRDefault="00C909A1" w:rsidP="00C909A1">
      <w:pPr>
        <w:pStyle w:val="NormalWeb"/>
        <w:shd w:val="clear" w:color="auto" w:fill="FFFFFF"/>
        <w:rPr>
          <w:rFonts w:ascii="Calibri" w:hAnsi="Calibri" w:cs="Calibri"/>
          <w:color w:val="000000"/>
        </w:rPr>
      </w:pPr>
      <w:r>
        <w:rPr>
          <w:rFonts w:ascii="Calibri" w:hAnsi="Calibri" w:cs="Calibri"/>
          <w:color w:val="000000"/>
        </w:rPr>
        <w:t>‌</w:t>
      </w:r>
    </w:p>
    <w:p w14:paraId="7ACF1F5C" w14:textId="712BA0D1" w:rsidR="00A40B8F" w:rsidRDefault="00A40B8F" w:rsidP="00A40B8F">
      <w:pPr>
        <w:pStyle w:val="NormalWeb"/>
        <w:shd w:val="clear" w:color="auto" w:fill="FFFFFF"/>
        <w:rPr>
          <w:rFonts w:ascii="Calibri" w:hAnsi="Calibri" w:cs="Calibri"/>
          <w:color w:val="000000"/>
        </w:rPr>
      </w:pPr>
    </w:p>
    <w:p w14:paraId="45970665" w14:textId="77777777" w:rsidR="00936CAB" w:rsidRPr="00DD6BC7" w:rsidRDefault="00936CAB" w:rsidP="00DD6BC7">
      <w:pPr>
        <w:pStyle w:val="NormalWeb"/>
        <w:shd w:val="clear" w:color="auto" w:fill="FFFFFF"/>
        <w:rPr>
          <w:rFonts w:ascii="Calibri" w:hAnsi="Calibri" w:cs="Calibri"/>
          <w:color w:val="000000"/>
        </w:rPr>
      </w:pPr>
    </w:p>
    <w:p w14:paraId="0766F828" w14:textId="5E7E5BE6" w:rsidR="00936CAB" w:rsidRPr="00123074" w:rsidRDefault="00936CAB" w:rsidP="007865FB">
      <w:pPr>
        <w:rPr>
          <w:rFonts w:ascii="Arial" w:hAnsi="Arial" w:cs="Arial"/>
          <w:b/>
          <w:kern w:val="0"/>
        </w:rPr>
      </w:pPr>
    </w:p>
    <w:sectPr w:rsidR="00936CAB" w:rsidRPr="00123074">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AB9B19" w14:textId="77777777" w:rsidR="00A75ECD" w:rsidRDefault="00A75ECD" w:rsidP="00936CAB">
      <w:pPr>
        <w:spacing w:after="0" w:line="240" w:lineRule="auto"/>
      </w:pPr>
      <w:r>
        <w:separator/>
      </w:r>
    </w:p>
  </w:endnote>
  <w:endnote w:type="continuationSeparator" w:id="0">
    <w:p w14:paraId="034FEFD2" w14:textId="77777777" w:rsidR="00A75ECD" w:rsidRDefault="00A75ECD" w:rsidP="00936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0570388"/>
      <w:docPartObj>
        <w:docPartGallery w:val="Page Numbers (Bottom of Page)"/>
        <w:docPartUnique/>
      </w:docPartObj>
    </w:sdtPr>
    <w:sdtEndPr>
      <w:rPr>
        <w:rStyle w:val="PageNumber"/>
      </w:rPr>
    </w:sdtEndPr>
    <w:sdtContent>
      <w:p w14:paraId="116C9895" w14:textId="6D54641D" w:rsidR="00936CAB" w:rsidRDefault="00936CAB" w:rsidP="008404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F06580B" w14:textId="77777777" w:rsidR="00936CAB" w:rsidRDefault="00936C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328603"/>
      <w:docPartObj>
        <w:docPartGallery w:val="Page Numbers (Bottom of Page)"/>
        <w:docPartUnique/>
      </w:docPartObj>
    </w:sdtPr>
    <w:sdtEndPr>
      <w:rPr>
        <w:rStyle w:val="PageNumber"/>
      </w:rPr>
    </w:sdtEndPr>
    <w:sdtContent>
      <w:p w14:paraId="721A6F3D" w14:textId="65FFF173" w:rsidR="00936CAB" w:rsidRDefault="00936CAB" w:rsidP="008404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407020" w14:textId="77777777" w:rsidR="00936CAB" w:rsidRDefault="00936C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A38A9" w14:textId="77777777" w:rsidR="00A75ECD" w:rsidRDefault="00A75ECD" w:rsidP="00936CAB">
      <w:pPr>
        <w:spacing w:after="0" w:line="240" w:lineRule="auto"/>
      </w:pPr>
      <w:r>
        <w:separator/>
      </w:r>
    </w:p>
  </w:footnote>
  <w:footnote w:type="continuationSeparator" w:id="0">
    <w:p w14:paraId="6AE3D1E9" w14:textId="77777777" w:rsidR="00A75ECD" w:rsidRDefault="00A75ECD" w:rsidP="00936C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268A9"/>
    <w:multiLevelType w:val="hybridMultilevel"/>
    <w:tmpl w:val="11A40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12230A"/>
    <w:multiLevelType w:val="hybridMultilevel"/>
    <w:tmpl w:val="598A7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3967149">
    <w:abstractNumId w:val="0"/>
  </w:num>
  <w:num w:numId="2" w16cid:durableId="1674139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5FB"/>
    <w:rsid w:val="0007347B"/>
    <w:rsid w:val="000831F8"/>
    <w:rsid w:val="00123074"/>
    <w:rsid w:val="00130D62"/>
    <w:rsid w:val="0016741E"/>
    <w:rsid w:val="00173148"/>
    <w:rsid w:val="001D1D0B"/>
    <w:rsid w:val="001D276B"/>
    <w:rsid w:val="001E0D4B"/>
    <w:rsid w:val="0020705D"/>
    <w:rsid w:val="002110F2"/>
    <w:rsid w:val="002368C5"/>
    <w:rsid w:val="002828E5"/>
    <w:rsid w:val="00294535"/>
    <w:rsid w:val="002F699B"/>
    <w:rsid w:val="002F70A3"/>
    <w:rsid w:val="003038A3"/>
    <w:rsid w:val="00347715"/>
    <w:rsid w:val="0035390C"/>
    <w:rsid w:val="00387D6A"/>
    <w:rsid w:val="00393372"/>
    <w:rsid w:val="00394D3F"/>
    <w:rsid w:val="003C2BF1"/>
    <w:rsid w:val="00420931"/>
    <w:rsid w:val="00463156"/>
    <w:rsid w:val="004631B6"/>
    <w:rsid w:val="004720E5"/>
    <w:rsid w:val="004A4135"/>
    <w:rsid w:val="004B3C7E"/>
    <w:rsid w:val="00525A27"/>
    <w:rsid w:val="00557B8B"/>
    <w:rsid w:val="005645C9"/>
    <w:rsid w:val="005932CE"/>
    <w:rsid w:val="00596B07"/>
    <w:rsid w:val="005B3917"/>
    <w:rsid w:val="005C13B9"/>
    <w:rsid w:val="005D4128"/>
    <w:rsid w:val="006430D1"/>
    <w:rsid w:val="00647A35"/>
    <w:rsid w:val="0065788F"/>
    <w:rsid w:val="00657B47"/>
    <w:rsid w:val="006D6280"/>
    <w:rsid w:val="006F7376"/>
    <w:rsid w:val="007061BD"/>
    <w:rsid w:val="0071449F"/>
    <w:rsid w:val="00740940"/>
    <w:rsid w:val="00771E9E"/>
    <w:rsid w:val="007865FB"/>
    <w:rsid w:val="007B0243"/>
    <w:rsid w:val="007E17DE"/>
    <w:rsid w:val="007F51B0"/>
    <w:rsid w:val="00804968"/>
    <w:rsid w:val="00824B75"/>
    <w:rsid w:val="00831366"/>
    <w:rsid w:val="00855D45"/>
    <w:rsid w:val="008801BD"/>
    <w:rsid w:val="00894437"/>
    <w:rsid w:val="0092304D"/>
    <w:rsid w:val="00933220"/>
    <w:rsid w:val="00936CAB"/>
    <w:rsid w:val="009620C8"/>
    <w:rsid w:val="00972A2C"/>
    <w:rsid w:val="009969E3"/>
    <w:rsid w:val="00997CD8"/>
    <w:rsid w:val="009A7C9F"/>
    <w:rsid w:val="009B0A79"/>
    <w:rsid w:val="009E0D99"/>
    <w:rsid w:val="009F2E84"/>
    <w:rsid w:val="009F4F09"/>
    <w:rsid w:val="00A1190C"/>
    <w:rsid w:val="00A271AB"/>
    <w:rsid w:val="00A40B8F"/>
    <w:rsid w:val="00A40EEC"/>
    <w:rsid w:val="00A441EE"/>
    <w:rsid w:val="00A60247"/>
    <w:rsid w:val="00A74236"/>
    <w:rsid w:val="00A75ECD"/>
    <w:rsid w:val="00A8755C"/>
    <w:rsid w:val="00AA03A1"/>
    <w:rsid w:val="00AB0DF7"/>
    <w:rsid w:val="00AC6A69"/>
    <w:rsid w:val="00AC7D70"/>
    <w:rsid w:val="00AD0DB8"/>
    <w:rsid w:val="00AE6FE7"/>
    <w:rsid w:val="00B419D7"/>
    <w:rsid w:val="00B52809"/>
    <w:rsid w:val="00B62183"/>
    <w:rsid w:val="00B644A2"/>
    <w:rsid w:val="00B87BC7"/>
    <w:rsid w:val="00BB4AB5"/>
    <w:rsid w:val="00BC661D"/>
    <w:rsid w:val="00BE48EE"/>
    <w:rsid w:val="00BF7ED7"/>
    <w:rsid w:val="00C05E55"/>
    <w:rsid w:val="00C17A80"/>
    <w:rsid w:val="00C3196C"/>
    <w:rsid w:val="00C33B9A"/>
    <w:rsid w:val="00C50351"/>
    <w:rsid w:val="00C74A14"/>
    <w:rsid w:val="00C909A1"/>
    <w:rsid w:val="00CB32D4"/>
    <w:rsid w:val="00CC23ED"/>
    <w:rsid w:val="00CC3500"/>
    <w:rsid w:val="00D30496"/>
    <w:rsid w:val="00D36DAD"/>
    <w:rsid w:val="00D42263"/>
    <w:rsid w:val="00D8306B"/>
    <w:rsid w:val="00D8558F"/>
    <w:rsid w:val="00DB440B"/>
    <w:rsid w:val="00DC39E3"/>
    <w:rsid w:val="00DD12DD"/>
    <w:rsid w:val="00DD2ADC"/>
    <w:rsid w:val="00DD6BC7"/>
    <w:rsid w:val="00DD74FB"/>
    <w:rsid w:val="00DF011E"/>
    <w:rsid w:val="00E800F0"/>
    <w:rsid w:val="00EB3451"/>
    <w:rsid w:val="00EB4530"/>
    <w:rsid w:val="00EF7845"/>
    <w:rsid w:val="00EF789B"/>
    <w:rsid w:val="00EF7C4B"/>
    <w:rsid w:val="00F264F1"/>
    <w:rsid w:val="00F32F63"/>
    <w:rsid w:val="00F435F9"/>
    <w:rsid w:val="00F450E0"/>
    <w:rsid w:val="00F54286"/>
    <w:rsid w:val="00F63C73"/>
    <w:rsid w:val="00F66646"/>
    <w:rsid w:val="00F83A73"/>
    <w:rsid w:val="00FA5A1D"/>
    <w:rsid w:val="00FB58BF"/>
    <w:rsid w:val="00FC6960"/>
    <w:rsid w:val="00FD0125"/>
    <w:rsid w:val="00FD1020"/>
    <w:rsid w:val="00FF6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ABF3D"/>
  <w15:chartTrackingRefBased/>
  <w15:docId w15:val="{B62B8962-C896-B94A-AF6D-A140872AE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CAB"/>
  </w:style>
  <w:style w:type="paragraph" w:styleId="Heading1">
    <w:name w:val="heading 1"/>
    <w:basedOn w:val="Normal"/>
    <w:next w:val="Normal"/>
    <w:link w:val="Heading1Char"/>
    <w:uiPriority w:val="9"/>
    <w:qFormat/>
    <w:rsid w:val="00786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6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6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6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6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6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6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6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6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6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6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6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6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6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6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6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65FB"/>
    <w:rPr>
      <w:rFonts w:eastAsiaTheme="majorEastAsia" w:cstheme="majorBidi"/>
      <w:color w:val="272727" w:themeColor="text1" w:themeTint="D8"/>
    </w:rPr>
  </w:style>
  <w:style w:type="paragraph" w:styleId="Title">
    <w:name w:val="Title"/>
    <w:basedOn w:val="Normal"/>
    <w:next w:val="Normal"/>
    <w:link w:val="TitleChar"/>
    <w:uiPriority w:val="10"/>
    <w:qFormat/>
    <w:rsid w:val="00786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5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5FB"/>
    <w:pPr>
      <w:spacing w:before="160"/>
      <w:jc w:val="center"/>
    </w:pPr>
    <w:rPr>
      <w:i/>
      <w:iCs/>
      <w:color w:val="404040" w:themeColor="text1" w:themeTint="BF"/>
    </w:rPr>
  </w:style>
  <w:style w:type="character" w:customStyle="1" w:styleId="QuoteChar">
    <w:name w:val="Quote Char"/>
    <w:basedOn w:val="DefaultParagraphFont"/>
    <w:link w:val="Quote"/>
    <w:uiPriority w:val="29"/>
    <w:rsid w:val="007865FB"/>
    <w:rPr>
      <w:i/>
      <w:iCs/>
      <w:color w:val="404040" w:themeColor="text1" w:themeTint="BF"/>
    </w:rPr>
  </w:style>
  <w:style w:type="paragraph" w:styleId="ListParagraph">
    <w:name w:val="List Paragraph"/>
    <w:basedOn w:val="Normal"/>
    <w:uiPriority w:val="34"/>
    <w:qFormat/>
    <w:rsid w:val="007865FB"/>
    <w:pPr>
      <w:ind w:left="720"/>
      <w:contextualSpacing/>
    </w:pPr>
  </w:style>
  <w:style w:type="character" w:styleId="IntenseEmphasis">
    <w:name w:val="Intense Emphasis"/>
    <w:basedOn w:val="DefaultParagraphFont"/>
    <w:uiPriority w:val="21"/>
    <w:qFormat/>
    <w:rsid w:val="007865FB"/>
    <w:rPr>
      <w:i/>
      <w:iCs/>
      <w:color w:val="0F4761" w:themeColor="accent1" w:themeShade="BF"/>
    </w:rPr>
  </w:style>
  <w:style w:type="paragraph" w:styleId="IntenseQuote">
    <w:name w:val="Intense Quote"/>
    <w:basedOn w:val="Normal"/>
    <w:next w:val="Normal"/>
    <w:link w:val="IntenseQuoteChar"/>
    <w:uiPriority w:val="30"/>
    <w:qFormat/>
    <w:rsid w:val="00786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65FB"/>
    <w:rPr>
      <w:i/>
      <w:iCs/>
      <w:color w:val="0F4761" w:themeColor="accent1" w:themeShade="BF"/>
    </w:rPr>
  </w:style>
  <w:style w:type="character" w:styleId="IntenseReference">
    <w:name w:val="Intense Reference"/>
    <w:basedOn w:val="DefaultParagraphFont"/>
    <w:uiPriority w:val="32"/>
    <w:qFormat/>
    <w:rsid w:val="007865FB"/>
    <w:rPr>
      <w:b/>
      <w:bCs/>
      <w:smallCaps/>
      <w:color w:val="0F4761" w:themeColor="accent1" w:themeShade="BF"/>
      <w:spacing w:val="5"/>
    </w:rPr>
  </w:style>
  <w:style w:type="paragraph" w:styleId="Footer">
    <w:name w:val="footer"/>
    <w:basedOn w:val="Normal"/>
    <w:link w:val="FooterChar"/>
    <w:uiPriority w:val="99"/>
    <w:unhideWhenUsed/>
    <w:rsid w:val="00936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CAB"/>
  </w:style>
  <w:style w:type="character" w:styleId="PageNumber">
    <w:name w:val="page number"/>
    <w:basedOn w:val="DefaultParagraphFont"/>
    <w:uiPriority w:val="99"/>
    <w:semiHidden/>
    <w:unhideWhenUsed/>
    <w:rsid w:val="00936CAB"/>
  </w:style>
  <w:style w:type="paragraph" w:styleId="Header">
    <w:name w:val="header"/>
    <w:basedOn w:val="Normal"/>
    <w:link w:val="HeaderChar"/>
    <w:uiPriority w:val="99"/>
    <w:semiHidden/>
    <w:unhideWhenUsed/>
    <w:rsid w:val="005D412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D4128"/>
  </w:style>
  <w:style w:type="paragraph" w:styleId="NoSpacing">
    <w:name w:val="No Spacing"/>
    <w:uiPriority w:val="1"/>
    <w:qFormat/>
    <w:rsid w:val="005D4128"/>
    <w:pPr>
      <w:spacing w:after="0" w:line="240" w:lineRule="auto"/>
    </w:pPr>
  </w:style>
  <w:style w:type="character" w:customStyle="1" w:styleId="apple-converted-space">
    <w:name w:val="apple-converted-space"/>
    <w:basedOn w:val="DefaultParagraphFont"/>
    <w:rsid w:val="005D4128"/>
  </w:style>
  <w:style w:type="character" w:styleId="Emphasis">
    <w:name w:val="Emphasis"/>
    <w:basedOn w:val="DefaultParagraphFont"/>
    <w:uiPriority w:val="20"/>
    <w:qFormat/>
    <w:rsid w:val="005D4128"/>
    <w:rPr>
      <w:i/>
      <w:iCs/>
    </w:rPr>
  </w:style>
  <w:style w:type="character" w:styleId="Hyperlink">
    <w:name w:val="Hyperlink"/>
    <w:basedOn w:val="DefaultParagraphFont"/>
    <w:uiPriority w:val="99"/>
    <w:unhideWhenUsed/>
    <w:rsid w:val="005D4128"/>
    <w:rPr>
      <w:color w:val="0000FF"/>
      <w:u w:val="single"/>
    </w:rPr>
  </w:style>
  <w:style w:type="character" w:styleId="FollowedHyperlink">
    <w:name w:val="FollowedHyperlink"/>
    <w:basedOn w:val="DefaultParagraphFont"/>
    <w:uiPriority w:val="99"/>
    <w:semiHidden/>
    <w:unhideWhenUsed/>
    <w:rsid w:val="005D4128"/>
    <w:rPr>
      <w:color w:val="96607D" w:themeColor="followedHyperlink"/>
      <w:u w:val="single"/>
    </w:rPr>
  </w:style>
  <w:style w:type="character" w:styleId="UnresolvedMention">
    <w:name w:val="Unresolved Mention"/>
    <w:basedOn w:val="DefaultParagraphFont"/>
    <w:uiPriority w:val="99"/>
    <w:semiHidden/>
    <w:unhideWhenUsed/>
    <w:rsid w:val="005D4128"/>
    <w:rPr>
      <w:color w:val="605E5C"/>
      <w:shd w:val="clear" w:color="auto" w:fill="E1DFDD"/>
    </w:rPr>
  </w:style>
  <w:style w:type="paragraph" w:styleId="NormalWeb">
    <w:name w:val="Normal (Web)"/>
    <w:basedOn w:val="Normal"/>
    <w:uiPriority w:val="99"/>
    <w:semiHidden/>
    <w:unhideWhenUsed/>
    <w:rsid w:val="005D41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57/jep.29.2.213" TargetMode="External"/><Relationship Id="rId13" Type="http://schemas.openxmlformats.org/officeDocument/2006/relationships/hyperlink" Target="https://doi.org/10.1016/j.dss.2016.12.001"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2307/30036519" TargetMode="External"/><Relationship Id="rId17" Type="http://schemas.openxmlformats.org/officeDocument/2006/relationships/hyperlink" Target="https://www.triple-a.io/cryptocurrency-ownership-data" TargetMode="External"/><Relationship Id="rId2" Type="http://schemas.openxmlformats.org/officeDocument/2006/relationships/styles" Target="styles.xml"/><Relationship Id="rId16" Type="http://schemas.openxmlformats.org/officeDocument/2006/relationships/hyperlink" Target="https://doi.org/10.1057/s41599-023-02528-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ca.org.uk/publication/research-notes/research-note-cryptoasset-consumer-research-2023-wave4.pdf" TargetMode="External"/><Relationship Id="rId5" Type="http://schemas.openxmlformats.org/officeDocument/2006/relationships/footnotes" Target="footnotes.xml"/><Relationship Id="rId15" Type="http://schemas.openxmlformats.org/officeDocument/2006/relationships/hyperlink" Target="https://bitcoin.org/bitcoin.pdf" TargetMode="External"/><Relationship Id="rId10" Type="http://schemas.openxmlformats.org/officeDocument/2006/relationships/hyperlink" Target="https://doi.org/10.2307/249008"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191/1478088706qp063oa" TargetMode="External"/><Relationship Id="rId14" Type="http://schemas.openxmlformats.org/officeDocument/2006/relationships/hyperlink" Target="https://doi.org/10.1257/jel.52.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2570</Words>
  <Characters>14652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Rezai (2317544)</dc:creator>
  <cp:keywords/>
  <dc:description/>
  <cp:lastModifiedBy>Helen Rezai (2317544)</cp:lastModifiedBy>
  <cp:revision>2</cp:revision>
  <dcterms:created xsi:type="dcterms:W3CDTF">2026-04-21T11:37:00Z</dcterms:created>
  <dcterms:modified xsi:type="dcterms:W3CDTF">2026-04-21T11:37:00Z</dcterms:modified>
</cp:coreProperties>
</file>