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CDC34" w14:textId="77138A32" w:rsidR="0039419B" w:rsidRDefault="00DE1A94" w:rsidP="000B09F2">
      <w:pPr>
        <w:pStyle w:val="Heading1"/>
      </w:pPr>
      <w:r>
        <w:rPr>
          <w:noProof/>
        </w:rPr>
        <w:drawing>
          <wp:inline distT="0" distB="0" distL="0" distR="0" wp14:anchorId="535CFDEF" wp14:editId="3F4595FB">
            <wp:extent cx="5988050" cy="2438400"/>
            <wp:effectExtent l="0" t="0" r="0" b="0"/>
            <wp:docPr id="635041801" name="Picture 1"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Posts / 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88050" cy="2438400"/>
                    </a:xfrm>
                    <a:prstGeom prst="rect">
                      <a:avLst/>
                    </a:prstGeom>
                    <a:noFill/>
                    <a:ln>
                      <a:noFill/>
                    </a:ln>
                  </pic:spPr>
                </pic:pic>
              </a:graphicData>
            </a:graphic>
          </wp:inline>
        </w:drawing>
      </w:r>
    </w:p>
    <w:p w14:paraId="32F0BF4D" w14:textId="77777777" w:rsidR="00DE1A94" w:rsidRDefault="00DE1A94" w:rsidP="00F66D6C">
      <w:pPr>
        <w:spacing w:line="360" w:lineRule="auto"/>
        <w:jc w:val="both"/>
      </w:pPr>
    </w:p>
    <w:p w14:paraId="53F43C0B" w14:textId="4BCA77D8" w:rsidR="004B7F07" w:rsidRPr="004B7F07" w:rsidRDefault="004B7F07" w:rsidP="00F66D6C">
      <w:pPr>
        <w:spacing w:line="360" w:lineRule="auto"/>
        <w:jc w:val="both"/>
        <w:rPr>
          <w:b/>
          <w:bCs/>
          <w:sz w:val="32"/>
          <w:szCs w:val="32"/>
        </w:rPr>
      </w:pPr>
      <w:r w:rsidRPr="004B7F07">
        <w:rPr>
          <w:b/>
          <w:bCs/>
          <w:sz w:val="32"/>
          <w:szCs w:val="32"/>
        </w:rPr>
        <w:t>Global Business Environment (LCBB4016_LON)</w:t>
      </w:r>
    </w:p>
    <w:p w14:paraId="4BB2458B" w14:textId="77777777" w:rsidR="00DE1A94" w:rsidRDefault="00DE1A94" w:rsidP="00F66D6C">
      <w:pPr>
        <w:spacing w:line="360" w:lineRule="auto"/>
        <w:jc w:val="both"/>
        <w:rPr>
          <w:b/>
          <w:bCs/>
          <w:sz w:val="32"/>
          <w:szCs w:val="32"/>
        </w:rPr>
      </w:pPr>
    </w:p>
    <w:p w14:paraId="2948166C" w14:textId="29EC5046" w:rsidR="004B7F07" w:rsidRDefault="00CD47A4" w:rsidP="00F66D6C">
      <w:pPr>
        <w:spacing w:line="360" w:lineRule="auto"/>
        <w:jc w:val="both"/>
        <w:rPr>
          <w:b/>
          <w:bCs/>
          <w:sz w:val="32"/>
          <w:szCs w:val="32"/>
        </w:rPr>
      </w:pPr>
      <w:r>
        <w:rPr>
          <w:b/>
          <w:bCs/>
          <w:noProof/>
          <w:sz w:val="32"/>
          <w:szCs w:val="32"/>
        </w:rPr>
        <w:drawing>
          <wp:inline distT="0" distB="0" distL="0" distR="0" wp14:anchorId="5182CC7B" wp14:editId="3FCA4F90">
            <wp:extent cx="6076950" cy="1628775"/>
            <wp:effectExtent l="0" t="0" r="0" b="9525"/>
            <wp:docPr id="158361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6950" cy="1628775"/>
                    </a:xfrm>
                    <a:prstGeom prst="rect">
                      <a:avLst/>
                    </a:prstGeom>
                    <a:noFill/>
                  </pic:spPr>
                </pic:pic>
              </a:graphicData>
            </a:graphic>
          </wp:inline>
        </w:drawing>
      </w:r>
    </w:p>
    <w:p w14:paraId="4FE31469" w14:textId="77777777" w:rsidR="004B7F07" w:rsidRDefault="004B7F07" w:rsidP="00F66D6C">
      <w:pPr>
        <w:spacing w:line="360" w:lineRule="auto"/>
        <w:jc w:val="both"/>
        <w:rPr>
          <w:b/>
          <w:bCs/>
          <w:sz w:val="32"/>
          <w:szCs w:val="32"/>
        </w:rPr>
      </w:pPr>
    </w:p>
    <w:p w14:paraId="478A5C73" w14:textId="77777777" w:rsidR="00675592" w:rsidRDefault="00675592" w:rsidP="00F66D6C">
      <w:pPr>
        <w:spacing w:line="360" w:lineRule="auto"/>
        <w:jc w:val="both"/>
        <w:rPr>
          <w:rFonts w:cs="Aharoni"/>
          <w:sz w:val="40"/>
          <w:szCs w:val="40"/>
          <w:lang w:val="nl-NL"/>
        </w:rPr>
      </w:pPr>
    </w:p>
    <w:p w14:paraId="7BD21DD2" w14:textId="33421BE9" w:rsidR="00675592" w:rsidRPr="00107530" w:rsidRDefault="00675592" w:rsidP="00F66D6C">
      <w:pPr>
        <w:spacing w:line="360" w:lineRule="auto"/>
        <w:jc w:val="both"/>
        <w:rPr>
          <w:rFonts w:cs="Aharoni"/>
          <w:sz w:val="40"/>
          <w:szCs w:val="40"/>
          <w:lang w:val="nl-NL"/>
        </w:rPr>
      </w:pPr>
      <w:r w:rsidRPr="00107530">
        <w:rPr>
          <w:rFonts w:cs="Aharoni"/>
          <w:sz w:val="40"/>
          <w:szCs w:val="40"/>
          <w:lang w:val="nl-NL"/>
        </w:rPr>
        <w:t>Student name: Ion Dodon</w:t>
      </w:r>
    </w:p>
    <w:p w14:paraId="46CEE9E4" w14:textId="77777777" w:rsidR="00675592" w:rsidRPr="00107530" w:rsidRDefault="00675592" w:rsidP="00F66D6C">
      <w:pPr>
        <w:spacing w:line="360" w:lineRule="auto"/>
        <w:jc w:val="both"/>
        <w:rPr>
          <w:rFonts w:cs="Aharoni"/>
          <w:sz w:val="40"/>
          <w:szCs w:val="40"/>
          <w:lang w:val="nl-NL"/>
        </w:rPr>
      </w:pPr>
      <w:r w:rsidRPr="00107530">
        <w:rPr>
          <w:rFonts w:cs="Aharoni"/>
          <w:sz w:val="40"/>
          <w:szCs w:val="40"/>
          <w:lang w:val="nl-NL"/>
        </w:rPr>
        <w:t>Student ID.: 2315140</w:t>
      </w:r>
    </w:p>
    <w:p w14:paraId="1136BBDF" w14:textId="4A314D39" w:rsidR="00675592" w:rsidRDefault="00675592" w:rsidP="00F66D6C">
      <w:pPr>
        <w:spacing w:line="360" w:lineRule="auto"/>
        <w:jc w:val="both"/>
        <w:rPr>
          <w:b/>
          <w:bCs/>
          <w:sz w:val="32"/>
          <w:szCs w:val="32"/>
        </w:rPr>
      </w:pPr>
      <w:r w:rsidRPr="00331B21">
        <w:rPr>
          <w:rFonts w:cs="Aharoni"/>
          <w:sz w:val="40"/>
          <w:szCs w:val="40"/>
        </w:rPr>
        <w:t>Lecture</w:t>
      </w:r>
      <w:r>
        <w:rPr>
          <w:rFonts w:cs="Aharoni"/>
          <w:sz w:val="40"/>
          <w:szCs w:val="40"/>
        </w:rPr>
        <w:t>:</w:t>
      </w:r>
      <w:r w:rsidR="00952382" w:rsidRPr="00952382">
        <w:rPr>
          <w:rFonts w:ascii="Source Sans Pro" w:hAnsi="Source Sans Pro"/>
          <w:color w:val="242130"/>
          <w:sz w:val="21"/>
          <w:szCs w:val="21"/>
          <w:shd w:val="clear" w:color="auto" w:fill="FFFFFF"/>
        </w:rPr>
        <w:t xml:space="preserve"> </w:t>
      </w:r>
      <w:proofErr w:type="spellStart"/>
      <w:r w:rsidR="00952382" w:rsidRPr="00952382">
        <w:rPr>
          <w:rFonts w:cs="Aharoni"/>
          <w:sz w:val="40"/>
          <w:szCs w:val="40"/>
        </w:rPr>
        <w:t>Prithwa</w:t>
      </w:r>
      <w:proofErr w:type="spellEnd"/>
      <w:r w:rsidR="00952382" w:rsidRPr="00952382">
        <w:rPr>
          <w:rFonts w:cs="Aharoni"/>
          <w:sz w:val="40"/>
          <w:szCs w:val="40"/>
        </w:rPr>
        <w:t xml:space="preserve"> Bhattacharya</w:t>
      </w:r>
    </w:p>
    <w:p w14:paraId="7DE108CB" w14:textId="77777777" w:rsidR="004B7F07" w:rsidRDefault="004B7F07" w:rsidP="00F66D6C">
      <w:pPr>
        <w:spacing w:line="360" w:lineRule="auto"/>
        <w:jc w:val="both"/>
        <w:rPr>
          <w:b/>
          <w:bCs/>
          <w:sz w:val="32"/>
          <w:szCs w:val="32"/>
        </w:rPr>
      </w:pPr>
    </w:p>
    <w:sdt>
      <w:sdtPr>
        <w:rPr>
          <w:rFonts w:asciiTheme="minorHAnsi" w:eastAsiaTheme="minorHAnsi" w:hAnsiTheme="minorHAnsi" w:cstheme="minorBidi"/>
          <w:color w:val="auto"/>
          <w:kern w:val="2"/>
          <w:sz w:val="24"/>
          <w:szCs w:val="24"/>
          <w:lang w:val="en-GB"/>
          <w14:ligatures w14:val="standardContextual"/>
        </w:rPr>
        <w:id w:val="-719361957"/>
        <w:docPartObj>
          <w:docPartGallery w:val="Table of Contents"/>
          <w:docPartUnique/>
        </w:docPartObj>
      </w:sdtPr>
      <w:sdtEndPr>
        <w:rPr>
          <w:b/>
          <w:bCs/>
          <w:noProof/>
        </w:rPr>
      </w:sdtEndPr>
      <w:sdtContent>
        <w:p w14:paraId="6E2BE379" w14:textId="7767F788" w:rsidR="00DB68D1" w:rsidRDefault="00DB68D1">
          <w:pPr>
            <w:pStyle w:val="TOCHeading"/>
            <w:rPr>
              <w:b/>
              <w:bCs/>
            </w:rPr>
          </w:pPr>
          <w:r w:rsidRPr="00DB68D1">
            <w:rPr>
              <w:b/>
              <w:bCs/>
            </w:rPr>
            <w:t>Contents</w:t>
          </w:r>
        </w:p>
        <w:p w14:paraId="70D28416" w14:textId="77777777" w:rsidR="00DB68D1" w:rsidRPr="00DB68D1" w:rsidRDefault="00DB68D1" w:rsidP="00DB68D1">
          <w:pPr>
            <w:rPr>
              <w:lang w:val="en-US"/>
            </w:rPr>
          </w:pPr>
        </w:p>
        <w:p w14:paraId="3186C532" w14:textId="76BBFAD8" w:rsidR="00DB68D1" w:rsidRDefault="00DB68D1">
          <w:pPr>
            <w:pStyle w:val="TOC1"/>
            <w:rPr>
              <w:rFonts w:eastAsiaTheme="minorEastAsia"/>
              <w:b w:val="0"/>
              <w:bCs w:val="0"/>
              <w:lang w:eastAsia="en-GB"/>
            </w:rPr>
          </w:pPr>
          <w:r>
            <w:fldChar w:fldCharType="begin"/>
          </w:r>
          <w:r>
            <w:instrText xml:space="preserve"> TOC \o "1-3" \h \z \u </w:instrText>
          </w:r>
          <w:r>
            <w:fldChar w:fldCharType="separate"/>
          </w:r>
          <w:hyperlink w:anchor="_Toc216012144" w:history="1">
            <w:r w:rsidRPr="004B67E5">
              <w:rPr>
                <w:rStyle w:val="Hyperlink"/>
              </w:rPr>
              <w:t>Introduction</w:t>
            </w:r>
            <w:r>
              <w:rPr>
                <w:webHidden/>
              </w:rPr>
              <w:tab/>
            </w:r>
            <w:r>
              <w:rPr>
                <w:webHidden/>
              </w:rPr>
              <w:fldChar w:fldCharType="begin"/>
            </w:r>
            <w:r>
              <w:rPr>
                <w:webHidden/>
              </w:rPr>
              <w:instrText xml:space="preserve"> PAGEREF _Toc216012144 \h </w:instrText>
            </w:r>
            <w:r>
              <w:rPr>
                <w:webHidden/>
              </w:rPr>
            </w:r>
            <w:r>
              <w:rPr>
                <w:webHidden/>
              </w:rPr>
              <w:fldChar w:fldCharType="separate"/>
            </w:r>
            <w:r>
              <w:rPr>
                <w:webHidden/>
              </w:rPr>
              <w:t>3</w:t>
            </w:r>
            <w:r>
              <w:rPr>
                <w:webHidden/>
              </w:rPr>
              <w:fldChar w:fldCharType="end"/>
            </w:r>
          </w:hyperlink>
        </w:p>
        <w:p w14:paraId="1A47D3BA" w14:textId="3C12BB94" w:rsidR="00DB68D1" w:rsidRDefault="00DB68D1">
          <w:pPr>
            <w:pStyle w:val="TOC1"/>
            <w:rPr>
              <w:rFonts w:eastAsiaTheme="minorEastAsia"/>
              <w:b w:val="0"/>
              <w:bCs w:val="0"/>
              <w:lang w:eastAsia="en-GB"/>
            </w:rPr>
          </w:pPr>
          <w:hyperlink w:anchor="_Toc216012145" w:history="1">
            <w:r w:rsidRPr="004B67E5">
              <w:rPr>
                <w:rStyle w:val="Hyperlink"/>
              </w:rPr>
              <w:t>Opportunities and Challenges Created by Global Forces</w:t>
            </w:r>
            <w:r>
              <w:rPr>
                <w:webHidden/>
              </w:rPr>
              <w:tab/>
            </w:r>
            <w:r>
              <w:rPr>
                <w:webHidden/>
              </w:rPr>
              <w:fldChar w:fldCharType="begin"/>
            </w:r>
            <w:r>
              <w:rPr>
                <w:webHidden/>
              </w:rPr>
              <w:instrText xml:space="preserve"> PAGEREF _Toc216012145 \h </w:instrText>
            </w:r>
            <w:r>
              <w:rPr>
                <w:webHidden/>
              </w:rPr>
            </w:r>
            <w:r>
              <w:rPr>
                <w:webHidden/>
              </w:rPr>
              <w:fldChar w:fldCharType="separate"/>
            </w:r>
            <w:r>
              <w:rPr>
                <w:webHidden/>
              </w:rPr>
              <w:t>4</w:t>
            </w:r>
            <w:r>
              <w:rPr>
                <w:webHidden/>
              </w:rPr>
              <w:fldChar w:fldCharType="end"/>
            </w:r>
          </w:hyperlink>
        </w:p>
        <w:p w14:paraId="509241C3" w14:textId="29F9B488" w:rsidR="00DB68D1" w:rsidRDefault="00DB68D1">
          <w:pPr>
            <w:pStyle w:val="TOC2"/>
            <w:tabs>
              <w:tab w:val="right" w:leader="dot" w:pos="9016"/>
            </w:tabs>
            <w:rPr>
              <w:rFonts w:eastAsiaTheme="minorEastAsia"/>
              <w:noProof/>
              <w:lang w:eastAsia="en-GB"/>
            </w:rPr>
          </w:pPr>
          <w:hyperlink w:anchor="_Toc216012146" w:history="1">
            <w:r w:rsidRPr="004B67E5">
              <w:rPr>
                <w:rStyle w:val="Hyperlink"/>
                <w:noProof/>
              </w:rPr>
              <w:t>1. Artificial Intelligence (AI) Adoption</w:t>
            </w:r>
            <w:r>
              <w:rPr>
                <w:noProof/>
                <w:webHidden/>
              </w:rPr>
              <w:tab/>
            </w:r>
            <w:r>
              <w:rPr>
                <w:noProof/>
                <w:webHidden/>
              </w:rPr>
              <w:fldChar w:fldCharType="begin"/>
            </w:r>
            <w:r>
              <w:rPr>
                <w:noProof/>
                <w:webHidden/>
              </w:rPr>
              <w:instrText xml:space="preserve"> PAGEREF _Toc216012146 \h </w:instrText>
            </w:r>
            <w:r>
              <w:rPr>
                <w:noProof/>
                <w:webHidden/>
              </w:rPr>
            </w:r>
            <w:r>
              <w:rPr>
                <w:noProof/>
                <w:webHidden/>
              </w:rPr>
              <w:fldChar w:fldCharType="separate"/>
            </w:r>
            <w:r>
              <w:rPr>
                <w:noProof/>
                <w:webHidden/>
              </w:rPr>
              <w:t>4</w:t>
            </w:r>
            <w:r>
              <w:rPr>
                <w:noProof/>
                <w:webHidden/>
              </w:rPr>
              <w:fldChar w:fldCharType="end"/>
            </w:r>
          </w:hyperlink>
        </w:p>
        <w:p w14:paraId="15F1C2B7" w14:textId="7C0311EA" w:rsidR="00DB68D1" w:rsidRDefault="00DB68D1">
          <w:pPr>
            <w:pStyle w:val="TOC3"/>
            <w:tabs>
              <w:tab w:val="right" w:leader="dot" w:pos="9016"/>
            </w:tabs>
            <w:rPr>
              <w:rFonts w:eastAsiaTheme="minorEastAsia"/>
              <w:noProof/>
              <w:lang w:eastAsia="en-GB"/>
            </w:rPr>
          </w:pPr>
          <w:hyperlink w:anchor="_Toc216012147" w:history="1">
            <w:r w:rsidRPr="004B67E5">
              <w:rPr>
                <w:rStyle w:val="Hyperlink"/>
                <w:noProof/>
              </w:rPr>
              <w:t>Opportunities</w:t>
            </w:r>
            <w:r>
              <w:rPr>
                <w:noProof/>
                <w:webHidden/>
              </w:rPr>
              <w:tab/>
            </w:r>
            <w:r>
              <w:rPr>
                <w:noProof/>
                <w:webHidden/>
              </w:rPr>
              <w:fldChar w:fldCharType="begin"/>
            </w:r>
            <w:r>
              <w:rPr>
                <w:noProof/>
                <w:webHidden/>
              </w:rPr>
              <w:instrText xml:space="preserve"> PAGEREF _Toc216012147 \h </w:instrText>
            </w:r>
            <w:r>
              <w:rPr>
                <w:noProof/>
                <w:webHidden/>
              </w:rPr>
            </w:r>
            <w:r>
              <w:rPr>
                <w:noProof/>
                <w:webHidden/>
              </w:rPr>
              <w:fldChar w:fldCharType="separate"/>
            </w:r>
            <w:r>
              <w:rPr>
                <w:noProof/>
                <w:webHidden/>
              </w:rPr>
              <w:t>4</w:t>
            </w:r>
            <w:r>
              <w:rPr>
                <w:noProof/>
                <w:webHidden/>
              </w:rPr>
              <w:fldChar w:fldCharType="end"/>
            </w:r>
          </w:hyperlink>
        </w:p>
        <w:p w14:paraId="76C79708" w14:textId="6E14FA3A" w:rsidR="00DB68D1" w:rsidRDefault="00DB68D1">
          <w:pPr>
            <w:pStyle w:val="TOC3"/>
            <w:tabs>
              <w:tab w:val="right" w:leader="dot" w:pos="9016"/>
            </w:tabs>
            <w:rPr>
              <w:rFonts w:eastAsiaTheme="minorEastAsia"/>
              <w:noProof/>
              <w:lang w:eastAsia="en-GB"/>
            </w:rPr>
          </w:pPr>
          <w:hyperlink w:anchor="_Toc216012148" w:history="1">
            <w:r w:rsidRPr="004B67E5">
              <w:rPr>
                <w:rStyle w:val="Hyperlink"/>
                <w:noProof/>
              </w:rPr>
              <w:t>Challenges</w:t>
            </w:r>
            <w:r>
              <w:rPr>
                <w:noProof/>
                <w:webHidden/>
              </w:rPr>
              <w:tab/>
            </w:r>
            <w:r>
              <w:rPr>
                <w:noProof/>
                <w:webHidden/>
              </w:rPr>
              <w:fldChar w:fldCharType="begin"/>
            </w:r>
            <w:r>
              <w:rPr>
                <w:noProof/>
                <w:webHidden/>
              </w:rPr>
              <w:instrText xml:space="preserve"> PAGEREF _Toc216012148 \h </w:instrText>
            </w:r>
            <w:r>
              <w:rPr>
                <w:noProof/>
                <w:webHidden/>
              </w:rPr>
            </w:r>
            <w:r>
              <w:rPr>
                <w:noProof/>
                <w:webHidden/>
              </w:rPr>
              <w:fldChar w:fldCharType="separate"/>
            </w:r>
            <w:r>
              <w:rPr>
                <w:noProof/>
                <w:webHidden/>
              </w:rPr>
              <w:t>5</w:t>
            </w:r>
            <w:r>
              <w:rPr>
                <w:noProof/>
                <w:webHidden/>
              </w:rPr>
              <w:fldChar w:fldCharType="end"/>
            </w:r>
          </w:hyperlink>
        </w:p>
        <w:p w14:paraId="61FA02B8" w14:textId="16A5BBAA" w:rsidR="00DB68D1" w:rsidRDefault="00DB68D1">
          <w:pPr>
            <w:pStyle w:val="TOC2"/>
            <w:tabs>
              <w:tab w:val="right" w:leader="dot" w:pos="9016"/>
            </w:tabs>
            <w:rPr>
              <w:rFonts w:eastAsiaTheme="minorEastAsia"/>
              <w:noProof/>
              <w:lang w:eastAsia="en-GB"/>
            </w:rPr>
          </w:pPr>
          <w:hyperlink w:anchor="_Toc216012149" w:history="1">
            <w:r w:rsidRPr="004B67E5">
              <w:rPr>
                <w:rStyle w:val="Hyperlink"/>
                <w:noProof/>
              </w:rPr>
              <w:t>2. Geopolitical Supply Chain Disruptions</w:t>
            </w:r>
            <w:r>
              <w:rPr>
                <w:noProof/>
                <w:webHidden/>
              </w:rPr>
              <w:tab/>
            </w:r>
            <w:r>
              <w:rPr>
                <w:noProof/>
                <w:webHidden/>
              </w:rPr>
              <w:fldChar w:fldCharType="begin"/>
            </w:r>
            <w:r>
              <w:rPr>
                <w:noProof/>
                <w:webHidden/>
              </w:rPr>
              <w:instrText xml:space="preserve"> PAGEREF _Toc216012149 \h </w:instrText>
            </w:r>
            <w:r>
              <w:rPr>
                <w:noProof/>
                <w:webHidden/>
              </w:rPr>
            </w:r>
            <w:r>
              <w:rPr>
                <w:noProof/>
                <w:webHidden/>
              </w:rPr>
              <w:fldChar w:fldCharType="separate"/>
            </w:r>
            <w:r>
              <w:rPr>
                <w:noProof/>
                <w:webHidden/>
              </w:rPr>
              <w:t>5</w:t>
            </w:r>
            <w:r>
              <w:rPr>
                <w:noProof/>
                <w:webHidden/>
              </w:rPr>
              <w:fldChar w:fldCharType="end"/>
            </w:r>
          </w:hyperlink>
        </w:p>
        <w:p w14:paraId="4F472D93" w14:textId="4EEFEC01" w:rsidR="00DB68D1" w:rsidRDefault="00DB68D1">
          <w:pPr>
            <w:pStyle w:val="TOC3"/>
            <w:tabs>
              <w:tab w:val="right" w:leader="dot" w:pos="9016"/>
            </w:tabs>
            <w:rPr>
              <w:rFonts w:eastAsiaTheme="minorEastAsia"/>
              <w:noProof/>
              <w:lang w:eastAsia="en-GB"/>
            </w:rPr>
          </w:pPr>
          <w:hyperlink w:anchor="_Toc216012150" w:history="1">
            <w:r w:rsidRPr="004B67E5">
              <w:rPr>
                <w:rStyle w:val="Hyperlink"/>
                <w:noProof/>
              </w:rPr>
              <w:t>Opportunities</w:t>
            </w:r>
            <w:r>
              <w:rPr>
                <w:noProof/>
                <w:webHidden/>
              </w:rPr>
              <w:tab/>
            </w:r>
            <w:r>
              <w:rPr>
                <w:noProof/>
                <w:webHidden/>
              </w:rPr>
              <w:fldChar w:fldCharType="begin"/>
            </w:r>
            <w:r>
              <w:rPr>
                <w:noProof/>
                <w:webHidden/>
              </w:rPr>
              <w:instrText xml:space="preserve"> PAGEREF _Toc216012150 \h </w:instrText>
            </w:r>
            <w:r>
              <w:rPr>
                <w:noProof/>
                <w:webHidden/>
              </w:rPr>
            </w:r>
            <w:r>
              <w:rPr>
                <w:noProof/>
                <w:webHidden/>
              </w:rPr>
              <w:fldChar w:fldCharType="separate"/>
            </w:r>
            <w:r>
              <w:rPr>
                <w:noProof/>
                <w:webHidden/>
              </w:rPr>
              <w:t>5</w:t>
            </w:r>
            <w:r>
              <w:rPr>
                <w:noProof/>
                <w:webHidden/>
              </w:rPr>
              <w:fldChar w:fldCharType="end"/>
            </w:r>
          </w:hyperlink>
        </w:p>
        <w:p w14:paraId="78AC4D58" w14:textId="0FAB8310" w:rsidR="00DB68D1" w:rsidRDefault="00DB68D1">
          <w:pPr>
            <w:pStyle w:val="TOC3"/>
            <w:tabs>
              <w:tab w:val="right" w:leader="dot" w:pos="9016"/>
            </w:tabs>
            <w:rPr>
              <w:rFonts w:eastAsiaTheme="minorEastAsia"/>
              <w:noProof/>
              <w:lang w:eastAsia="en-GB"/>
            </w:rPr>
          </w:pPr>
          <w:hyperlink w:anchor="_Toc216012151" w:history="1">
            <w:r w:rsidRPr="004B67E5">
              <w:rPr>
                <w:rStyle w:val="Hyperlink"/>
                <w:noProof/>
              </w:rPr>
              <w:t>Challenges</w:t>
            </w:r>
            <w:r>
              <w:rPr>
                <w:noProof/>
                <w:webHidden/>
              </w:rPr>
              <w:tab/>
            </w:r>
            <w:r>
              <w:rPr>
                <w:noProof/>
                <w:webHidden/>
              </w:rPr>
              <w:fldChar w:fldCharType="begin"/>
            </w:r>
            <w:r>
              <w:rPr>
                <w:noProof/>
                <w:webHidden/>
              </w:rPr>
              <w:instrText xml:space="preserve"> PAGEREF _Toc216012151 \h </w:instrText>
            </w:r>
            <w:r>
              <w:rPr>
                <w:noProof/>
                <w:webHidden/>
              </w:rPr>
            </w:r>
            <w:r>
              <w:rPr>
                <w:noProof/>
                <w:webHidden/>
              </w:rPr>
              <w:fldChar w:fldCharType="separate"/>
            </w:r>
            <w:r>
              <w:rPr>
                <w:noProof/>
                <w:webHidden/>
              </w:rPr>
              <w:t>6</w:t>
            </w:r>
            <w:r>
              <w:rPr>
                <w:noProof/>
                <w:webHidden/>
              </w:rPr>
              <w:fldChar w:fldCharType="end"/>
            </w:r>
          </w:hyperlink>
        </w:p>
        <w:p w14:paraId="05202D39" w14:textId="56B9636B" w:rsidR="00DB68D1" w:rsidRDefault="00DB68D1">
          <w:pPr>
            <w:pStyle w:val="TOC2"/>
            <w:tabs>
              <w:tab w:val="right" w:leader="dot" w:pos="9016"/>
            </w:tabs>
            <w:rPr>
              <w:rFonts w:eastAsiaTheme="minorEastAsia"/>
              <w:noProof/>
              <w:lang w:eastAsia="en-GB"/>
            </w:rPr>
          </w:pPr>
          <w:hyperlink w:anchor="_Toc216012152" w:history="1">
            <w:r w:rsidRPr="004B67E5">
              <w:rPr>
                <w:rStyle w:val="Hyperlink"/>
                <w:noProof/>
              </w:rPr>
              <w:t>3. Sustainability Regulations: The EU CSRD</w:t>
            </w:r>
            <w:r>
              <w:rPr>
                <w:noProof/>
                <w:webHidden/>
              </w:rPr>
              <w:tab/>
            </w:r>
            <w:r>
              <w:rPr>
                <w:noProof/>
                <w:webHidden/>
              </w:rPr>
              <w:fldChar w:fldCharType="begin"/>
            </w:r>
            <w:r>
              <w:rPr>
                <w:noProof/>
                <w:webHidden/>
              </w:rPr>
              <w:instrText xml:space="preserve"> PAGEREF _Toc216012152 \h </w:instrText>
            </w:r>
            <w:r>
              <w:rPr>
                <w:noProof/>
                <w:webHidden/>
              </w:rPr>
            </w:r>
            <w:r>
              <w:rPr>
                <w:noProof/>
                <w:webHidden/>
              </w:rPr>
              <w:fldChar w:fldCharType="separate"/>
            </w:r>
            <w:r>
              <w:rPr>
                <w:noProof/>
                <w:webHidden/>
              </w:rPr>
              <w:t>6</w:t>
            </w:r>
            <w:r>
              <w:rPr>
                <w:noProof/>
                <w:webHidden/>
              </w:rPr>
              <w:fldChar w:fldCharType="end"/>
            </w:r>
          </w:hyperlink>
        </w:p>
        <w:p w14:paraId="3E7387BF" w14:textId="10E92C04" w:rsidR="00DB68D1" w:rsidRDefault="00DB68D1">
          <w:pPr>
            <w:pStyle w:val="TOC3"/>
            <w:tabs>
              <w:tab w:val="right" w:leader="dot" w:pos="9016"/>
            </w:tabs>
            <w:rPr>
              <w:rFonts w:eastAsiaTheme="minorEastAsia"/>
              <w:noProof/>
              <w:lang w:eastAsia="en-GB"/>
            </w:rPr>
          </w:pPr>
          <w:hyperlink w:anchor="_Toc216012153" w:history="1">
            <w:r w:rsidRPr="004B67E5">
              <w:rPr>
                <w:rStyle w:val="Hyperlink"/>
                <w:noProof/>
              </w:rPr>
              <w:t>Opportunities</w:t>
            </w:r>
            <w:r>
              <w:rPr>
                <w:noProof/>
                <w:webHidden/>
              </w:rPr>
              <w:tab/>
            </w:r>
            <w:r>
              <w:rPr>
                <w:noProof/>
                <w:webHidden/>
              </w:rPr>
              <w:fldChar w:fldCharType="begin"/>
            </w:r>
            <w:r>
              <w:rPr>
                <w:noProof/>
                <w:webHidden/>
              </w:rPr>
              <w:instrText xml:space="preserve"> PAGEREF _Toc216012153 \h </w:instrText>
            </w:r>
            <w:r>
              <w:rPr>
                <w:noProof/>
                <w:webHidden/>
              </w:rPr>
            </w:r>
            <w:r>
              <w:rPr>
                <w:noProof/>
                <w:webHidden/>
              </w:rPr>
              <w:fldChar w:fldCharType="separate"/>
            </w:r>
            <w:r>
              <w:rPr>
                <w:noProof/>
                <w:webHidden/>
              </w:rPr>
              <w:t>6</w:t>
            </w:r>
            <w:r>
              <w:rPr>
                <w:noProof/>
                <w:webHidden/>
              </w:rPr>
              <w:fldChar w:fldCharType="end"/>
            </w:r>
          </w:hyperlink>
        </w:p>
        <w:p w14:paraId="712B9262" w14:textId="2AD68D5F" w:rsidR="00DB68D1" w:rsidRDefault="00DB68D1">
          <w:pPr>
            <w:pStyle w:val="TOC3"/>
            <w:tabs>
              <w:tab w:val="right" w:leader="dot" w:pos="9016"/>
            </w:tabs>
            <w:rPr>
              <w:rFonts w:eastAsiaTheme="minorEastAsia"/>
              <w:noProof/>
              <w:lang w:eastAsia="en-GB"/>
            </w:rPr>
          </w:pPr>
          <w:hyperlink w:anchor="_Toc216012154" w:history="1">
            <w:r w:rsidRPr="004B67E5">
              <w:rPr>
                <w:rStyle w:val="Hyperlink"/>
                <w:noProof/>
              </w:rPr>
              <w:t>Challenges</w:t>
            </w:r>
            <w:r>
              <w:rPr>
                <w:noProof/>
                <w:webHidden/>
              </w:rPr>
              <w:tab/>
            </w:r>
            <w:r>
              <w:rPr>
                <w:noProof/>
                <w:webHidden/>
              </w:rPr>
              <w:fldChar w:fldCharType="begin"/>
            </w:r>
            <w:r>
              <w:rPr>
                <w:noProof/>
                <w:webHidden/>
              </w:rPr>
              <w:instrText xml:space="preserve"> PAGEREF _Toc216012154 \h </w:instrText>
            </w:r>
            <w:r>
              <w:rPr>
                <w:noProof/>
                <w:webHidden/>
              </w:rPr>
            </w:r>
            <w:r>
              <w:rPr>
                <w:noProof/>
                <w:webHidden/>
              </w:rPr>
              <w:fldChar w:fldCharType="separate"/>
            </w:r>
            <w:r>
              <w:rPr>
                <w:noProof/>
                <w:webHidden/>
              </w:rPr>
              <w:t>7</w:t>
            </w:r>
            <w:r>
              <w:rPr>
                <w:noProof/>
                <w:webHidden/>
              </w:rPr>
              <w:fldChar w:fldCharType="end"/>
            </w:r>
          </w:hyperlink>
        </w:p>
        <w:p w14:paraId="2F9BBE4D" w14:textId="353BBBF0" w:rsidR="00DB68D1" w:rsidRDefault="00DB68D1">
          <w:pPr>
            <w:pStyle w:val="TOC1"/>
            <w:rPr>
              <w:rFonts w:eastAsiaTheme="minorEastAsia"/>
              <w:b w:val="0"/>
              <w:bCs w:val="0"/>
              <w:lang w:eastAsia="en-GB"/>
            </w:rPr>
          </w:pPr>
          <w:hyperlink w:anchor="_Toc216012155" w:history="1">
            <w:r w:rsidRPr="004B67E5">
              <w:rPr>
                <w:rStyle w:val="Hyperlink"/>
              </w:rPr>
              <w:t>Impact on Shell’s Strategy and Competitiveness</w:t>
            </w:r>
            <w:r>
              <w:rPr>
                <w:webHidden/>
              </w:rPr>
              <w:tab/>
            </w:r>
            <w:r>
              <w:rPr>
                <w:webHidden/>
              </w:rPr>
              <w:fldChar w:fldCharType="begin"/>
            </w:r>
            <w:r>
              <w:rPr>
                <w:webHidden/>
              </w:rPr>
              <w:instrText xml:space="preserve"> PAGEREF _Toc216012155 \h </w:instrText>
            </w:r>
            <w:r>
              <w:rPr>
                <w:webHidden/>
              </w:rPr>
            </w:r>
            <w:r>
              <w:rPr>
                <w:webHidden/>
              </w:rPr>
              <w:fldChar w:fldCharType="separate"/>
            </w:r>
            <w:r>
              <w:rPr>
                <w:webHidden/>
              </w:rPr>
              <w:t>7</w:t>
            </w:r>
            <w:r>
              <w:rPr>
                <w:webHidden/>
              </w:rPr>
              <w:fldChar w:fldCharType="end"/>
            </w:r>
          </w:hyperlink>
        </w:p>
        <w:p w14:paraId="04E05DD4" w14:textId="21C240E0" w:rsidR="00DB68D1" w:rsidRDefault="00DB68D1">
          <w:pPr>
            <w:pStyle w:val="TOC2"/>
            <w:tabs>
              <w:tab w:val="right" w:leader="dot" w:pos="9016"/>
            </w:tabs>
            <w:rPr>
              <w:rFonts w:eastAsiaTheme="minorEastAsia"/>
              <w:noProof/>
              <w:lang w:eastAsia="en-GB"/>
            </w:rPr>
          </w:pPr>
          <w:hyperlink w:anchor="_Toc216012156" w:history="1">
            <w:r w:rsidRPr="004B67E5">
              <w:rPr>
                <w:rStyle w:val="Hyperlink"/>
                <w:noProof/>
              </w:rPr>
              <w:t>Market Positioning</w:t>
            </w:r>
            <w:r>
              <w:rPr>
                <w:noProof/>
                <w:webHidden/>
              </w:rPr>
              <w:tab/>
            </w:r>
            <w:r>
              <w:rPr>
                <w:noProof/>
                <w:webHidden/>
              </w:rPr>
              <w:fldChar w:fldCharType="begin"/>
            </w:r>
            <w:r>
              <w:rPr>
                <w:noProof/>
                <w:webHidden/>
              </w:rPr>
              <w:instrText xml:space="preserve"> PAGEREF _Toc216012156 \h </w:instrText>
            </w:r>
            <w:r>
              <w:rPr>
                <w:noProof/>
                <w:webHidden/>
              </w:rPr>
            </w:r>
            <w:r>
              <w:rPr>
                <w:noProof/>
                <w:webHidden/>
              </w:rPr>
              <w:fldChar w:fldCharType="separate"/>
            </w:r>
            <w:r>
              <w:rPr>
                <w:noProof/>
                <w:webHidden/>
              </w:rPr>
              <w:t>7</w:t>
            </w:r>
            <w:r>
              <w:rPr>
                <w:noProof/>
                <w:webHidden/>
              </w:rPr>
              <w:fldChar w:fldCharType="end"/>
            </w:r>
          </w:hyperlink>
        </w:p>
        <w:p w14:paraId="2E7C36EE" w14:textId="08507D66" w:rsidR="00DB68D1" w:rsidRDefault="00DB68D1">
          <w:pPr>
            <w:pStyle w:val="TOC2"/>
            <w:tabs>
              <w:tab w:val="right" w:leader="dot" w:pos="9016"/>
            </w:tabs>
            <w:rPr>
              <w:rFonts w:eastAsiaTheme="minorEastAsia"/>
              <w:noProof/>
              <w:lang w:eastAsia="en-GB"/>
            </w:rPr>
          </w:pPr>
          <w:hyperlink w:anchor="_Toc216012157" w:history="1">
            <w:r w:rsidRPr="004B67E5">
              <w:rPr>
                <w:rStyle w:val="Hyperlink"/>
                <w:noProof/>
              </w:rPr>
              <w:t>Innovation</w:t>
            </w:r>
            <w:r>
              <w:rPr>
                <w:noProof/>
                <w:webHidden/>
              </w:rPr>
              <w:tab/>
            </w:r>
            <w:r>
              <w:rPr>
                <w:noProof/>
                <w:webHidden/>
              </w:rPr>
              <w:fldChar w:fldCharType="begin"/>
            </w:r>
            <w:r>
              <w:rPr>
                <w:noProof/>
                <w:webHidden/>
              </w:rPr>
              <w:instrText xml:space="preserve"> PAGEREF _Toc216012157 \h </w:instrText>
            </w:r>
            <w:r>
              <w:rPr>
                <w:noProof/>
                <w:webHidden/>
              </w:rPr>
            </w:r>
            <w:r>
              <w:rPr>
                <w:noProof/>
                <w:webHidden/>
              </w:rPr>
              <w:fldChar w:fldCharType="separate"/>
            </w:r>
            <w:r>
              <w:rPr>
                <w:noProof/>
                <w:webHidden/>
              </w:rPr>
              <w:t>8</w:t>
            </w:r>
            <w:r>
              <w:rPr>
                <w:noProof/>
                <w:webHidden/>
              </w:rPr>
              <w:fldChar w:fldCharType="end"/>
            </w:r>
          </w:hyperlink>
        </w:p>
        <w:p w14:paraId="6E5402AD" w14:textId="5387D48F" w:rsidR="00DB68D1" w:rsidRDefault="00DB68D1">
          <w:pPr>
            <w:pStyle w:val="TOC2"/>
            <w:tabs>
              <w:tab w:val="right" w:leader="dot" w:pos="9016"/>
            </w:tabs>
            <w:rPr>
              <w:rFonts w:eastAsiaTheme="minorEastAsia"/>
              <w:noProof/>
              <w:lang w:eastAsia="en-GB"/>
            </w:rPr>
          </w:pPr>
          <w:hyperlink w:anchor="_Toc216012158" w:history="1">
            <w:r w:rsidRPr="004B67E5">
              <w:rPr>
                <w:rStyle w:val="Hyperlink"/>
                <w:noProof/>
              </w:rPr>
              <w:t>Talent Management</w:t>
            </w:r>
            <w:r>
              <w:rPr>
                <w:noProof/>
                <w:webHidden/>
              </w:rPr>
              <w:tab/>
            </w:r>
            <w:r>
              <w:rPr>
                <w:noProof/>
                <w:webHidden/>
              </w:rPr>
              <w:fldChar w:fldCharType="begin"/>
            </w:r>
            <w:r>
              <w:rPr>
                <w:noProof/>
                <w:webHidden/>
              </w:rPr>
              <w:instrText xml:space="preserve"> PAGEREF _Toc216012158 \h </w:instrText>
            </w:r>
            <w:r>
              <w:rPr>
                <w:noProof/>
                <w:webHidden/>
              </w:rPr>
            </w:r>
            <w:r>
              <w:rPr>
                <w:noProof/>
                <w:webHidden/>
              </w:rPr>
              <w:fldChar w:fldCharType="separate"/>
            </w:r>
            <w:r>
              <w:rPr>
                <w:noProof/>
                <w:webHidden/>
              </w:rPr>
              <w:t>8</w:t>
            </w:r>
            <w:r>
              <w:rPr>
                <w:noProof/>
                <w:webHidden/>
              </w:rPr>
              <w:fldChar w:fldCharType="end"/>
            </w:r>
          </w:hyperlink>
        </w:p>
        <w:p w14:paraId="27F7AC39" w14:textId="16E20F97" w:rsidR="00DB68D1" w:rsidRDefault="00DB68D1">
          <w:pPr>
            <w:pStyle w:val="TOC2"/>
            <w:tabs>
              <w:tab w:val="right" w:leader="dot" w:pos="9016"/>
            </w:tabs>
            <w:rPr>
              <w:rFonts w:eastAsiaTheme="minorEastAsia"/>
              <w:noProof/>
              <w:lang w:eastAsia="en-GB"/>
            </w:rPr>
          </w:pPr>
          <w:hyperlink w:anchor="_Toc216012159" w:history="1">
            <w:r w:rsidRPr="004B67E5">
              <w:rPr>
                <w:rStyle w:val="Hyperlink"/>
                <w:noProof/>
              </w:rPr>
              <w:t>Competitiveness</w:t>
            </w:r>
            <w:r>
              <w:rPr>
                <w:noProof/>
                <w:webHidden/>
              </w:rPr>
              <w:tab/>
            </w:r>
            <w:r>
              <w:rPr>
                <w:noProof/>
                <w:webHidden/>
              </w:rPr>
              <w:fldChar w:fldCharType="begin"/>
            </w:r>
            <w:r>
              <w:rPr>
                <w:noProof/>
                <w:webHidden/>
              </w:rPr>
              <w:instrText xml:space="preserve"> PAGEREF _Toc216012159 \h </w:instrText>
            </w:r>
            <w:r>
              <w:rPr>
                <w:noProof/>
                <w:webHidden/>
              </w:rPr>
            </w:r>
            <w:r>
              <w:rPr>
                <w:noProof/>
                <w:webHidden/>
              </w:rPr>
              <w:fldChar w:fldCharType="separate"/>
            </w:r>
            <w:r>
              <w:rPr>
                <w:noProof/>
                <w:webHidden/>
              </w:rPr>
              <w:t>9</w:t>
            </w:r>
            <w:r>
              <w:rPr>
                <w:noProof/>
                <w:webHidden/>
              </w:rPr>
              <w:fldChar w:fldCharType="end"/>
            </w:r>
          </w:hyperlink>
        </w:p>
        <w:p w14:paraId="6396C678" w14:textId="468430AF" w:rsidR="00DB68D1" w:rsidRDefault="00DB68D1">
          <w:pPr>
            <w:pStyle w:val="TOC1"/>
            <w:rPr>
              <w:rFonts w:eastAsiaTheme="minorEastAsia"/>
              <w:b w:val="0"/>
              <w:bCs w:val="0"/>
              <w:lang w:eastAsia="en-GB"/>
            </w:rPr>
          </w:pPr>
          <w:hyperlink w:anchor="_Toc216012160" w:history="1">
            <w:r w:rsidRPr="004B67E5">
              <w:rPr>
                <w:rStyle w:val="Hyperlink"/>
              </w:rPr>
              <w:t>Strategic Recommendations</w:t>
            </w:r>
            <w:r>
              <w:rPr>
                <w:webHidden/>
              </w:rPr>
              <w:tab/>
            </w:r>
            <w:r>
              <w:rPr>
                <w:webHidden/>
              </w:rPr>
              <w:fldChar w:fldCharType="begin"/>
            </w:r>
            <w:r>
              <w:rPr>
                <w:webHidden/>
              </w:rPr>
              <w:instrText xml:space="preserve"> PAGEREF _Toc216012160 \h </w:instrText>
            </w:r>
            <w:r>
              <w:rPr>
                <w:webHidden/>
              </w:rPr>
            </w:r>
            <w:r>
              <w:rPr>
                <w:webHidden/>
              </w:rPr>
              <w:fldChar w:fldCharType="separate"/>
            </w:r>
            <w:r>
              <w:rPr>
                <w:webHidden/>
              </w:rPr>
              <w:t>9</w:t>
            </w:r>
            <w:r>
              <w:rPr>
                <w:webHidden/>
              </w:rPr>
              <w:fldChar w:fldCharType="end"/>
            </w:r>
          </w:hyperlink>
        </w:p>
        <w:p w14:paraId="2A48D98A" w14:textId="0A9F4814" w:rsidR="00DB68D1" w:rsidRDefault="00DB68D1">
          <w:pPr>
            <w:pStyle w:val="TOC2"/>
            <w:tabs>
              <w:tab w:val="left" w:pos="720"/>
              <w:tab w:val="right" w:leader="dot" w:pos="9016"/>
            </w:tabs>
            <w:rPr>
              <w:rFonts w:eastAsiaTheme="minorEastAsia"/>
              <w:noProof/>
              <w:lang w:eastAsia="en-GB"/>
            </w:rPr>
          </w:pPr>
          <w:hyperlink w:anchor="_Toc216012161" w:history="1">
            <w:r w:rsidRPr="004B67E5">
              <w:rPr>
                <w:rStyle w:val="Hyperlink"/>
                <w:noProof/>
              </w:rPr>
              <w:t>1.</w:t>
            </w:r>
            <w:r>
              <w:rPr>
                <w:rFonts w:eastAsiaTheme="minorEastAsia"/>
                <w:noProof/>
                <w:lang w:eastAsia="en-GB"/>
              </w:rPr>
              <w:tab/>
            </w:r>
            <w:r w:rsidRPr="004B67E5">
              <w:rPr>
                <w:rStyle w:val="Hyperlink"/>
                <w:noProof/>
              </w:rPr>
              <w:t>Accelerate AI Integration Through a Unified Digital Strategy</w:t>
            </w:r>
            <w:r>
              <w:rPr>
                <w:noProof/>
                <w:webHidden/>
              </w:rPr>
              <w:tab/>
            </w:r>
            <w:r>
              <w:rPr>
                <w:noProof/>
                <w:webHidden/>
              </w:rPr>
              <w:fldChar w:fldCharType="begin"/>
            </w:r>
            <w:r>
              <w:rPr>
                <w:noProof/>
                <w:webHidden/>
              </w:rPr>
              <w:instrText xml:space="preserve"> PAGEREF _Toc216012161 \h </w:instrText>
            </w:r>
            <w:r>
              <w:rPr>
                <w:noProof/>
                <w:webHidden/>
              </w:rPr>
            </w:r>
            <w:r>
              <w:rPr>
                <w:noProof/>
                <w:webHidden/>
              </w:rPr>
              <w:fldChar w:fldCharType="separate"/>
            </w:r>
            <w:r>
              <w:rPr>
                <w:noProof/>
                <w:webHidden/>
              </w:rPr>
              <w:t>9</w:t>
            </w:r>
            <w:r>
              <w:rPr>
                <w:noProof/>
                <w:webHidden/>
              </w:rPr>
              <w:fldChar w:fldCharType="end"/>
            </w:r>
          </w:hyperlink>
        </w:p>
        <w:p w14:paraId="47CE44D8" w14:textId="6DDC2189" w:rsidR="00DB68D1" w:rsidRDefault="00DB68D1">
          <w:pPr>
            <w:pStyle w:val="TOC2"/>
            <w:tabs>
              <w:tab w:val="left" w:pos="720"/>
              <w:tab w:val="right" w:leader="dot" w:pos="9016"/>
            </w:tabs>
            <w:rPr>
              <w:rFonts w:eastAsiaTheme="minorEastAsia"/>
              <w:noProof/>
              <w:lang w:eastAsia="en-GB"/>
            </w:rPr>
          </w:pPr>
          <w:hyperlink w:anchor="_Toc216012162" w:history="1">
            <w:r w:rsidRPr="004B67E5">
              <w:rPr>
                <w:rStyle w:val="Hyperlink"/>
                <w:noProof/>
              </w:rPr>
              <w:t>2.</w:t>
            </w:r>
            <w:r>
              <w:rPr>
                <w:rFonts w:eastAsiaTheme="minorEastAsia"/>
                <w:noProof/>
                <w:lang w:eastAsia="en-GB"/>
              </w:rPr>
              <w:tab/>
            </w:r>
            <w:r w:rsidRPr="004B67E5">
              <w:rPr>
                <w:rStyle w:val="Hyperlink"/>
                <w:noProof/>
              </w:rPr>
              <w:t>Enhance Supply Chain Resilience Through Diversification</w:t>
            </w:r>
            <w:r>
              <w:rPr>
                <w:noProof/>
                <w:webHidden/>
              </w:rPr>
              <w:tab/>
            </w:r>
            <w:r>
              <w:rPr>
                <w:noProof/>
                <w:webHidden/>
              </w:rPr>
              <w:fldChar w:fldCharType="begin"/>
            </w:r>
            <w:r>
              <w:rPr>
                <w:noProof/>
                <w:webHidden/>
              </w:rPr>
              <w:instrText xml:space="preserve"> PAGEREF _Toc216012162 \h </w:instrText>
            </w:r>
            <w:r>
              <w:rPr>
                <w:noProof/>
                <w:webHidden/>
              </w:rPr>
            </w:r>
            <w:r>
              <w:rPr>
                <w:noProof/>
                <w:webHidden/>
              </w:rPr>
              <w:fldChar w:fldCharType="separate"/>
            </w:r>
            <w:r>
              <w:rPr>
                <w:noProof/>
                <w:webHidden/>
              </w:rPr>
              <w:t>9</w:t>
            </w:r>
            <w:r>
              <w:rPr>
                <w:noProof/>
                <w:webHidden/>
              </w:rPr>
              <w:fldChar w:fldCharType="end"/>
            </w:r>
          </w:hyperlink>
        </w:p>
        <w:p w14:paraId="4F33F7C5" w14:textId="5255BBF7" w:rsidR="00DB68D1" w:rsidRDefault="00DB68D1">
          <w:pPr>
            <w:pStyle w:val="TOC2"/>
            <w:tabs>
              <w:tab w:val="left" w:pos="720"/>
              <w:tab w:val="right" w:leader="dot" w:pos="9016"/>
            </w:tabs>
            <w:rPr>
              <w:rFonts w:eastAsiaTheme="minorEastAsia"/>
              <w:noProof/>
              <w:lang w:eastAsia="en-GB"/>
            </w:rPr>
          </w:pPr>
          <w:hyperlink w:anchor="_Toc216012163" w:history="1">
            <w:r w:rsidRPr="004B67E5">
              <w:rPr>
                <w:rStyle w:val="Hyperlink"/>
                <w:noProof/>
              </w:rPr>
              <w:t>3.</w:t>
            </w:r>
            <w:r>
              <w:rPr>
                <w:rFonts w:eastAsiaTheme="minorEastAsia"/>
                <w:noProof/>
                <w:lang w:eastAsia="en-GB"/>
              </w:rPr>
              <w:tab/>
            </w:r>
            <w:r w:rsidRPr="004B67E5">
              <w:rPr>
                <w:rStyle w:val="Hyperlink"/>
                <w:noProof/>
              </w:rPr>
              <w:t>Embed CSRD Requirements Into Core Business Operations</w:t>
            </w:r>
            <w:r>
              <w:rPr>
                <w:noProof/>
                <w:webHidden/>
              </w:rPr>
              <w:tab/>
            </w:r>
            <w:r>
              <w:rPr>
                <w:noProof/>
                <w:webHidden/>
              </w:rPr>
              <w:fldChar w:fldCharType="begin"/>
            </w:r>
            <w:r>
              <w:rPr>
                <w:noProof/>
                <w:webHidden/>
              </w:rPr>
              <w:instrText xml:space="preserve"> PAGEREF _Toc216012163 \h </w:instrText>
            </w:r>
            <w:r>
              <w:rPr>
                <w:noProof/>
                <w:webHidden/>
              </w:rPr>
            </w:r>
            <w:r>
              <w:rPr>
                <w:noProof/>
                <w:webHidden/>
              </w:rPr>
              <w:fldChar w:fldCharType="separate"/>
            </w:r>
            <w:r>
              <w:rPr>
                <w:noProof/>
                <w:webHidden/>
              </w:rPr>
              <w:t>9</w:t>
            </w:r>
            <w:r>
              <w:rPr>
                <w:noProof/>
                <w:webHidden/>
              </w:rPr>
              <w:fldChar w:fldCharType="end"/>
            </w:r>
          </w:hyperlink>
        </w:p>
        <w:p w14:paraId="17B53096" w14:textId="5B834B25" w:rsidR="00DB68D1" w:rsidRDefault="00DB68D1">
          <w:pPr>
            <w:pStyle w:val="TOC2"/>
            <w:tabs>
              <w:tab w:val="left" w:pos="720"/>
              <w:tab w:val="right" w:leader="dot" w:pos="9016"/>
            </w:tabs>
            <w:rPr>
              <w:rFonts w:eastAsiaTheme="minorEastAsia"/>
              <w:noProof/>
              <w:lang w:eastAsia="en-GB"/>
            </w:rPr>
          </w:pPr>
          <w:hyperlink w:anchor="_Toc216012164" w:history="1">
            <w:r w:rsidRPr="004B67E5">
              <w:rPr>
                <w:rStyle w:val="Hyperlink"/>
                <w:noProof/>
              </w:rPr>
              <w:t>4.</w:t>
            </w:r>
            <w:r>
              <w:rPr>
                <w:rFonts w:eastAsiaTheme="minorEastAsia"/>
                <w:noProof/>
                <w:lang w:eastAsia="en-GB"/>
              </w:rPr>
              <w:tab/>
            </w:r>
            <w:r w:rsidRPr="004B67E5">
              <w:rPr>
                <w:rStyle w:val="Hyperlink"/>
                <w:noProof/>
              </w:rPr>
              <w:t>Strengthen Workforce Transformation and Digital Skills Development</w:t>
            </w:r>
            <w:r>
              <w:rPr>
                <w:noProof/>
                <w:webHidden/>
              </w:rPr>
              <w:tab/>
            </w:r>
            <w:r>
              <w:rPr>
                <w:noProof/>
                <w:webHidden/>
              </w:rPr>
              <w:fldChar w:fldCharType="begin"/>
            </w:r>
            <w:r>
              <w:rPr>
                <w:noProof/>
                <w:webHidden/>
              </w:rPr>
              <w:instrText xml:space="preserve"> PAGEREF _Toc216012164 \h </w:instrText>
            </w:r>
            <w:r>
              <w:rPr>
                <w:noProof/>
                <w:webHidden/>
              </w:rPr>
            </w:r>
            <w:r>
              <w:rPr>
                <w:noProof/>
                <w:webHidden/>
              </w:rPr>
              <w:fldChar w:fldCharType="separate"/>
            </w:r>
            <w:r>
              <w:rPr>
                <w:noProof/>
                <w:webHidden/>
              </w:rPr>
              <w:t>9</w:t>
            </w:r>
            <w:r>
              <w:rPr>
                <w:noProof/>
                <w:webHidden/>
              </w:rPr>
              <w:fldChar w:fldCharType="end"/>
            </w:r>
          </w:hyperlink>
        </w:p>
        <w:p w14:paraId="1D15B32D" w14:textId="6BCB7236" w:rsidR="00DB68D1" w:rsidRDefault="00DB68D1">
          <w:pPr>
            <w:pStyle w:val="TOC2"/>
            <w:tabs>
              <w:tab w:val="left" w:pos="720"/>
              <w:tab w:val="right" w:leader="dot" w:pos="9016"/>
            </w:tabs>
            <w:rPr>
              <w:rFonts w:eastAsiaTheme="minorEastAsia"/>
              <w:noProof/>
              <w:lang w:eastAsia="en-GB"/>
            </w:rPr>
          </w:pPr>
          <w:hyperlink w:anchor="_Toc216012165" w:history="1">
            <w:r w:rsidRPr="004B67E5">
              <w:rPr>
                <w:rStyle w:val="Hyperlink"/>
                <w:noProof/>
              </w:rPr>
              <w:t>5.</w:t>
            </w:r>
            <w:r>
              <w:rPr>
                <w:rFonts w:eastAsiaTheme="minorEastAsia"/>
                <w:noProof/>
                <w:lang w:eastAsia="en-GB"/>
              </w:rPr>
              <w:tab/>
            </w:r>
            <w:r w:rsidRPr="004B67E5">
              <w:rPr>
                <w:rStyle w:val="Hyperlink"/>
                <w:noProof/>
              </w:rPr>
              <w:t>Expand Low-Carbon Investments</w:t>
            </w:r>
            <w:r>
              <w:rPr>
                <w:noProof/>
                <w:webHidden/>
              </w:rPr>
              <w:tab/>
            </w:r>
            <w:r>
              <w:rPr>
                <w:noProof/>
                <w:webHidden/>
              </w:rPr>
              <w:fldChar w:fldCharType="begin"/>
            </w:r>
            <w:r>
              <w:rPr>
                <w:noProof/>
                <w:webHidden/>
              </w:rPr>
              <w:instrText xml:space="preserve"> PAGEREF _Toc216012165 \h </w:instrText>
            </w:r>
            <w:r>
              <w:rPr>
                <w:noProof/>
                <w:webHidden/>
              </w:rPr>
            </w:r>
            <w:r>
              <w:rPr>
                <w:noProof/>
                <w:webHidden/>
              </w:rPr>
              <w:fldChar w:fldCharType="separate"/>
            </w:r>
            <w:r>
              <w:rPr>
                <w:noProof/>
                <w:webHidden/>
              </w:rPr>
              <w:t>9</w:t>
            </w:r>
            <w:r>
              <w:rPr>
                <w:noProof/>
                <w:webHidden/>
              </w:rPr>
              <w:fldChar w:fldCharType="end"/>
            </w:r>
          </w:hyperlink>
        </w:p>
        <w:p w14:paraId="6487802A" w14:textId="73A26F96" w:rsidR="00DB68D1" w:rsidRDefault="00DB68D1">
          <w:pPr>
            <w:pStyle w:val="TOC1"/>
            <w:rPr>
              <w:rFonts w:eastAsiaTheme="minorEastAsia"/>
              <w:b w:val="0"/>
              <w:bCs w:val="0"/>
              <w:lang w:eastAsia="en-GB"/>
            </w:rPr>
          </w:pPr>
          <w:hyperlink w:anchor="_Toc216012166" w:history="1">
            <w:r w:rsidRPr="004B67E5">
              <w:rPr>
                <w:rStyle w:val="Hyperlink"/>
              </w:rPr>
              <w:t>Conclusion</w:t>
            </w:r>
            <w:r>
              <w:rPr>
                <w:webHidden/>
              </w:rPr>
              <w:tab/>
            </w:r>
            <w:r>
              <w:rPr>
                <w:webHidden/>
              </w:rPr>
              <w:fldChar w:fldCharType="begin"/>
            </w:r>
            <w:r>
              <w:rPr>
                <w:webHidden/>
              </w:rPr>
              <w:instrText xml:space="preserve"> PAGEREF _Toc216012166 \h </w:instrText>
            </w:r>
            <w:r>
              <w:rPr>
                <w:webHidden/>
              </w:rPr>
            </w:r>
            <w:r>
              <w:rPr>
                <w:webHidden/>
              </w:rPr>
              <w:fldChar w:fldCharType="separate"/>
            </w:r>
            <w:r>
              <w:rPr>
                <w:webHidden/>
              </w:rPr>
              <w:t>10</w:t>
            </w:r>
            <w:r>
              <w:rPr>
                <w:webHidden/>
              </w:rPr>
              <w:fldChar w:fldCharType="end"/>
            </w:r>
          </w:hyperlink>
        </w:p>
        <w:p w14:paraId="3D4CBBA7" w14:textId="428078F7" w:rsidR="00DB68D1" w:rsidRDefault="00DB68D1">
          <w:pPr>
            <w:pStyle w:val="TOC1"/>
            <w:rPr>
              <w:rFonts w:eastAsiaTheme="minorEastAsia"/>
              <w:b w:val="0"/>
              <w:bCs w:val="0"/>
              <w:lang w:eastAsia="en-GB"/>
            </w:rPr>
          </w:pPr>
          <w:hyperlink w:anchor="_Toc216012167" w:history="1">
            <w:r w:rsidRPr="004B67E5">
              <w:rPr>
                <w:rStyle w:val="Hyperlink"/>
              </w:rPr>
              <w:t>Reference</w:t>
            </w:r>
            <w:r>
              <w:rPr>
                <w:webHidden/>
              </w:rPr>
              <w:tab/>
            </w:r>
            <w:r>
              <w:rPr>
                <w:webHidden/>
              </w:rPr>
              <w:fldChar w:fldCharType="begin"/>
            </w:r>
            <w:r>
              <w:rPr>
                <w:webHidden/>
              </w:rPr>
              <w:instrText xml:space="preserve"> PAGEREF _Toc216012167 \h </w:instrText>
            </w:r>
            <w:r>
              <w:rPr>
                <w:webHidden/>
              </w:rPr>
            </w:r>
            <w:r>
              <w:rPr>
                <w:webHidden/>
              </w:rPr>
              <w:fldChar w:fldCharType="separate"/>
            </w:r>
            <w:r>
              <w:rPr>
                <w:webHidden/>
              </w:rPr>
              <w:t>10</w:t>
            </w:r>
            <w:r>
              <w:rPr>
                <w:webHidden/>
              </w:rPr>
              <w:fldChar w:fldCharType="end"/>
            </w:r>
          </w:hyperlink>
        </w:p>
        <w:p w14:paraId="24C28D79" w14:textId="55AD60D0" w:rsidR="00DB68D1" w:rsidRDefault="00DB68D1">
          <w:r>
            <w:rPr>
              <w:b/>
              <w:bCs/>
              <w:noProof/>
            </w:rPr>
            <w:fldChar w:fldCharType="end"/>
          </w:r>
        </w:p>
      </w:sdtContent>
    </w:sdt>
    <w:p w14:paraId="37B05B27" w14:textId="77777777" w:rsidR="00022A6E" w:rsidRDefault="00022A6E" w:rsidP="00F66D6C">
      <w:pPr>
        <w:spacing w:line="360" w:lineRule="auto"/>
        <w:jc w:val="both"/>
        <w:rPr>
          <w:b/>
          <w:bCs/>
          <w:sz w:val="32"/>
          <w:szCs w:val="32"/>
        </w:rPr>
      </w:pPr>
    </w:p>
    <w:p w14:paraId="052FE657" w14:textId="77777777" w:rsidR="00022A6E" w:rsidRDefault="00022A6E" w:rsidP="00F66D6C">
      <w:pPr>
        <w:spacing w:line="360" w:lineRule="auto"/>
        <w:jc w:val="both"/>
        <w:rPr>
          <w:b/>
          <w:bCs/>
          <w:sz w:val="32"/>
          <w:szCs w:val="32"/>
        </w:rPr>
      </w:pPr>
    </w:p>
    <w:p w14:paraId="35565360" w14:textId="77777777" w:rsidR="00F87339" w:rsidRPr="00F87339" w:rsidRDefault="00F87339" w:rsidP="00F66D6C">
      <w:pPr>
        <w:pStyle w:val="Heading1"/>
        <w:spacing w:line="360" w:lineRule="auto"/>
        <w:jc w:val="both"/>
      </w:pPr>
      <w:bookmarkStart w:id="0" w:name="_Toc216011807"/>
      <w:bookmarkStart w:id="1" w:name="_Toc216012144"/>
      <w:r w:rsidRPr="00F87339">
        <w:lastRenderedPageBreak/>
        <w:t>Introduction</w:t>
      </w:r>
      <w:bookmarkEnd w:id="0"/>
      <w:bookmarkEnd w:id="1"/>
    </w:p>
    <w:p w14:paraId="4BC96536" w14:textId="77777777" w:rsidR="00F87339" w:rsidRPr="00F87339" w:rsidRDefault="00F87339" w:rsidP="00F66D6C">
      <w:pPr>
        <w:spacing w:line="360" w:lineRule="auto"/>
        <w:jc w:val="both"/>
      </w:pPr>
      <w:r w:rsidRPr="00F87339">
        <w:t>Globalisation describes the deepening integration of national economies, financial systems, and societies, allowing goods, services, capital, technology, and information to flow more freely across national borders. While this integration has stimulated economic growth and created vast opportunities for international business, it has also increased exposure to global risks. In today’s environment, digital transformation, geopolitical instability, and rising environmental expectations are reshaping how multinational enterprises (MNEs) operate and compete. Organisations must now balance innovation and expansion with resilience and regulatory compliance.</w:t>
      </w:r>
    </w:p>
    <w:p w14:paraId="083CB292" w14:textId="77777777" w:rsidR="00F87339" w:rsidRPr="00F87339" w:rsidRDefault="00F87339" w:rsidP="00F66D6C">
      <w:pPr>
        <w:spacing w:line="360" w:lineRule="auto"/>
        <w:jc w:val="both"/>
      </w:pPr>
      <w:r w:rsidRPr="00F87339">
        <w:t>Royal Dutch Shell, one of the world’s largest UK-headquartered energy companies, provides a powerful example of how these global forces influence strategic direction. Operating in over 70 countries, Shell has a diverse portfolio that includes oil, gas, chemicals, and an expanding range of renewable energy investments. As the energy industry undergoes fundamental transformation driven by climate goals, digital technologies, and political uncertainty, Shell sits at the centre of debates about sustainability, innovation, and the future of global energy systems.</w:t>
      </w:r>
    </w:p>
    <w:p w14:paraId="1B9B3860" w14:textId="77777777" w:rsidR="00F87339" w:rsidRPr="00F87339" w:rsidRDefault="00F87339" w:rsidP="00F66D6C">
      <w:pPr>
        <w:spacing w:line="360" w:lineRule="auto"/>
        <w:jc w:val="both"/>
      </w:pPr>
      <w:r w:rsidRPr="00F87339">
        <w:t>This essay critically evaluates the opportunities and challenges created by three major global forces affecting Shell: the rapid adoption of artificial intelligence (AI), geopolitical disruption to global supply chains, and sustainability regulations, particularly the European Union’s Corporate Sustainability Reporting Directive (CSRD). The discussion explores how these forces shape Shell’s international competitiveness, strategic positioning, and long-term performance, before presenting strategic recommendations to strengthen the company’s global operations.</w:t>
      </w:r>
    </w:p>
    <w:p w14:paraId="2CCE6A3B" w14:textId="57D896D1" w:rsidR="00F87339" w:rsidRPr="00F87339" w:rsidRDefault="00F87339" w:rsidP="00F66D6C">
      <w:pPr>
        <w:spacing w:line="360" w:lineRule="auto"/>
        <w:jc w:val="both"/>
      </w:pPr>
    </w:p>
    <w:p w14:paraId="39084FD0" w14:textId="77777777" w:rsidR="00D90C30" w:rsidRDefault="00D90C30" w:rsidP="00F66D6C">
      <w:pPr>
        <w:spacing w:line="360" w:lineRule="auto"/>
        <w:jc w:val="both"/>
        <w:rPr>
          <w:b/>
          <w:bCs/>
        </w:rPr>
      </w:pPr>
    </w:p>
    <w:p w14:paraId="5A753E56" w14:textId="77777777" w:rsidR="00D90C30" w:rsidRDefault="00D90C30" w:rsidP="00F66D6C">
      <w:pPr>
        <w:spacing w:line="360" w:lineRule="auto"/>
        <w:jc w:val="both"/>
        <w:rPr>
          <w:b/>
          <w:bCs/>
        </w:rPr>
      </w:pPr>
    </w:p>
    <w:p w14:paraId="1BDE1338" w14:textId="77777777" w:rsidR="00D90C30" w:rsidRDefault="00D90C30" w:rsidP="00F66D6C">
      <w:pPr>
        <w:spacing w:line="360" w:lineRule="auto"/>
        <w:jc w:val="both"/>
        <w:rPr>
          <w:b/>
          <w:bCs/>
        </w:rPr>
      </w:pPr>
    </w:p>
    <w:p w14:paraId="160B0B4F" w14:textId="77777777" w:rsidR="00D90C30" w:rsidRDefault="00D90C30" w:rsidP="00F66D6C">
      <w:pPr>
        <w:spacing w:line="360" w:lineRule="auto"/>
        <w:jc w:val="both"/>
        <w:rPr>
          <w:b/>
          <w:bCs/>
        </w:rPr>
      </w:pPr>
    </w:p>
    <w:p w14:paraId="05CE2B7C" w14:textId="31940185" w:rsidR="00F87339" w:rsidRPr="00F87339" w:rsidRDefault="00F87339" w:rsidP="00F66D6C">
      <w:pPr>
        <w:pStyle w:val="Heading1"/>
        <w:spacing w:line="360" w:lineRule="auto"/>
        <w:jc w:val="both"/>
      </w:pPr>
      <w:bookmarkStart w:id="2" w:name="_Toc216011808"/>
      <w:bookmarkStart w:id="3" w:name="_Toc216012145"/>
      <w:r w:rsidRPr="00F87339">
        <w:lastRenderedPageBreak/>
        <w:t>Opportunities and Challenges Created by Global Forces</w:t>
      </w:r>
      <w:bookmarkEnd w:id="2"/>
      <w:bookmarkEnd w:id="3"/>
    </w:p>
    <w:p w14:paraId="5166E38D" w14:textId="77777777" w:rsidR="00F87339" w:rsidRPr="00F87339" w:rsidRDefault="00F87339" w:rsidP="00F66D6C">
      <w:pPr>
        <w:pStyle w:val="Heading2"/>
        <w:spacing w:line="360" w:lineRule="auto"/>
        <w:jc w:val="both"/>
      </w:pPr>
      <w:bookmarkStart w:id="4" w:name="_Toc216011809"/>
      <w:bookmarkStart w:id="5" w:name="_Toc216012146"/>
      <w:r w:rsidRPr="00F87339">
        <w:t>1. Artificial Intelligence (AI) Adoption</w:t>
      </w:r>
      <w:bookmarkEnd w:id="4"/>
      <w:bookmarkEnd w:id="5"/>
    </w:p>
    <w:p w14:paraId="73347834" w14:textId="77777777" w:rsidR="00F87339" w:rsidRPr="00F87339" w:rsidRDefault="00F87339" w:rsidP="00F66D6C">
      <w:pPr>
        <w:pStyle w:val="Heading3"/>
        <w:spacing w:line="360" w:lineRule="auto"/>
        <w:jc w:val="both"/>
      </w:pPr>
      <w:bookmarkStart w:id="6" w:name="_Toc216011810"/>
      <w:bookmarkStart w:id="7" w:name="_Toc216012147"/>
      <w:r w:rsidRPr="00F87339">
        <w:t>Opportunities</w:t>
      </w:r>
      <w:bookmarkEnd w:id="6"/>
      <w:bookmarkEnd w:id="7"/>
    </w:p>
    <w:p w14:paraId="3EF456E1" w14:textId="77777777" w:rsidR="00F87339" w:rsidRPr="00F87339" w:rsidRDefault="00F87339" w:rsidP="00F66D6C">
      <w:pPr>
        <w:spacing w:line="360" w:lineRule="auto"/>
        <w:jc w:val="both"/>
      </w:pPr>
      <w:r w:rsidRPr="00F87339">
        <w:t>Artificial intelligence offers Shell considerable potential to enhance efficiency, safety, and decision-making across its global operations. In upstream activities, AI systems are already used for predictive maintenance, enabling Shell to monitor machinery performance in real time and detect faults before they lead to breakdowns. This reduces downtime, lowers maintenance costs, and improves operational reliability. The same technology can be expanded to optimise drilling processes, enhance reservoir modelling, and improve safety surveillance in high-risk environments.</w:t>
      </w:r>
    </w:p>
    <w:p w14:paraId="3EB5D679" w14:textId="77777777" w:rsidR="00F87339" w:rsidRPr="00F87339" w:rsidRDefault="00F87339" w:rsidP="00F66D6C">
      <w:pPr>
        <w:spacing w:line="360" w:lineRule="auto"/>
        <w:jc w:val="both"/>
      </w:pPr>
      <w:r w:rsidRPr="00F87339">
        <w:t>AI also strongly supports Shell’s transition towards low-carbon energy. Machine-learning tools can forecast renewable energy output more accurately, supporting the efficient management of wind and solar power assets. In electric mobility, AI-driven optimisation enables Shell to improve the performance of its EV charging networks, such as Shell Recharge, enhancing customer experience and maximising asset utilisation in a rapidly expanding market.</w:t>
      </w:r>
    </w:p>
    <w:p w14:paraId="60F1A68A" w14:textId="77777777" w:rsidR="00F87339" w:rsidRPr="00F87339" w:rsidRDefault="00F87339" w:rsidP="00F66D6C">
      <w:pPr>
        <w:spacing w:line="360" w:lineRule="auto"/>
        <w:jc w:val="both"/>
      </w:pPr>
      <w:r w:rsidRPr="00F87339">
        <w:t>Within downstream operations, advanced analytics provide valuable insights into customer behaviour, enabling more personalised marketing strategies, optimised fuel distribution, and efficient retail inventory management. Collectively, these AI-driven applications strengthen Shell’s digital transformation agenda, reduce operational costs, and support strategic growth in both traditional and clean energy markets.</w:t>
      </w:r>
    </w:p>
    <w:p w14:paraId="216CC603" w14:textId="77777777" w:rsidR="00D90C30" w:rsidRDefault="00D90C30" w:rsidP="00F66D6C">
      <w:pPr>
        <w:spacing w:line="360" w:lineRule="auto"/>
        <w:jc w:val="both"/>
        <w:rPr>
          <w:b/>
          <w:bCs/>
        </w:rPr>
      </w:pPr>
    </w:p>
    <w:p w14:paraId="2B0B7A5D" w14:textId="77777777" w:rsidR="00D90C30" w:rsidRDefault="00D90C30" w:rsidP="00F66D6C">
      <w:pPr>
        <w:spacing w:line="360" w:lineRule="auto"/>
        <w:jc w:val="both"/>
        <w:rPr>
          <w:b/>
          <w:bCs/>
        </w:rPr>
      </w:pPr>
    </w:p>
    <w:p w14:paraId="37382CE7" w14:textId="77777777" w:rsidR="00D90C30" w:rsidRDefault="00D90C30" w:rsidP="00F66D6C">
      <w:pPr>
        <w:spacing w:line="360" w:lineRule="auto"/>
        <w:jc w:val="both"/>
        <w:rPr>
          <w:b/>
          <w:bCs/>
        </w:rPr>
      </w:pPr>
    </w:p>
    <w:p w14:paraId="318EDA05" w14:textId="7D5E784A" w:rsidR="00F87339" w:rsidRPr="00F87339" w:rsidRDefault="00F87339" w:rsidP="00F66D6C">
      <w:pPr>
        <w:pStyle w:val="Heading3"/>
        <w:spacing w:line="360" w:lineRule="auto"/>
        <w:jc w:val="both"/>
      </w:pPr>
      <w:bookmarkStart w:id="8" w:name="_Toc216011811"/>
      <w:bookmarkStart w:id="9" w:name="_Toc216012148"/>
      <w:r w:rsidRPr="00F87339">
        <w:t>Challenges</w:t>
      </w:r>
      <w:bookmarkEnd w:id="8"/>
      <w:bookmarkEnd w:id="9"/>
    </w:p>
    <w:p w14:paraId="504EBC25" w14:textId="77777777" w:rsidR="00F87339" w:rsidRPr="00F87339" w:rsidRDefault="00F87339" w:rsidP="00F66D6C">
      <w:pPr>
        <w:spacing w:line="360" w:lineRule="auto"/>
        <w:jc w:val="both"/>
      </w:pPr>
      <w:r w:rsidRPr="00F87339">
        <w:t xml:space="preserve">Despite its strategic advantages, AI adoption also presents significant challenges. Implementing advanced AI technologies across Shell’s global operations demands </w:t>
      </w:r>
      <w:r w:rsidRPr="00F87339">
        <w:lastRenderedPageBreak/>
        <w:t>substantial investment in digital infrastructure, high-quality data management systems, and specialised skills. Differences in digital maturity across regions and business units risk creating internal capability gaps.</w:t>
      </w:r>
    </w:p>
    <w:p w14:paraId="7794B878" w14:textId="77777777" w:rsidR="00F87339" w:rsidRPr="00F87339" w:rsidRDefault="00F87339" w:rsidP="00F66D6C">
      <w:pPr>
        <w:spacing w:line="360" w:lineRule="auto"/>
        <w:jc w:val="both"/>
      </w:pPr>
      <w:r w:rsidRPr="00F87339">
        <w:t>Cybersecurity is another major concern. As digital integration increases, Shell becomes more exposed to cyber threats, including data breaches, system disruption, and industrial espionage. Protecting critical energy infrastructure from sophisticated cyberattacks requires continuous investment and advanced security expertise.</w:t>
      </w:r>
    </w:p>
    <w:p w14:paraId="1F75DC6A" w14:textId="77777777" w:rsidR="00F87339" w:rsidRPr="00F87339" w:rsidRDefault="00F87339" w:rsidP="00F66D6C">
      <w:pPr>
        <w:spacing w:line="360" w:lineRule="auto"/>
        <w:jc w:val="both"/>
      </w:pPr>
      <w:r w:rsidRPr="00F87339">
        <w:t>AI adoption also raises ethical and workforce issues. Increased automation reduces the demand for certain operational roles, contributing to workforce restructuring. Shell must carefully manage employee transitions through re-skilling and redeployment strategies, while also addressing employee relations and potential resistance from trade unions.</w:t>
      </w:r>
    </w:p>
    <w:p w14:paraId="07959C10" w14:textId="7B8C7E5C" w:rsidR="00F87339" w:rsidRPr="00F87339" w:rsidRDefault="00F87339" w:rsidP="00F66D6C">
      <w:pPr>
        <w:spacing w:line="360" w:lineRule="auto"/>
        <w:jc w:val="both"/>
      </w:pPr>
    </w:p>
    <w:p w14:paraId="1190C537" w14:textId="77777777" w:rsidR="00F87339" w:rsidRPr="00F87339" w:rsidRDefault="00F87339" w:rsidP="00F66D6C">
      <w:pPr>
        <w:pStyle w:val="Heading2"/>
        <w:spacing w:line="360" w:lineRule="auto"/>
        <w:jc w:val="both"/>
      </w:pPr>
      <w:bookmarkStart w:id="10" w:name="_Toc216011812"/>
      <w:bookmarkStart w:id="11" w:name="_Toc216012149"/>
      <w:r w:rsidRPr="00F87339">
        <w:t>2. Geopolitical Supply Chain Disruptions</w:t>
      </w:r>
      <w:bookmarkEnd w:id="10"/>
      <w:bookmarkEnd w:id="11"/>
    </w:p>
    <w:p w14:paraId="79EA99AE" w14:textId="77777777" w:rsidR="00F87339" w:rsidRPr="00F87339" w:rsidRDefault="00F87339" w:rsidP="00F66D6C">
      <w:pPr>
        <w:pStyle w:val="Heading3"/>
        <w:spacing w:line="360" w:lineRule="auto"/>
        <w:jc w:val="both"/>
      </w:pPr>
      <w:bookmarkStart w:id="12" w:name="_Toc216011813"/>
      <w:bookmarkStart w:id="13" w:name="_Toc216012150"/>
      <w:r w:rsidRPr="00F87339">
        <w:t>Opportunities</w:t>
      </w:r>
      <w:bookmarkEnd w:id="12"/>
      <w:bookmarkEnd w:id="13"/>
    </w:p>
    <w:p w14:paraId="3816AC16" w14:textId="77777777" w:rsidR="00F87339" w:rsidRPr="00F87339" w:rsidRDefault="00F87339" w:rsidP="00F66D6C">
      <w:pPr>
        <w:spacing w:line="360" w:lineRule="auto"/>
        <w:jc w:val="both"/>
      </w:pPr>
      <w:r w:rsidRPr="00F87339">
        <w:t>Recent geopolitical tensions, such as disruptions to Red Sea shipping routes and escalating China–Taiwan relations, have exposed the fragility of global supply chains. However, for Shell, these disruptions can also create commercial opportunities. Market volatility increases price fluctuations, and Shell’s extensive global trading and logistics network allows it to respond quickly by rerouting shipments, reallocating LNG cargoes, and adjusting refinery output to exploit changing supply–demand dynamics.</w:t>
      </w:r>
    </w:p>
    <w:p w14:paraId="6CF0C186" w14:textId="77777777" w:rsidR="00D90C30" w:rsidRDefault="00F87339" w:rsidP="00F66D6C">
      <w:pPr>
        <w:spacing w:line="360" w:lineRule="auto"/>
        <w:jc w:val="both"/>
      </w:pPr>
      <w:r w:rsidRPr="00F87339">
        <w:t>Geopolitical instability also encourages strategic diversification. Shell has increased investment in LNG supply chains in regions perceived as more stable, including the United States and Qatar. Expanding a geographically diversified asset base reduces reliance on politically vulnerable regions and strengthens long-term operational resilience.</w:t>
      </w:r>
    </w:p>
    <w:p w14:paraId="6E854EBE" w14:textId="3E92A64E" w:rsidR="00F87339" w:rsidRPr="00F87339" w:rsidRDefault="00F87339" w:rsidP="00F66D6C">
      <w:pPr>
        <w:pStyle w:val="Heading3"/>
        <w:spacing w:line="360" w:lineRule="auto"/>
        <w:jc w:val="both"/>
      </w:pPr>
      <w:bookmarkStart w:id="14" w:name="_Toc216011814"/>
      <w:bookmarkStart w:id="15" w:name="_Toc216012151"/>
      <w:r w:rsidRPr="00F87339">
        <w:t>Challenges</w:t>
      </w:r>
      <w:bookmarkEnd w:id="14"/>
      <w:bookmarkEnd w:id="15"/>
    </w:p>
    <w:p w14:paraId="0B2AAF9C" w14:textId="77777777" w:rsidR="00F87339" w:rsidRPr="00F87339" w:rsidRDefault="00F87339" w:rsidP="00F66D6C">
      <w:pPr>
        <w:spacing w:line="360" w:lineRule="auto"/>
        <w:jc w:val="both"/>
      </w:pPr>
      <w:r w:rsidRPr="00F87339">
        <w:t xml:space="preserve">Nevertheless, geopolitical instability poses serious risks to Shell’s operations. Disruptions in strategic shipping corridors, such as the Red Sea, increase transportation </w:t>
      </w:r>
      <w:r w:rsidRPr="00F87339">
        <w:lastRenderedPageBreak/>
        <w:t>costs, extend delivery times, and reduce tanker availability. These challenges affect both upstream production and downstream distribution, increasing cost pressures and operational uncertainty.</w:t>
      </w:r>
    </w:p>
    <w:p w14:paraId="7F9FAC64" w14:textId="77777777" w:rsidR="00F87339" w:rsidRPr="00F87339" w:rsidRDefault="00F87339" w:rsidP="00F66D6C">
      <w:pPr>
        <w:spacing w:line="360" w:lineRule="auto"/>
        <w:jc w:val="both"/>
      </w:pPr>
      <w:r w:rsidRPr="00F87339">
        <w:t>Rising tensions between China and Taiwan also threaten global semiconductor supply chains. Since Shell’s digital and automation systems rely heavily on advanced electronic components, any disruption could delay AI deployment, disrupt refinery automation, and negatively affect project timelines.</w:t>
      </w:r>
    </w:p>
    <w:p w14:paraId="2BA5656D" w14:textId="77777777" w:rsidR="00F87339" w:rsidRPr="00F87339" w:rsidRDefault="00F87339" w:rsidP="00F66D6C">
      <w:pPr>
        <w:spacing w:line="360" w:lineRule="auto"/>
        <w:jc w:val="both"/>
      </w:pPr>
      <w:r w:rsidRPr="00F87339">
        <w:t>Political risks also include sanctions, trade restrictions, and regulatory unpredictability. Shell’s withdrawal from Russia in 2022 demonstrates how quickly geopolitical developments can force costly divestments and restructuring decisions. Similar future events could lead to asset devaluations, supply interruptions, and sudden changes in strategic direction.</w:t>
      </w:r>
    </w:p>
    <w:p w14:paraId="0330CC0F" w14:textId="79382FBE" w:rsidR="00F87339" w:rsidRPr="00F87339" w:rsidRDefault="00F87339" w:rsidP="00F66D6C">
      <w:pPr>
        <w:spacing w:line="360" w:lineRule="auto"/>
        <w:jc w:val="both"/>
      </w:pPr>
    </w:p>
    <w:p w14:paraId="02111D8A" w14:textId="77777777" w:rsidR="00F87339" w:rsidRPr="00F87339" w:rsidRDefault="00F87339" w:rsidP="00F66D6C">
      <w:pPr>
        <w:pStyle w:val="Heading2"/>
        <w:spacing w:line="360" w:lineRule="auto"/>
        <w:jc w:val="both"/>
      </w:pPr>
      <w:bookmarkStart w:id="16" w:name="_Toc216011815"/>
      <w:bookmarkStart w:id="17" w:name="_Toc216012152"/>
      <w:r w:rsidRPr="00F87339">
        <w:t>3. Sustainability Regulations: The EU CSRD</w:t>
      </w:r>
      <w:bookmarkEnd w:id="16"/>
      <w:bookmarkEnd w:id="17"/>
    </w:p>
    <w:p w14:paraId="65A6F28D" w14:textId="77777777" w:rsidR="00F87339" w:rsidRPr="00F87339" w:rsidRDefault="00F87339" w:rsidP="00F66D6C">
      <w:pPr>
        <w:pStyle w:val="Heading3"/>
        <w:spacing w:line="360" w:lineRule="auto"/>
        <w:jc w:val="both"/>
      </w:pPr>
      <w:bookmarkStart w:id="18" w:name="_Toc216011816"/>
      <w:bookmarkStart w:id="19" w:name="_Toc216012153"/>
      <w:r w:rsidRPr="00F87339">
        <w:t>Opportunities</w:t>
      </w:r>
      <w:bookmarkEnd w:id="18"/>
      <w:bookmarkEnd w:id="19"/>
    </w:p>
    <w:p w14:paraId="50B3FDA2" w14:textId="77777777" w:rsidR="00F87339" w:rsidRPr="00F87339" w:rsidRDefault="00F87339" w:rsidP="00F66D6C">
      <w:pPr>
        <w:spacing w:line="360" w:lineRule="auto"/>
        <w:jc w:val="both"/>
      </w:pPr>
      <w:r w:rsidRPr="00F87339">
        <w:t>The EU’s Corporate Sustainability Reporting Directive offers Shell an opportunity to demonstrate leadership in transparency, environmental responsibility, and corporate governance. As regulators place increasing importance on ESG disclosures, Shell can strengthen investor confidence by clearly communicating its emissions targets, energy transition strategy, and responsible supply chain practices.</w:t>
      </w:r>
    </w:p>
    <w:p w14:paraId="24161010" w14:textId="77777777" w:rsidR="00F87339" w:rsidRPr="00F87339" w:rsidRDefault="00F87339" w:rsidP="00F66D6C">
      <w:pPr>
        <w:spacing w:line="360" w:lineRule="auto"/>
        <w:jc w:val="both"/>
      </w:pPr>
      <w:r w:rsidRPr="00F87339">
        <w:t>High-quality sustainability reporting also improves access to global capital markets. Investors increasingly favour firms that meet stringent ESG standards, and strong CSRD compliance can enhance Shell’s attractiveness as a long-term investment.</w:t>
      </w:r>
    </w:p>
    <w:p w14:paraId="7D72F1FA" w14:textId="77777777" w:rsidR="00F87339" w:rsidRPr="00F87339" w:rsidRDefault="00F87339" w:rsidP="00F66D6C">
      <w:pPr>
        <w:spacing w:line="360" w:lineRule="auto"/>
        <w:jc w:val="both"/>
      </w:pPr>
      <w:r w:rsidRPr="00F87339">
        <w:t>Internally, CSRD requirements encourage better data management and performance monitoring. The need for accurate emissions tracking promotes investment in digital measurement tools, operational efficiency, and lower-carbon technologies. This fosters innovation and encourages collaboration across departments to achieve shared sustainability goals.</w:t>
      </w:r>
    </w:p>
    <w:p w14:paraId="3DB9FE8E" w14:textId="460E822A" w:rsidR="00F87339" w:rsidRPr="00F87339" w:rsidRDefault="00F87339" w:rsidP="00F66D6C">
      <w:pPr>
        <w:pStyle w:val="Heading3"/>
        <w:spacing w:line="360" w:lineRule="auto"/>
        <w:jc w:val="both"/>
      </w:pPr>
      <w:bookmarkStart w:id="20" w:name="_Toc216011817"/>
      <w:bookmarkStart w:id="21" w:name="_Toc216012154"/>
      <w:r w:rsidRPr="00F87339">
        <w:lastRenderedPageBreak/>
        <w:t>Challenges</w:t>
      </w:r>
      <w:bookmarkEnd w:id="20"/>
      <w:bookmarkEnd w:id="21"/>
    </w:p>
    <w:p w14:paraId="23675572" w14:textId="77777777" w:rsidR="00F87339" w:rsidRPr="00F87339" w:rsidRDefault="00F87339" w:rsidP="00F66D6C">
      <w:pPr>
        <w:spacing w:line="360" w:lineRule="auto"/>
        <w:jc w:val="both"/>
      </w:pPr>
      <w:r w:rsidRPr="00F87339">
        <w:t xml:space="preserve">CSRD compliance is complex and </w:t>
      </w:r>
      <w:proofErr w:type="gramStart"/>
      <w:r w:rsidRPr="00F87339">
        <w:t>resource-intensive</w:t>
      </w:r>
      <w:proofErr w:type="gramEnd"/>
      <w:r w:rsidRPr="00F87339">
        <w:t>. For an organisation as large and geographically dispersed as Shell, harmonising data collection across multiple jurisdictions presents major operational challenges. Ensuring consistency, accuracy, and verification of ESG data increases both administrative workload and financial costs.</w:t>
      </w:r>
    </w:p>
    <w:p w14:paraId="4E45B14F" w14:textId="77777777" w:rsidR="00F87339" w:rsidRPr="00F87339" w:rsidRDefault="00F87339" w:rsidP="00F66D6C">
      <w:pPr>
        <w:spacing w:line="360" w:lineRule="auto"/>
        <w:jc w:val="both"/>
      </w:pPr>
      <w:r w:rsidRPr="00F87339">
        <w:t>Greater transparency also exposes Shell to intensified scrutiny from regulators, investors, and civil society. Any delays in meeting emissions targets or inconsistencies in sustainability performance could damage corporate reputation. Moreover, accelerated investment in clean energy infrastructure and carbon reduction technologies may increase short-term financial pressure, despite offering long-term strategic benefits.</w:t>
      </w:r>
    </w:p>
    <w:p w14:paraId="62AFF4B2" w14:textId="5116F815" w:rsidR="00F87339" w:rsidRPr="00F87339" w:rsidRDefault="00F87339" w:rsidP="00F66D6C">
      <w:pPr>
        <w:spacing w:line="360" w:lineRule="auto"/>
        <w:jc w:val="both"/>
      </w:pPr>
    </w:p>
    <w:p w14:paraId="134B3811" w14:textId="77777777" w:rsidR="00F87339" w:rsidRPr="00F87339" w:rsidRDefault="00F87339" w:rsidP="00F66D6C">
      <w:pPr>
        <w:pStyle w:val="Heading1"/>
        <w:spacing w:line="360" w:lineRule="auto"/>
        <w:jc w:val="both"/>
      </w:pPr>
      <w:bookmarkStart w:id="22" w:name="_Toc216011818"/>
      <w:bookmarkStart w:id="23" w:name="_Toc216012155"/>
      <w:r w:rsidRPr="00F87339">
        <w:t>Impact on Shell’s Strategy and Competitiveness</w:t>
      </w:r>
      <w:bookmarkEnd w:id="22"/>
      <w:bookmarkEnd w:id="23"/>
    </w:p>
    <w:p w14:paraId="47B2B121" w14:textId="77777777" w:rsidR="00F87339" w:rsidRPr="00F87339" w:rsidRDefault="00F87339" w:rsidP="00F66D6C">
      <w:pPr>
        <w:pStyle w:val="Heading2"/>
        <w:spacing w:line="360" w:lineRule="auto"/>
        <w:jc w:val="both"/>
      </w:pPr>
      <w:bookmarkStart w:id="24" w:name="_Toc216011819"/>
      <w:bookmarkStart w:id="25" w:name="_Toc216012156"/>
      <w:r w:rsidRPr="00F87339">
        <w:t>Market Positioning</w:t>
      </w:r>
      <w:bookmarkEnd w:id="24"/>
      <w:bookmarkEnd w:id="25"/>
    </w:p>
    <w:p w14:paraId="2D42075F" w14:textId="77777777" w:rsidR="00F87339" w:rsidRPr="00F87339" w:rsidRDefault="00F87339" w:rsidP="00F66D6C">
      <w:pPr>
        <w:spacing w:line="360" w:lineRule="auto"/>
        <w:jc w:val="both"/>
      </w:pPr>
      <w:r w:rsidRPr="00F87339">
        <w:t>AI adoption strengthens Shell’s market position as a technologically advanced and data-driven energy company. Enhanced predictive analytics and automation improve efficiency and cost competitiveness, helping Shell compete with both traditional oil majors and emerging renewable energy firms. However, failure to scale AI solutions rapidly could erode this advantage if competitors adopt digital technologies more aggressively.</w:t>
      </w:r>
    </w:p>
    <w:p w14:paraId="59218CD2" w14:textId="77777777" w:rsidR="00F87339" w:rsidRPr="00F87339" w:rsidRDefault="00F87339" w:rsidP="00F66D6C">
      <w:pPr>
        <w:spacing w:line="360" w:lineRule="auto"/>
        <w:jc w:val="both"/>
      </w:pPr>
      <w:r w:rsidRPr="00F87339">
        <w:t>Geopolitical uncertainty encourages Shell to rebalance its geographical footprint and energy portfolio. Firms with flexible LNG operations and diversified assets are better positioned to outperform those concentrated in high-risk regions.</w:t>
      </w:r>
    </w:p>
    <w:p w14:paraId="67CC4B6F" w14:textId="77777777" w:rsidR="00D90C30" w:rsidRDefault="00F87339" w:rsidP="00F66D6C">
      <w:pPr>
        <w:spacing w:line="360" w:lineRule="auto"/>
        <w:jc w:val="both"/>
      </w:pPr>
      <w:r w:rsidRPr="00F87339">
        <w:t>CSRD requirements also shape market perception. Although compliance increases operating costs, strong ESG performance improves Shell’s credibility with environmentally conscious investors, policymakers, and customers.</w:t>
      </w:r>
    </w:p>
    <w:p w14:paraId="544261F5" w14:textId="77777777" w:rsidR="00F66D6C" w:rsidRDefault="00F66D6C" w:rsidP="00F66D6C">
      <w:pPr>
        <w:spacing w:line="360" w:lineRule="auto"/>
        <w:jc w:val="both"/>
        <w:rPr>
          <w:b/>
          <w:bCs/>
        </w:rPr>
      </w:pPr>
    </w:p>
    <w:p w14:paraId="0763DAE1" w14:textId="7BDFD02E" w:rsidR="00F87339" w:rsidRPr="00F87339" w:rsidRDefault="00F87339" w:rsidP="00F66D6C">
      <w:pPr>
        <w:pStyle w:val="Heading2"/>
        <w:spacing w:line="360" w:lineRule="auto"/>
        <w:jc w:val="both"/>
      </w:pPr>
      <w:bookmarkStart w:id="26" w:name="_Toc216011820"/>
      <w:bookmarkStart w:id="27" w:name="_Toc216012157"/>
      <w:r w:rsidRPr="00F87339">
        <w:lastRenderedPageBreak/>
        <w:t>Innovation</w:t>
      </w:r>
      <w:bookmarkEnd w:id="26"/>
      <w:bookmarkEnd w:id="27"/>
    </w:p>
    <w:p w14:paraId="1CD09BF1" w14:textId="77777777" w:rsidR="00F87339" w:rsidRPr="00F87339" w:rsidRDefault="00F87339" w:rsidP="00F66D6C">
      <w:pPr>
        <w:spacing w:line="360" w:lineRule="auto"/>
        <w:jc w:val="both"/>
      </w:pPr>
      <w:r w:rsidRPr="00F87339">
        <w:t>AI is central to Shell’s innovation strategy. It supports improvements in energy production efficiency, advances in EV infrastructure, and exploration of emerging areas such as hydrogen and carbon capture. Data analytics enhance Shell’s ability to manage complex energy systems in an increasingly decentralised global energy market.</w:t>
      </w:r>
    </w:p>
    <w:p w14:paraId="09FB3ADB" w14:textId="77777777" w:rsidR="00F87339" w:rsidRPr="00F87339" w:rsidRDefault="00F87339" w:rsidP="00F66D6C">
      <w:pPr>
        <w:spacing w:line="360" w:lineRule="auto"/>
        <w:jc w:val="both"/>
      </w:pPr>
      <w:r w:rsidRPr="00F87339">
        <w:t>However, innovation is vulnerable to geopolitical disruption. Delays in access to digital components or restrictions on knowledge transfer can slow R&amp;D projects and weaken collaborative partnerships.</w:t>
      </w:r>
    </w:p>
    <w:p w14:paraId="060D8FEC" w14:textId="77777777" w:rsidR="00F87339" w:rsidRPr="00F87339" w:rsidRDefault="00F87339" w:rsidP="00F66D6C">
      <w:pPr>
        <w:spacing w:line="360" w:lineRule="auto"/>
        <w:jc w:val="both"/>
      </w:pPr>
      <w:r w:rsidRPr="00F87339">
        <w:t>Sustainability regulations further stimulate innovation by encouraging cleaner technologies, advanced emissions monitoring, and supply chain traceability solutions aligned with circular economy principles.</w:t>
      </w:r>
    </w:p>
    <w:p w14:paraId="5156F23A" w14:textId="7A53B9E2" w:rsidR="00F87339" w:rsidRPr="00F87339" w:rsidRDefault="00F87339" w:rsidP="00F66D6C">
      <w:pPr>
        <w:spacing w:line="360" w:lineRule="auto"/>
        <w:jc w:val="both"/>
      </w:pPr>
    </w:p>
    <w:p w14:paraId="0F977C55" w14:textId="77777777" w:rsidR="00F87339" w:rsidRPr="00F87339" w:rsidRDefault="00F87339" w:rsidP="00F66D6C">
      <w:pPr>
        <w:pStyle w:val="Heading2"/>
        <w:spacing w:line="360" w:lineRule="auto"/>
        <w:jc w:val="both"/>
      </w:pPr>
      <w:bookmarkStart w:id="28" w:name="_Toc216011821"/>
      <w:bookmarkStart w:id="29" w:name="_Toc216012158"/>
      <w:r w:rsidRPr="00F87339">
        <w:t>Talent Management</w:t>
      </w:r>
      <w:bookmarkEnd w:id="28"/>
      <w:bookmarkEnd w:id="29"/>
    </w:p>
    <w:p w14:paraId="41897383" w14:textId="77777777" w:rsidR="00F87339" w:rsidRPr="00F87339" w:rsidRDefault="00F87339" w:rsidP="00F66D6C">
      <w:pPr>
        <w:spacing w:line="360" w:lineRule="auto"/>
        <w:jc w:val="both"/>
      </w:pPr>
      <w:r w:rsidRPr="00F87339">
        <w:t>AI reshapes Shell’s workforce requirements by increasing demand for data scientists, digital engineers, and AI specialists, while reducing reliance on some traditional operational roles. To remain competitive, Shell must expand re-skilling and upskilling initiatives and offer clear career pathways within digital and low-carbon business areas.</w:t>
      </w:r>
    </w:p>
    <w:p w14:paraId="51214FFD" w14:textId="77777777" w:rsidR="00F87339" w:rsidRPr="00F87339" w:rsidRDefault="00F87339" w:rsidP="00F66D6C">
      <w:pPr>
        <w:spacing w:line="360" w:lineRule="auto"/>
        <w:jc w:val="both"/>
      </w:pPr>
      <w:r w:rsidRPr="00F87339">
        <w:t>Geopolitical instability also affects talent mobility and international assignments. Operational risks in certain regions may make recruitment and retention more difficult.</w:t>
      </w:r>
    </w:p>
    <w:p w14:paraId="0606903B" w14:textId="714EECEC" w:rsidR="00F87339" w:rsidRPr="00F87339" w:rsidRDefault="00F87339" w:rsidP="00F66D6C">
      <w:pPr>
        <w:spacing w:line="360" w:lineRule="auto"/>
        <w:jc w:val="both"/>
      </w:pPr>
      <w:r w:rsidRPr="00F87339">
        <w:t>Sustainability performance increasingly influences employer attractiveness. Younger professionals are more likely to seek careers with organisations demonstrating strong environmental and social responsibility. Effective CSRD compliance can therefore enhance Shell’s appeal to values-driven talent.</w:t>
      </w:r>
    </w:p>
    <w:p w14:paraId="25582C74" w14:textId="714EECEC" w:rsidR="00F87339" w:rsidRPr="00F87339" w:rsidRDefault="00F87339" w:rsidP="00F66D6C">
      <w:pPr>
        <w:pStyle w:val="Heading2"/>
        <w:spacing w:line="360" w:lineRule="auto"/>
        <w:jc w:val="both"/>
      </w:pPr>
      <w:bookmarkStart w:id="30" w:name="_Toc216011822"/>
      <w:bookmarkStart w:id="31" w:name="_Toc216012159"/>
      <w:r w:rsidRPr="00F87339">
        <w:t>Competitiveness</w:t>
      </w:r>
      <w:bookmarkEnd w:id="30"/>
      <w:bookmarkEnd w:id="31"/>
    </w:p>
    <w:p w14:paraId="42AE124A" w14:textId="77777777" w:rsidR="00F87339" w:rsidRPr="00F87339" w:rsidRDefault="00F87339" w:rsidP="00F66D6C">
      <w:pPr>
        <w:spacing w:line="360" w:lineRule="auto"/>
        <w:jc w:val="both"/>
      </w:pPr>
      <w:r w:rsidRPr="00F87339">
        <w:t>Together, AI, geopolitics, and sustainability pressures shape Shell’s competitive performance. AI strengthens competitiveness by boosting productivity and lowering costs. In contrast, geopolitical disruptions introduce operational risks and inflate expenses. Sustainability compliance increases short-term costs but strengthens long-</w:t>
      </w:r>
      <w:r w:rsidRPr="00F87339">
        <w:lastRenderedPageBreak/>
        <w:t>term value by aligning Shell with global decarbonisation trends and investor expectations.</w:t>
      </w:r>
    </w:p>
    <w:p w14:paraId="4EDDC0F2" w14:textId="7FDB5332" w:rsidR="00F87339" w:rsidRPr="00F87339" w:rsidRDefault="00F87339" w:rsidP="00F77AF3">
      <w:pPr>
        <w:pStyle w:val="Heading1"/>
      </w:pPr>
      <w:bookmarkStart w:id="32" w:name="_Toc216011823"/>
      <w:bookmarkStart w:id="33" w:name="_Toc216012160"/>
      <w:r w:rsidRPr="00F87339">
        <w:t>Strategic Recommendations</w:t>
      </w:r>
      <w:bookmarkEnd w:id="32"/>
      <w:bookmarkEnd w:id="33"/>
    </w:p>
    <w:p w14:paraId="2C3FD583" w14:textId="261F62B7" w:rsidR="00F87339" w:rsidRPr="00F87339" w:rsidRDefault="00F87339" w:rsidP="00F66D6C">
      <w:pPr>
        <w:numPr>
          <w:ilvl w:val="0"/>
          <w:numId w:val="4"/>
        </w:numPr>
        <w:spacing w:line="360" w:lineRule="auto"/>
        <w:jc w:val="both"/>
      </w:pPr>
      <w:bookmarkStart w:id="34" w:name="_Toc216011824"/>
      <w:bookmarkStart w:id="35" w:name="_Toc216012161"/>
      <w:r w:rsidRPr="00F87339">
        <w:rPr>
          <w:rStyle w:val="Heading2Char"/>
        </w:rPr>
        <w:t>Accelerate</w:t>
      </w:r>
      <w:r w:rsidR="00F66D6C" w:rsidRPr="00F77AF3">
        <w:rPr>
          <w:rStyle w:val="Heading2Char"/>
        </w:rPr>
        <w:t xml:space="preserve"> </w:t>
      </w:r>
      <w:r w:rsidRPr="00F87339">
        <w:rPr>
          <w:rStyle w:val="Heading2Char"/>
        </w:rPr>
        <w:t>AI Integration Through a Unified Digital Strategy</w:t>
      </w:r>
      <w:bookmarkEnd w:id="34"/>
      <w:bookmarkEnd w:id="35"/>
      <w:r w:rsidRPr="00F87339">
        <w:br/>
        <w:t>Shell should develop a company-wide AI roadmap that prioritises predictive maintenance, energy forecasting, and supply chain optimisation. Strategic partnerships with technology firms and startups can accelerate innovation.</w:t>
      </w:r>
    </w:p>
    <w:p w14:paraId="27EED503" w14:textId="77777777" w:rsidR="00F87339" w:rsidRPr="00F87339" w:rsidRDefault="00F87339" w:rsidP="00F66D6C">
      <w:pPr>
        <w:numPr>
          <w:ilvl w:val="0"/>
          <w:numId w:val="4"/>
        </w:numPr>
        <w:spacing w:line="360" w:lineRule="auto"/>
        <w:jc w:val="both"/>
      </w:pPr>
      <w:bookmarkStart w:id="36" w:name="_Toc216011825"/>
      <w:bookmarkStart w:id="37" w:name="_Toc216012162"/>
      <w:r w:rsidRPr="00F87339">
        <w:rPr>
          <w:rStyle w:val="Heading2Char"/>
        </w:rPr>
        <w:t>Enhance Supply Chain Resilience Through Diversification</w:t>
      </w:r>
      <w:bookmarkEnd w:id="36"/>
      <w:bookmarkEnd w:id="37"/>
      <w:r w:rsidRPr="00F87339">
        <w:br/>
        <w:t>Investment in alternative shipping routes, diversified LNG suppliers, and nearshoring of critical components will reduce exposure to geopolitical risk.</w:t>
      </w:r>
    </w:p>
    <w:p w14:paraId="106EA670" w14:textId="77777777" w:rsidR="00F87339" w:rsidRPr="00F87339" w:rsidRDefault="00F87339" w:rsidP="00F66D6C">
      <w:pPr>
        <w:numPr>
          <w:ilvl w:val="0"/>
          <w:numId w:val="4"/>
        </w:numPr>
        <w:spacing w:line="360" w:lineRule="auto"/>
        <w:jc w:val="both"/>
      </w:pPr>
      <w:bookmarkStart w:id="38" w:name="_Toc216011826"/>
      <w:bookmarkStart w:id="39" w:name="_Toc216012163"/>
      <w:r w:rsidRPr="00F87339">
        <w:rPr>
          <w:rStyle w:val="Heading2Char"/>
        </w:rPr>
        <w:t xml:space="preserve">Embed CSRD Requirements </w:t>
      </w:r>
      <w:proofErr w:type="gramStart"/>
      <w:r w:rsidRPr="00F87339">
        <w:rPr>
          <w:rStyle w:val="Heading2Char"/>
        </w:rPr>
        <w:t>Into</w:t>
      </w:r>
      <w:proofErr w:type="gramEnd"/>
      <w:r w:rsidRPr="00F87339">
        <w:rPr>
          <w:rStyle w:val="Heading2Char"/>
        </w:rPr>
        <w:t xml:space="preserve"> Core Business Operations</w:t>
      </w:r>
      <w:bookmarkEnd w:id="38"/>
      <w:bookmarkEnd w:id="39"/>
      <w:r w:rsidRPr="00F87339">
        <w:br/>
        <w:t>Shell should integrate sustainability metrics into everyday decision-making rather than treating reporting as a separate compliance function. Digital ESG platforms can enhance data accuracy and efficiency.</w:t>
      </w:r>
    </w:p>
    <w:p w14:paraId="7FF3E210" w14:textId="77777777" w:rsidR="00F87339" w:rsidRPr="00F87339" w:rsidRDefault="00F87339" w:rsidP="00F66D6C">
      <w:pPr>
        <w:numPr>
          <w:ilvl w:val="0"/>
          <w:numId w:val="4"/>
        </w:numPr>
        <w:spacing w:line="360" w:lineRule="auto"/>
        <w:jc w:val="both"/>
      </w:pPr>
      <w:bookmarkStart w:id="40" w:name="_Toc216011827"/>
      <w:bookmarkStart w:id="41" w:name="_Toc216012164"/>
      <w:r w:rsidRPr="00F87339">
        <w:rPr>
          <w:rStyle w:val="Heading2Char"/>
        </w:rPr>
        <w:t>Strengthen Workforce Transformation and Digital Skills Development</w:t>
      </w:r>
      <w:bookmarkEnd w:id="40"/>
      <w:bookmarkEnd w:id="41"/>
      <w:r w:rsidRPr="00F87339">
        <w:br/>
        <w:t>Comprehensive re-skilling programmes should prepare employees for AI-driven roles, reducing workforce disruption and skill shortages.</w:t>
      </w:r>
    </w:p>
    <w:p w14:paraId="4A3475AD" w14:textId="07672F0F" w:rsidR="00F87339" w:rsidRPr="00F87339" w:rsidRDefault="00F87339" w:rsidP="007D4C11">
      <w:pPr>
        <w:numPr>
          <w:ilvl w:val="0"/>
          <w:numId w:val="4"/>
        </w:numPr>
        <w:spacing w:line="360" w:lineRule="auto"/>
        <w:jc w:val="both"/>
      </w:pPr>
      <w:bookmarkStart w:id="42" w:name="_Toc216011828"/>
      <w:bookmarkStart w:id="43" w:name="_Toc216012165"/>
      <w:r w:rsidRPr="00F87339">
        <w:rPr>
          <w:rStyle w:val="Heading2Char"/>
        </w:rPr>
        <w:t>Expand</w:t>
      </w:r>
      <w:r w:rsidR="007D4C11" w:rsidRPr="00F77AF3">
        <w:rPr>
          <w:rStyle w:val="Heading2Char"/>
        </w:rPr>
        <w:t xml:space="preserve"> </w:t>
      </w:r>
      <w:r w:rsidRPr="00F87339">
        <w:rPr>
          <w:rStyle w:val="Heading2Char"/>
        </w:rPr>
        <w:t>Low-Carbon</w:t>
      </w:r>
      <w:r w:rsidR="007D4C11" w:rsidRPr="00F77AF3">
        <w:rPr>
          <w:rStyle w:val="Heading2Char"/>
        </w:rPr>
        <w:t xml:space="preserve"> </w:t>
      </w:r>
      <w:r w:rsidRPr="00F87339">
        <w:rPr>
          <w:rStyle w:val="Heading2Char"/>
        </w:rPr>
        <w:t>Investments</w:t>
      </w:r>
      <w:bookmarkEnd w:id="42"/>
      <w:bookmarkEnd w:id="43"/>
      <w:r w:rsidRPr="00F87339">
        <w:rPr>
          <w:rStyle w:val="Heading2Char"/>
        </w:rPr>
        <w:br/>
      </w:r>
      <w:r w:rsidRPr="00F87339">
        <w:t>Further investment in renewables, hydrogen, and carbon capture will strengthen regulatory compliance, improve ESG standing, and support long-term competitiveness.</w:t>
      </w:r>
    </w:p>
    <w:p w14:paraId="0099CEFA" w14:textId="7628EF3A" w:rsidR="00F87339" w:rsidRPr="00F87339" w:rsidRDefault="00F87339" w:rsidP="00F66D6C">
      <w:pPr>
        <w:pStyle w:val="Heading1"/>
        <w:spacing w:line="360" w:lineRule="auto"/>
        <w:jc w:val="both"/>
      </w:pPr>
      <w:bookmarkStart w:id="44" w:name="_Toc216011829"/>
      <w:bookmarkStart w:id="45" w:name="_Toc216012166"/>
      <w:r w:rsidRPr="00F87339">
        <w:t>Conclusion</w:t>
      </w:r>
      <w:bookmarkEnd w:id="44"/>
      <w:bookmarkEnd w:id="45"/>
    </w:p>
    <w:p w14:paraId="27A60997" w14:textId="77777777" w:rsidR="00F87339" w:rsidRPr="00F87339" w:rsidRDefault="00F87339" w:rsidP="00F66D6C">
      <w:pPr>
        <w:spacing w:line="360" w:lineRule="auto"/>
        <w:jc w:val="both"/>
      </w:pPr>
      <w:r w:rsidRPr="00F87339">
        <w:t xml:space="preserve">In today’s global business environment, multinational enterprises such as Shell must operate within a landscape shaped by digital transformation, geopolitical volatility, and rising sustainability expectations. AI adoption offers powerful gains in efficiency and innovation but requires significant investment and workforce change. Geopolitical supply chain disruptions create both market opportunities and severe operational risks. </w:t>
      </w:r>
      <w:r w:rsidRPr="00F87339">
        <w:lastRenderedPageBreak/>
        <w:t>Meanwhile, sustainability regulations such as the EU’s CSRD increase transparency and accountability while raising compliance costs.</w:t>
      </w:r>
    </w:p>
    <w:p w14:paraId="27CAA53F" w14:textId="77777777" w:rsidR="00F87339" w:rsidRPr="00F87339" w:rsidRDefault="00F87339" w:rsidP="00F66D6C">
      <w:pPr>
        <w:spacing w:line="360" w:lineRule="auto"/>
        <w:jc w:val="both"/>
      </w:pPr>
      <w:r w:rsidRPr="00F87339">
        <w:t>For Shell, long-term competitiveness will depend on its ability to integrate digital innovation, strengthen supply chain resilience, embed sustainability within core strategy, and continuously develop its workforce. By responding proactively to these global forces, Shell can enhance its strategic position and remain competitive in a rapidly evolving global energy industry.</w:t>
      </w:r>
    </w:p>
    <w:p w14:paraId="37BA3DCC" w14:textId="6F8501C5" w:rsidR="00D90C30" w:rsidRPr="006E0726" w:rsidRDefault="00D90C30" w:rsidP="00F66D6C">
      <w:pPr>
        <w:pStyle w:val="Heading1"/>
        <w:spacing w:line="360" w:lineRule="auto"/>
        <w:jc w:val="both"/>
      </w:pPr>
      <w:bookmarkStart w:id="46" w:name="_Toc216011830"/>
      <w:bookmarkStart w:id="47" w:name="_Toc216012167"/>
      <w:r w:rsidRPr="006E0726">
        <w:t>Reference</w:t>
      </w:r>
      <w:bookmarkEnd w:id="46"/>
      <w:bookmarkEnd w:id="47"/>
    </w:p>
    <w:p w14:paraId="23421019" w14:textId="77777777" w:rsidR="00F66D6C" w:rsidRDefault="00F66D6C" w:rsidP="00F66D6C">
      <w:pPr>
        <w:spacing w:line="360" w:lineRule="auto"/>
        <w:jc w:val="both"/>
      </w:pPr>
    </w:p>
    <w:p w14:paraId="38706121" w14:textId="77777777" w:rsidR="00F66D6C" w:rsidRPr="00913919" w:rsidRDefault="00F66D6C" w:rsidP="00F66D6C">
      <w:pPr>
        <w:pStyle w:val="ListParagraph"/>
        <w:numPr>
          <w:ilvl w:val="0"/>
          <w:numId w:val="5"/>
        </w:numPr>
        <w:spacing w:line="360" w:lineRule="auto"/>
        <w:jc w:val="both"/>
      </w:pPr>
      <w:r w:rsidRPr="00913919">
        <w:t xml:space="preserve">Accenture (2023) </w:t>
      </w:r>
      <w:r w:rsidRPr="00F66D6C">
        <w:rPr>
          <w:i/>
          <w:iCs/>
        </w:rPr>
        <w:t>AI in Energy: Transforming Operations and Driving Growth</w:t>
      </w:r>
      <w:r w:rsidRPr="00913919">
        <w:t xml:space="preserve">. Available at: </w:t>
      </w:r>
      <w:hyperlink r:id="rId8" w:tgtFrame="_new" w:history="1">
        <w:r w:rsidRPr="00913919">
          <w:rPr>
            <w:rStyle w:val="Hyperlink"/>
          </w:rPr>
          <w:t>https://www.accenture.com</w:t>
        </w:r>
      </w:hyperlink>
      <w:r w:rsidRPr="00913919">
        <w:t xml:space="preserve"> (Accessed: 15 November 2024).</w:t>
      </w:r>
    </w:p>
    <w:p w14:paraId="4A4B04DB" w14:textId="77777777" w:rsidR="00F66D6C" w:rsidRPr="00913919" w:rsidRDefault="00F66D6C" w:rsidP="00F66D6C">
      <w:pPr>
        <w:pStyle w:val="ListParagraph"/>
        <w:numPr>
          <w:ilvl w:val="0"/>
          <w:numId w:val="5"/>
        </w:numPr>
        <w:spacing w:line="360" w:lineRule="auto"/>
        <w:jc w:val="both"/>
      </w:pPr>
      <w:r w:rsidRPr="00913919">
        <w:t xml:space="preserve">Baldwin, R. (2022) </w:t>
      </w:r>
      <w:r w:rsidRPr="00F66D6C">
        <w:rPr>
          <w:i/>
          <w:iCs/>
        </w:rPr>
        <w:t xml:space="preserve">The </w:t>
      </w:r>
      <w:proofErr w:type="spellStart"/>
      <w:r w:rsidRPr="00F66D6C">
        <w:rPr>
          <w:i/>
          <w:iCs/>
        </w:rPr>
        <w:t>Globotics</w:t>
      </w:r>
      <w:proofErr w:type="spellEnd"/>
      <w:r w:rsidRPr="00F66D6C">
        <w:rPr>
          <w:i/>
          <w:iCs/>
        </w:rPr>
        <w:t xml:space="preserve"> Upheaval: Globalisation, Robotics and the Future of Work</w:t>
      </w:r>
      <w:r w:rsidRPr="00913919">
        <w:t>. Oxford: Oxford University Press.</w:t>
      </w:r>
    </w:p>
    <w:p w14:paraId="3B06258B" w14:textId="77777777" w:rsidR="00F66D6C" w:rsidRPr="00913919" w:rsidRDefault="00F66D6C" w:rsidP="00F66D6C">
      <w:pPr>
        <w:pStyle w:val="ListParagraph"/>
        <w:numPr>
          <w:ilvl w:val="0"/>
          <w:numId w:val="5"/>
        </w:numPr>
        <w:spacing w:line="360" w:lineRule="auto"/>
        <w:jc w:val="both"/>
      </w:pPr>
      <w:proofErr w:type="spellStart"/>
      <w:r w:rsidRPr="00913919">
        <w:t>Baryshnikova</w:t>
      </w:r>
      <w:proofErr w:type="spellEnd"/>
      <w:r w:rsidRPr="00913919">
        <w:t xml:space="preserve">, N. and </w:t>
      </w:r>
      <w:proofErr w:type="spellStart"/>
      <w:r w:rsidRPr="00913919">
        <w:t>Linnenluecke</w:t>
      </w:r>
      <w:proofErr w:type="spellEnd"/>
      <w:r w:rsidRPr="00913919">
        <w:t xml:space="preserve">, M. (2023) ‘Corporate sustainability reporting: drivers and challenges’, </w:t>
      </w:r>
      <w:r w:rsidRPr="00F66D6C">
        <w:rPr>
          <w:i/>
          <w:iCs/>
        </w:rPr>
        <w:t>Journal of Business Ethics</w:t>
      </w:r>
      <w:r w:rsidRPr="00913919">
        <w:t>, 186(1), pp. 45–63.</w:t>
      </w:r>
    </w:p>
    <w:p w14:paraId="75DB131E" w14:textId="77777777" w:rsidR="00F66D6C" w:rsidRPr="00913919" w:rsidRDefault="00F66D6C" w:rsidP="00F66D6C">
      <w:pPr>
        <w:pStyle w:val="ListParagraph"/>
        <w:numPr>
          <w:ilvl w:val="0"/>
          <w:numId w:val="5"/>
        </w:numPr>
        <w:spacing w:line="360" w:lineRule="auto"/>
        <w:jc w:val="both"/>
      </w:pPr>
      <w:r w:rsidRPr="00913919">
        <w:t xml:space="preserve">Bloomberg (2024) </w:t>
      </w:r>
      <w:r w:rsidRPr="00F66D6C">
        <w:rPr>
          <w:i/>
          <w:iCs/>
        </w:rPr>
        <w:t>Global LNG Outlook</w:t>
      </w:r>
      <w:r w:rsidRPr="00913919">
        <w:t xml:space="preserve">. Available at: </w:t>
      </w:r>
      <w:hyperlink r:id="rId9" w:tgtFrame="_new" w:history="1">
        <w:r w:rsidRPr="00913919">
          <w:rPr>
            <w:rStyle w:val="Hyperlink"/>
          </w:rPr>
          <w:t>https://www.bloomberg.com</w:t>
        </w:r>
      </w:hyperlink>
      <w:r w:rsidRPr="00913919">
        <w:t xml:space="preserve"> (Accessed: 14 November 2024).</w:t>
      </w:r>
    </w:p>
    <w:p w14:paraId="70796CFE" w14:textId="77777777" w:rsidR="00F66D6C" w:rsidRPr="00913919" w:rsidRDefault="00F66D6C" w:rsidP="00F66D6C">
      <w:pPr>
        <w:pStyle w:val="ListParagraph"/>
        <w:numPr>
          <w:ilvl w:val="0"/>
          <w:numId w:val="5"/>
        </w:numPr>
        <w:spacing w:line="360" w:lineRule="auto"/>
        <w:jc w:val="both"/>
      </w:pPr>
      <w:r w:rsidRPr="00913919">
        <w:t xml:space="preserve">Boston Consulting Group (2023) </w:t>
      </w:r>
      <w:r w:rsidRPr="00F66D6C">
        <w:rPr>
          <w:i/>
          <w:iCs/>
        </w:rPr>
        <w:t>The Future of Geopolitics and Global Trade</w:t>
      </w:r>
      <w:r w:rsidRPr="00913919">
        <w:t xml:space="preserve">. Available at: </w:t>
      </w:r>
      <w:hyperlink r:id="rId10" w:tgtFrame="_new" w:history="1">
        <w:r w:rsidRPr="00913919">
          <w:rPr>
            <w:rStyle w:val="Hyperlink"/>
          </w:rPr>
          <w:t>https://www.bcg.com</w:t>
        </w:r>
      </w:hyperlink>
      <w:r w:rsidRPr="00913919">
        <w:t xml:space="preserve"> (Accessed: 10 November 2024).</w:t>
      </w:r>
    </w:p>
    <w:p w14:paraId="7D57394A" w14:textId="77777777" w:rsidR="00F66D6C" w:rsidRPr="00913919" w:rsidRDefault="00F66D6C" w:rsidP="00F66D6C">
      <w:pPr>
        <w:pStyle w:val="ListParagraph"/>
        <w:numPr>
          <w:ilvl w:val="0"/>
          <w:numId w:val="5"/>
        </w:numPr>
        <w:spacing w:line="360" w:lineRule="auto"/>
        <w:jc w:val="both"/>
      </w:pPr>
      <w:r w:rsidRPr="00913919">
        <w:t xml:space="preserve">Cappelli, P. (2021) ‘Workforce transformation in the age of AI’, </w:t>
      </w:r>
      <w:r w:rsidRPr="00F66D6C">
        <w:rPr>
          <w:i/>
          <w:iCs/>
        </w:rPr>
        <w:t>MIT Sloan Management Review</w:t>
      </w:r>
      <w:r w:rsidRPr="00913919">
        <w:t>, 63(1), pp. 28–35.</w:t>
      </w:r>
    </w:p>
    <w:p w14:paraId="163DD72D" w14:textId="77777777" w:rsidR="00F66D6C" w:rsidRPr="00913919" w:rsidRDefault="00F66D6C" w:rsidP="00F66D6C">
      <w:pPr>
        <w:pStyle w:val="ListParagraph"/>
        <w:numPr>
          <w:ilvl w:val="0"/>
          <w:numId w:val="5"/>
        </w:numPr>
        <w:spacing w:line="360" w:lineRule="auto"/>
        <w:jc w:val="both"/>
      </w:pPr>
      <w:r w:rsidRPr="00913919">
        <w:t xml:space="preserve">Deloitte (2024) </w:t>
      </w:r>
      <w:r w:rsidRPr="00F66D6C">
        <w:rPr>
          <w:i/>
          <w:iCs/>
        </w:rPr>
        <w:t>AI and Digital Transformation in Oil and Gas</w:t>
      </w:r>
      <w:r w:rsidRPr="00913919">
        <w:t xml:space="preserve">. Available at: </w:t>
      </w:r>
      <w:hyperlink r:id="rId11" w:tgtFrame="_new" w:history="1">
        <w:r w:rsidRPr="00913919">
          <w:rPr>
            <w:rStyle w:val="Hyperlink"/>
          </w:rPr>
          <w:t>https://www2.deloitte.com</w:t>
        </w:r>
      </w:hyperlink>
      <w:r w:rsidRPr="00913919">
        <w:t xml:space="preserve"> (Accessed: 12 November 2024).</w:t>
      </w:r>
    </w:p>
    <w:p w14:paraId="5D74A699" w14:textId="77777777" w:rsidR="00F66D6C" w:rsidRPr="00913919" w:rsidRDefault="00F66D6C" w:rsidP="00F66D6C">
      <w:pPr>
        <w:pStyle w:val="ListParagraph"/>
        <w:numPr>
          <w:ilvl w:val="0"/>
          <w:numId w:val="5"/>
        </w:numPr>
        <w:spacing w:line="360" w:lineRule="auto"/>
        <w:jc w:val="both"/>
      </w:pPr>
      <w:r w:rsidRPr="00913919">
        <w:t xml:space="preserve">European Commission (2023) </w:t>
      </w:r>
      <w:r w:rsidRPr="00F66D6C">
        <w:rPr>
          <w:i/>
          <w:iCs/>
        </w:rPr>
        <w:t>Corporate Sustainability Reporting Directive (CSRD)</w:t>
      </w:r>
      <w:r w:rsidRPr="00913919">
        <w:t xml:space="preserve">. Available at: </w:t>
      </w:r>
      <w:hyperlink r:id="rId12" w:tgtFrame="_new" w:history="1">
        <w:r w:rsidRPr="00913919">
          <w:rPr>
            <w:rStyle w:val="Hyperlink"/>
          </w:rPr>
          <w:t>https://ec.europa.eu</w:t>
        </w:r>
      </w:hyperlink>
      <w:r w:rsidRPr="00913919">
        <w:t xml:space="preserve"> (Accessed: 18 November 2024).</w:t>
      </w:r>
    </w:p>
    <w:p w14:paraId="5F281FD6" w14:textId="77777777" w:rsidR="00F66D6C" w:rsidRPr="00913919" w:rsidRDefault="00F66D6C" w:rsidP="00F66D6C">
      <w:pPr>
        <w:pStyle w:val="ListParagraph"/>
        <w:numPr>
          <w:ilvl w:val="0"/>
          <w:numId w:val="5"/>
        </w:numPr>
        <w:spacing w:line="360" w:lineRule="auto"/>
        <w:jc w:val="both"/>
      </w:pPr>
      <w:r w:rsidRPr="00913919">
        <w:t xml:space="preserve">Gereffi, G. (2020) ‘Global value chains and international business’, </w:t>
      </w:r>
      <w:r w:rsidRPr="00F66D6C">
        <w:rPr>
          <w:i/>
          <w:iCs/>
        </w:rPr>
        <w:t>Journal of International Business Policy</w:t>
      </w:r>
      <w:r w:rsidRPr="00913919">
        <w:t>, 3(3), pp. 287–310.</w:t>
      </w:r>
    </w:p>
    <w:p w14:paraId="215A2FEF" w14:textId="77777777" w:rsidR="00F66D6C" w:rsidRPr="00913919" w:rsidRDefault="00F66D6C" w:rsidP="00F66D6C">
      <w:pPr>
        <w:pStyle w:val="ListParagraph"/>
        <w:numPr>
          <w:ilvl w:val="0"/>
          <w:numId w:val="5"/>
        </w:numPr>
        <w:spacing w:line="360" w:lineRule="auto"/>
        <w:jc w:val="both"/>
      </w:pPr>
      <w:r w:rsidRPr="00913919">
        <w:t xml:space="preserve">Ghemawat, P. (2018) </w:t>
      </w:r>
      <w:r w:rsidRPr="00F66D6C">
        <w:rPr>
          <w:i/>
          <w:iCs/>
        </w:rPr>
        <w:t>Redefining Global Strategy</w:t>
      </w:r>
      <w:r w:rsidRPr="00913919">
        <w:t>. Boston: Harvard Business Review Press.</w:t>
      </w:r>
    </w:p>
    <w:p w14:paraId="1BED997A" w14:textId="77777777" w:rsidR="00F66D6C" w:rsidRPr="00913919" w:rsidRDefault="00F66D6C" w:rsidP="00F66D6C">
      <w:pPr>
        <w:pStyle w:val="ListParagraph"/>
        <w:numPr>
          <w:ilvl w:val="0"/>
          <w:numId w:val="5"/>
        </w:numPr>
        <w:spacing w:line="360" w:lineRule="auto"/>
        <w:jc w:val="both"/>
      </w:pPr>
      <w:r w:rsidRPr="00913919">
        <w:lastRenderedPageBreak/>
        <w:t xml:space="preserve">He, X. and Wang, Z. (2022) ‘AI adoption and supply chain optimisation in energy firms’, </w:t>
      </w:r>
      <w:r w:rsidRPr="00F66D6C">
        <w:rPr>
          <w:i/>
          <w:iCs/>
        </w:rPr>
        <w:t>Energy Economics</w:t>
      </w:r>
      <w:r w:rsidRPr="00913919">
        <w:t>, 110, pp. 106–121.</w:t>
      </w:r>
    </w:p>
    <w:p w14:paraId="052592E6" w14:textId="77777777" w:rsidR="00F66D6C" w:rsidRPr="00913919" w:rsidRDefault="00F66D6C" w:rsidP="00F66D6C">
      <w:pPr>
        <w:pStyle w:val="ListParagraph"/>
        <w:numPr>
          <w:ilvl w:val="0"/>
          <w:numId w:val="5"/>
        </w:numPr>
        <w:spacing w:line="360" w:lineRule="auto"/>
        <w:jc w:val="both"/>
      </w:pPr>
      <w:r w:rsidRPr="00913919">
        <w:t xml:space="preserve">International Energy Agency (2023) </w:t>
      </w:r>
      <w:r w:rsidRPr="00F66D6C">
        <w:rPr>
          <w:i/>
          <w:iCs/>
        </w:rPr>
        <w:t>World Energy Outlook 2023</w:t>
      </w:r>
      <w:r w:rsidRPr="00913919">
        <w:t>. Paris: IEA Publications.</w:t>
      </w:r>
    </w:p>
    <w:p w14:paraId="0D81302A" w14:textId="77777777" w:rsidR="00F66D6C" w:rsidRPr="00913919" w:rsidRDefault="00F66D6C" w:rsidP="00F66D6C">
      <w:pPr>
        <w:pStyle w:val="ListParagraph"/>
        <w:numPr>
          <w:ilvl w:val="0"/>
          <w:numId w:val="5"/>
        </w:numPr>
        <w:spacing w:line="360" w:lineRule="auto"/>
        <w:jc w:val="both"/>
      </w:pPr>
      <w:r w:rsidRPr="00913919">
        <w:t xml:space="preserve">Kobrin, S. (2022) ‘Geopolitics and the multinational firm’, </w:t>
      </w:r>
      <w:r w:rsidRPr="00F66D6C">
        <w:rPr>
          <w:i/>
          <w:iCs/>
        </w:rPr>
        <w:t>Journal of International Business Studies</w:t>
      </w:r>
      <w:r w:rsidRPr="00913919">
        <w:t>, 53(4), pp. 601–616.</w:t>
      </w:r>
    </w:p>
    <w:p w14:paraId="70F14DBC" w14:textId="77777777" w:rsidR="00A20432" w:rsidRPr="00F3039A" w:rsidRDefault="00A20432" w:rsidP="00F66D6C">
      <w:pPr>
        <w:spacing w:line="360" w:lineRule="auto"/>
        <w:jc w:val="both"/>
      </w:pPr>
    </w:p>
    <w:sectPr w:rsidR="00A20432" w:rsidRPr="00F30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824A0"/>
    <w:multiLevelType w:val="multilevel"/>
    <w:tmpl w:val="71B83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F762F1"/>
    <w:multiLevelType w:val="hybridMultilevel"/>
    <w:tmpl w:val="5E764DB8"/>
    <w:lvl w:ilvl="0" w:tplc="0F848B0C">
      <w:start w:val="1"/>
      <w:numFmt w:val="decimal"/>
      <w:lvlText w:val="%1."/>
      <w:lvlJc w:val="left"/>
      <w:pPr>
        <w:ind w:left="502" w:hanging="360"/>
      </w:pPr>
      <w:rPr>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6C6C46CB"/>
    <w:multiLevelType w:val="hybridMultilevel"/>
    <w:tmpl w:val="EC10B044"/>
    <w:lvl w:ilvl="0" w:tplc="C510B15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267095"/>
    <w:multiLevelType w:val="multilevel"/>
    <w:tmpl w:val="9856A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420903"/>
    <w:multiLevelType w:val="multilevel"/>
    <w:tmpl w:val="BE7C2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6892538">
    <w:abstractNumId w:val="1"/>
  </w:num>
  <w:num w:numId="2" w16cid:durableId="1868641721">
    <w:abstractNumId w:val="4"/>
  </w:num>
  <w:num w:numId="3" w16cid:durableId="1383403494">
    <w:abstractNumId w:val="3"/>
  </w:num>
  <w:num w:numId="4" w16cid:durableId="1120103430">
    <w:abstractNumId w:val="0"/>
  </w:num>
  <w:num w:numId="5" w16cid:durableId="1339968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D94"/>
    <w:rsid w:val="00022A6E"/>
    <w:rsid w:val="000B09F2"/>
    <w:rsid w:val="001C72AF"/>
    <w:rsid w:val="00340718"/>
    <w:rsid w:val="00354E3E"/>
    <w:rsid w:val="0039419B"/>
    <w:rsid w:val="004B7F07"/>
    <w:rsid w:val="004C31B4"/>
    <w:rsid w:val="004C3445"/>
    <w:rsid w:val="00573FE8"/>
    <w:rsid w:val="00675592"/>
    <w:rsid w:val="006A757D"/>
    <w:rsid w:val="00732A25"/>
    <w:rsid w:val="00733666"/>
    <w:rsid w:val="007D16DF"/>
    <w:rsid w:val="007D4C11"/>
    <w:rsid w:val="008F5218"/>
    <w:rsid w:val="00952382"/>
    <w:rsid w:val="00977D94"/>
    <w:rsid w:val="009D250E"/>
    <w:rsid w:val="00A20432"/>
    <w:rsid w:val="00AD01C0"/>
    <w:rsid w:val="00AD44F7"/>
    <w:rsid w:val="00B017F5"/>
    <w:rsid w:val="00BC25AD"/>
    <w:rsid w:val="00C200A9"/>
    <w:rsid w:val="00C21235"/>
    <w:rsid w:val="00CD47A4"/>
    <w:rsid w:val="00D90C30"/>
    <w:rsid w:val="00DB68D1"/>
    <w:rsid w:val="00DE1A94"/>
    <w:rsid w:val="00ED49FA"/>
    <w:rsid w:val="00F3039A"/>
    <w:rsid w:val="00F53A5D"/>
    <w:rsid w:val="00F66D6C"/>
    <w:rsid w:val="00F77AF3"/>
    <w:rsid w:val="00F87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D70B0"/>
  <w15:chartTrackingRefBased/>
  <w15:docId w15:val="{EB7D73D2-C6AC-4169-9B7E-6951C6705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9F2"/>
    <w:pPr>
      <w:keepNext/>
      <w:keepLines/>
      <w:spacing w:before="360" w:after="80"/>
      <w:outlineLvl w:val="0"/>
    </w:pPr>
    <w:rPr>
      <w:rFonts w:asciiTheme="majorHAnsi" w:eastAsiaTheme="majorEastAsia" w:hAnsiTheme="majorHAnsi" w:cstheme="majorBidi"/>
      <w:b/>
      <w:color w:val="000000" w:themeColor="text1"/>
      <w:sz w:val="32"/>
      <w:szCs w:val="40"/>
    </w:rPr>
  </w:style>
  <w:style w:type="paragraph" w:styleId="Heading2">
    <w:name w:val="heading 2"/>
    <w:basedOn w:val="Normal"/>
    <w:next w:val="Normal"/>
    <w:link w:val="Heading2Char"/>
    <w:uiPriority w:val="9"/>
    <w:unhideWhenUsed/>
    <w:qFormat/>
    <w:rsid w:val="00AD44F7"/>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F66D6C"/>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977D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D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D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D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D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D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9F2"/>
    <w:rPr>
      <w:rFonts w:asciiTheme="majorHAnsi" w:eastAsiaTheme="majorEastAsia" w:hAnsiTheme="majorHAnsi" w:cstheme="majorBidi"/>
      <w:b/>
      <w:color w:val="000000" w:themeColor="text1"/>
      <w:sz w:val="32"/>
      <w:szCs w:val="40"/>
    </w:rPr>
  </w:style>
  <w:style w:type="character" w:customStyle="1" w:styleId="Heading2Char">
    <w:name w:val="Heading 2 Char"/>
    <w:basedOn w:val="DefaultParagraphFont"/>
    <w:link w:val="Heading2"/>
    <w:uiPriority w:val="9"/>
    <w:rsid w:val="00AD44F7"/>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F66D6C"/>
    <w:rPr>
      <w:rFonts w:eastAsiaTheme="majorEastAsia" w:cstheme="majorBidi"/>
      <w:b/>
      <w:color w:val="000000" w:themeColor="text1"/>
      <w:sz w:val="28"/>
      <w:szCs w:val="28"/>
    </w:rPr>
  </w:style>
  <w:style w:type="character" w:customStyle="1" w:styleId="Heading4Char">
    <w:name w:val="Heading 4 Char"/>
    <w:basedOn w:val="DefaultParagraphFont"/>
    <w:link w:val="Heading4"/>
    <w:uiPriority w:val="9"/>
    <w:semiHidden/>
    <w:rsid w:val="00977D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D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D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D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D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D94"/>
    <w:rPr>
      <w:rFonts w:eastAsiaTheme="majorEastAsia" w:cstheme="majorBidi"/>
      <w:color w:val="272727" w:themeColor="text1" w:themeTint="D8"/>
    </w:rPr>
  </w:style>
  <w:style w:type="paragraph" w:styleId="Title">
    <w:name w:val="Title"/>
    <w:basedOn w:val="Normal"/>
    <w:next w:val="Normal"/>
    <w:link w:val="TitleChar"/>
    <w:uiPriority w:val="10"/>
    <w:qFormat/>
    <w:rsid w:val="00977D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D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D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D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D94"/>
    <w:pPr>
      <w:spacing w:before="160"/>
      <w:jc w:val="center"/>
    </w:pPr>
    <w:rPr>
      <w:i/>
      <w:iCs/>
      <w:color w:val="404040" w:themeColor="text1" w:themeTint="BF"/>
    </w:rPr>
  </w:style>
  <w:style w:type="character" w:customStyle="1" w:styleId="QuoteChar">
    <w:name w:val="Quote Char"/>
    <w:basedOn w:val="DefaultParagraphFont"/>
    <w:link w:val="Quote"/>
    <w:uiPriority w:val="29"/>
    <w:rsid w:val="00977D94"/>
    <w:rPr>
      <w:i/>
      <w:iCs/>
      <w:color w:val="404040" w:themeColor="text1" w:themeTint="BF"/>
    </w:rPr>
  </w:style>
  <w:style w:type="paragraph" w:styleId="ListParagraph">
    <w:name w:val="List Paragraph"/>
    <w:basedOn w:val="Normal"/>
    <w:uiPriority w:val="34"/>
    <w:qFormat/>
    <w:rsid w:val="00977D94"/>
    <w:pPr>
      <w:ind w:left="720"/>
      <w:contextualSpacing/>
    </w:pPr>
  </w:style>
  <w:style w:type="character" w:styleId="IntenseEmphasis">
    <w:name w:val="Intense Emphasis"/>
    <w:basedOn w:val="DefaultParagraphFont"/>
    <w:uiPriority w:val="21"/>
    <w:qFormat/>
    <w:rsid w:val="00977D94"/>
    <w:rPr>
      <w:i/>
      <w:iCs/>
      <w:color w:val="0F4761" w:themeColor="accent1" w:themeShade="BF"/>
    </w:rPr>
  </w:style>
  <w:style w:type="paragraph" w:styleId="IntenseQuote">
    <w:name w:val="Intense Quote"/>
    <w:basedOn w:val="Normal"/>
    <w:next w:val="Normal"/>
    <w:link w:val="IntenseQuoteChar"/>
    <w:uiPriority w:val="30"/>
    <w:qFormat/>
    <w:rsid w:val="00977D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D94"/>
    <w:rPr>
      <w:i/>
      <w:iCs/>
      <w:color w:val="0F4761" w:themeColor="accent1" w:themeShade="BF"/>
    </w:rPr>
  </w:style>
  <w:style w:type="character" w:styleId="IntenseReference">
    <w:name w:val="Intense Reference"/>
    <w:basedOn w:val="DefaultParagraphFont"/>
    <w:uiPriority w:val="32"/>
    <w:qFormat/>
    <w:rsid w:val="00977D94"/>
    <w:rPr>
      <w:b/>
      <w:bCs/>
      <w:smallCaps/>
      <w:color w:val="0F4761" w:themeColor="accent1" w:themeShade="BF"/>
      <w:spacing w:val="5"/>
    </w:rPr>
  </w:style>
  <w:style w:type="character" w:styleId="Hyperlink">
    <w:name w:val="Hyperlink"/>
    <w:basedOn w:val="DefaultParagraphFont"/>
    <w:uiPriority w:val="99"/>
    <w:unhideWhenUsed/>
    <w:rsid w:val="00BC25AD"/>
    <w:rPr>
      <w:color w:val="467886" w:themeColor="hyperlink"/>
      <w:u w:val="single"/>
    </w:rPr>
  </w:style>
  <w:style w:type="paragraph" w:styleId="TOCHeading">
    <w:name w:val="TOC Heading"/>
    <w:basedOn w:val="Heading1"/>
    <w:next w:val="Normal"/>
    <w:uiPriority w:val="39"/>
    <w:unhideWhenUsed/>
    <w:qFormat/>
    <w:rsid w:val="004C3445"/>
    <w:pPr>
      <w:spacing w:before="240" w:after="0" w:line="259" w:lineRule="auto"/>
      <w:outlineLvl w:val="9"/>
    </w:pPr>
    <w:rPr>
      <w:b w:val="0"/>
      <w:kern w:val="0"/>
      <w:szCs w:val="32"/>
      <w:lang w:val="en-US"/>
      <w14:ligatures w14:val="none"/>
    </w:rPr>
  </w:style>
  <w:style w:type="paragraph" w:styleId="TOC1">
    <w:name w:val="toc 1"/>
    <w:basedOn w:val="Normal"/>
    <w:next w:val="Normal"/>
    <w:autoRedefine/>
    <w:uiPriority w:val="39"/>
    <w:unhideWhenUsed/>
    <w:rsid w:val="004C3445"/>
    <w:pPr>
      <w:tabs>
        <w:tab w:val="right" w:leader="dot" w:pos="9016"/>
      </w:tabs>
      <w:spacing w:after="100"/>
    </w:pPr>
    <w:rPr>
      <w:b/>
      <w:bCs/>
      <w:noProof/>
    </w:rPr>
  </w:style>
  <w:style w:type="paragraph" w:styleId="TOC2">
    <w:name w:val="toc 2"/>
    <w:basedOn w:val="Normal"/>
    <w:next w:val="Normal"/>
    <w:autoRedefine/>
    <w:uiPriority w:val="39"/>
    <w:unhideWhenUsed/>
    <w:rsid w:val="008F5218"/>
    <w:pPr>
      <w:spacing w:after="100"/>
      <w:ind w:left="240"/>
    </w:pPr>
  </w:style>
  <w:style w:type="paragraph" w:styleId="TOC3">
    <w:name w:val="toc 3"/>
    <w:basedOn w:val="Normal"/>
    <w:next w:val="Normal"/>
    <w:autoRedefine/>
    <w:uiPriority w:val="39"/>
    <w:unhideWhenUsed/>
    <w:rsid w:val="008F521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ec.europa.e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2.deloitte.com" TargetMode="External"/><Relationship Id="rId5" Type="http://schemas.openxmlformats.org/officeDocument/2006/relationships/webSettings" Target="webSettings.xml"/><Relationship Id="rId10" Type="http://schemas.openxmlformats.org/officeDocument/2006/relationships/hyperlink" Target="https://www.bcg.com" TargetMode="External"/><Relationship Id="rId4" Type="http://schemas.openxmlformats.org/officeDocument/2006/relationships/settings" Target="settings.xml"/><Relationship Id="rId9" Type="http://schemas.openxmlformats.org/officeDocument/2006/relationships/hyperlink" Target="https://www.bloomberg.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589EA-13D7-4F46-8E2D-385D58B1E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1981</Words>
  <Characters>13879</Characters>
  <Application>Microsoft Office Word</Application>
  <DocSecurity>0</DocSecurity>
  <Lines>267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28</cp:revision>
  <dcterms:created xsi:type="dcterms:W3CDTF">2025-12-07T14:22:00Z</dcterms:created>
  <dcterms:modified xsi:type="dcterms:W3CDTF">2025-12-07T16:03:00Z</dcterms:modified>
</cp:coreProperties>
</file>