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67CC7" w14:textId="77777777" w:rsidR="002877A3" w:rsidRDefault="002877A3" w:rsidP="002877A3">
      <w:pPr>
        <w:spacing w:line="360" w:lineRule="auto"/>
        <w:jc w:val="center"/>
        <w:rPr>
          <w:rFonts w:cstheme="minorHAnsi"/>
          <w:b/>
          <w:bCs/>
          <w:sz w:val="28"/>
          <w:szCs w:val="28"/>
        </w:rPr>
      </w:pPr>
      <w:r>
        <w:rPr>
          <w:rFonts w:cstheme="minorHAnsi"/>
          <w:b/>
          <w:bCs/>
          <w:sz w:val="28"/>
          <w:szCs w:val="28"/>
        </w:rPr>
        <w:t>Student Name: Ionut-Marius Pantiru</w:t>
      </w:r>
    </w:p>
    <w:p w14:paraId="38EDD2E2" w14:textId="77777777" w:rsidR="002877A3" w:rsidRDefault="002877A3" w:rsidP="002877A3">
      <w:pPr>
        <w:spacing w:line="360" w:lineRule="auto"/>
        <w:jc w:val="center"/>
        <w:rPr>
          <w:rFonts w:cstheme="minorHAnsi"/>
          <w:b/>
          <w:bCs/>
          <w:sz w:val="28"/>
          <w:szCs w:val="28"/>
        </w:rPr>
      </w:pPr>
      <w:r>
        <w:rPr>
          <w:rFonts w:cstheme="minorHAnsi"/>
          <w:b/>
          <w:bCs/>
          <w:sz w:val="28"/>
          <w:szCs w:val="28"/>
        </w:rPr>
        <w:t>Student Id: 2213443</w:t>
      </w:r>
    </w:p>
    <w:p w14:paraId="16BFF3DB" w14:textId="77777777" w:rsidR="002877A3" w:rsidRDefault="002877A3" w:rsidP="002877A3">
      <w:pPr>
        <w:spacing w:line="360" w:lineRule="auto"/>
        <w:jc w:val="center"/>
        <w:rPr>
          <w:rFonts w:cstheme="minorHAnsi"/>
          <w:b/>
          <w:bCs/>
          <w:sz w:val="28"/>
          <w:szCs w:val="28"/>
        </w:rPr>
      </w:pPr>
      <w:r>
        <w:rPr>
          <w:rFonts w:cstheme="minorHAnsi"/>
          <w:b/>
          <w:bCs/>
          <w:sz w:val="28"/>
          <w:szCs w:val="28"/>
        </w:rPr>
        <w:t xml:space="preserve">Programme: </w:t>
      </w:r>
      <w:proofErr w:type="spellStart"/>
      <w:r>
        <w:rPr>
          <w:rFonts w:cstheme="minorHAnsi"/>
          <w:b/>
          <w:bCs/>
          <w:sz w:val="28"/>
          <w:szCs w:val="28"/>
        </w:rPr>
        <w:t>CertHE</w:t>
      </w:r>
      <w:proofErr w:type="spellEnd"/>
      <w:r>
        <w:rPr>
          <w:rFonts w:cstheme="minorHAnsi"/>
          <w:b/>
          <w:bCs/>
          <w:sz w:val="28"/>
          <w:szCs w:val="28"/>
        </w:rPr>
        <w:t xml:space="preserve"> Law and Legal Practice </w:t>
      </w:r>
    </w:p>
    <w:p w14:paraId="5CFAE489" w14:textId="77777777" w:rsidR="002877A3" w:rsidRDefault="002877A3" w:rsidP="002877A3">
      <w:pPr>
        <w:spacing w:line="360" w:lineRule="auto"/>
        <w:jc w:val="center"/>
        <w:rPr>
          <w:rFonts w:cstheme="minorHAnsi"/>
          <w:b/>
          <w:bCs/>
          <w:sz w:val="28"/>
          <w:szCs w:val="28"/>
        </w:rPr>
      </w:pPr>
      <w:r>
        <w:rPr>
          <w:rFonts w:cstheme="minorHAnsi"/>
          <w:b/>
          <w:bCs/>
          <w:sz w:val="28"/>
          <w:szCs w:val="28"/>
        </w:rPr>
        <w:t xml:space="preserve">Module: Legal Process </w:t>
      </w:r>
    </w:p>
    <w:p w14:paraId="201E3CA7" w14:textId="77777777" w:rsidR="002877A3" w:rsidRDefault="002877A3" w:rsidP="002877A3">
      <w:pPr>
        <w:spacing w:line="360" w:lineRule="auto"/>
        <w:jc w:val="center"/>
        <w:rPr>
          <w:rFonts w:cstheme="minorHAnsi"/>
          <w:b/>
          <w:bCs/>
          <w:sz w:val="28"/>
          <w:szCs w:val="28"/>
        </w:rPr>
      </w:pPr>
      <w:r>
        <w:rPr>
          <w:rFonts w:cstheme="minorHAnsi"/>
          <w:b/>
          <w:bCs/>
          <w:sz w:val="28"/>
          <w:szCs w:val="28"/>
        </w:rPr>
        <w:t>Module Code: BMPL4005, BMLW4006</w:t>
      </w:r>
    </w:p>
    <w:p w14:paraId="4309A730" w14:textId="77777777" w:rsidR="002877A3" w:rsidRPr="00B52A54" w:rsidRDefault="002877A3" w:rsidP="002877A3">
      <w:pPr>
        <w:spacing w:line="360" w:lineRule="auto"/>
        <w:jc w:val="center"/>
        <w:rPr>
          <w:rFonts w:cstheme="minorHAnsi"/>
          <w:b/>
          <w:bCs/>
          <w:sz w:val="28"/>
          <w:szCs w:val="28"/>
        </w:rPr>
      </w:pPr>
      <w:r>
        <w:rPr>
          <w:rFonts w:cstheme="minorHAnsi"/>
          <w:b/>
          <w:bCs/>
          <w:sz w:val="28"/>
          <w:szCs w:val="28"/>
        </w:rPr>
        <w:t xml:space="preserve">Assignment Title: </w:t>
      </w:r>
      <w:r w:rsidRPr="00B52A54">
        <w:rPr>
          <w:rFonts w:cstheme="minorHAnsi"/>
          <w:b/>
          <w:bCs/>
          <w:sz w:val="28"/>
          <w:szCs w:val="28"/>
        </w:rPr>
        <w:t>The English Legal System is based upon common law principles. Explain what this means.</w:t>
      </w:r>
    </w:p>
    <w:p w14:paraId="645FB214" w14:textId="77777777" w:rsidR="002877A3" w:rsidRDefault="002877A3" w:rsidP="002877A3">
      <w:pPr>
        <w:spacing w:line="360" w:lineRule="auto"/>
        <w:jc w:val="center"/>
        <w:rPr>
          <w:rFonts w:cstheme="minorHAnsi"/>
          <w:b/>
          <w:bCs/>
          <w:sz w:val="28"/>
          <w:szCs w:val="28"/>
        </w:rPr>
      </w:pPr>
      <w:r>
        <w:rPr>
          <w:rFonts w:cstheme="minorHAnsi"/>
          <w:b/>
          <w:bCs/>
          <w:sz w:val="28"/>
          <w:szCs w:val="28"/>
        </w:rPr>
        <w:t>Word Count: 1500 words</w:t>
      </w:r>
    </w:p>
    <w:p w14:paraId="463F9AB5" w14:textId="04ED9CFE" w:rsidR="002877A3" w:rsidRPr="004812CC" w:rsidRDefault="002877A3" w:rsidP="002877A3">
      <w:pPr>
        <w:rPr>
          <w:rFonts w:cstheme="minorHAnsi"/>
          <w:b/>
          <w:bCs/>
          <w:sz w:val="28"/>
          <w:szCs w:val="28"/>
        </w:rPr>
      </w:pPr>
      <w:r>
        <w:rPr>
          <w:rFonts w:cstheme="minorHAnsi"/>
          <w:b/>
          <w:bCs/>
          <w:sz w:val="28"/>
          <w:szCs w:val="28"/>
        </w:rPr>
        <w:br w:type="page"/>
      </w:r>
      <w:r w:rsidRPr="00B52A54">
        <w:rPr>
          <w:rFonts w:cstheme="minorHAnsi"/>
          <w:sz w:val="24"/>
          <w:szCs w:val="24"/>
        </w:rPr>
        <w:lastRenderedPageBreak/>
        <w:t xml:space="preserve">Dainow (1967, p. 420) describes a legal system as “a legal organism: it breathes, it evolves, it is part of the life of the people for whom it functions”.  The common law principles on which the English Legal System is based perform these functions. The common law system has at its core law declared by judges which </w:t>
      </w:r>
      <w:r w:rsidR="007136E7">
        <w:rPr>
          <w:rFonts w:cstheme="minorHAnsi"/>
          <w:sz w:val="24"/>
          <w:szCs w:val="24"/>
        </w:rPr>
        <w:t>are</w:t>
      </w:r>
      <w:r w:rsidRPr="00B52A54">
        <w:rPr>
          <w:rFonts w:cstheme="minorHAnsi"/>
          <w:sz w:val="24"/>
          <w:szCs w:val="24"/>
        </w:rPr>
        <w:t xml:space="preserve"> governed mainly by precedent.  Sir Philip Sales (2019, p. 58) comments that the common law system “is not a final codification of legal rules, but rather a set of procedures for continually adapting some broad principles to novel circumstances”. It is clear that the common law system is a flexible one, not relying on </w:t>
      </w:r>
      <w:r w:rsidR="007136E7">
        <w:rPr>
          <w:rFonts w:cstheme="minorHAnsi"/>
          <w:sz w:val="24"/>
          <w:szCs w:val="24"/>
        </w:rPr>
        <w:t>conditions</w:t>
      </w:r>
      <w:r w:rsidRPr="00B52A54">
        <w:rPr>
          <w:rFonts w:cstheme="minorHAnsi"/>
          <w:sz w:val="24"/>
          <w:szCs w:val="24"/>
        </w:rPr>
        <w:t xml:space="preserve">, especially in the English Legal System, unlike its civil law system counterpart. The civil law system differs in many ways </w:t>
      </w:r>
      <w:r w:rsidR="007136E7">
        <w:rPr>
          <w:rFonts w:cstheme="minorHAnsi"/>
          <w:sz w:val="24"/>
          <w:szCs w:val="24"/>
        </w:rPr>
        <w:t>from</w:t>
      </w:r>
      <w:r w:rsidRPr="00B52A54">
        <w:rPr>
          <w:rFonts w:cstheme="minorHAnsi"/>
          <w:sz w:val="24"/>
          <w:szCs w:val="24"/>
        </w:rPr>
        <w:t xml:space="preserve"> the common law one in terms of its history and its core principles and practices. </w:t>
      </w:r>
    </w:p>
    <w:p w14:paraId="111EEBBF" w14:textId="4AF8D5E2" w:rsidR="002877A3" w:rsidRPr="00B52A54" w:rsidRDefault="002877A3" w:rsidP="002877A3">
      <w:pPr>
        <w:spacing w:line="360" w:lineRule="auto"/>
        <w:rPr>
          <w:rFonts w:cstheme="minorHAnsi"/>
          <w:sz w:val="24"/>
          <w:szCs w:val="24"/>
        </w:rPr>
      </w:pPr>
      <w:r w:rsidRPr="00B52A54">
        <w:rPr>
          <w:rFonts w:cstheme="minorHAnsi"/>
          <w:sz w:val="24"/>
          <w:szCs w:val="24"/>
        </w:rPr>
        <w:t xml:space="preserve">The common law system is based on judges’ decisions and interpretation of the law which is derived from custom and precedent </w:t>
      </w:r>
      <w:r w:rsidRPr="00902408">
        <w:rPr>
          <w:rFonts w:cstheme="minorHAnsi"/>
          <w:sz w:val="24"/>
          <w:szCs w:val="24"/>
        </w:rPr>
        <w:t>(ICLR, n.d.)</w:t>
      </w:r>
      <w:r>
        <w:rPr>
          <w:rFonts w:cstheme="minorHAnsi"/>
          <w:sz w:val="24"/>
          <w:szCs w:val="24"/>
        </w:rPr>
        <w:t xml:space="preserve">. </w:t>
      </w:r>
      <w:r w:rsidRPr="00B52A54">
        <w:rPr>
          <w:rFonts w:cstheme="minorHAnsi"/>
          <w:sz w:val="24"/>
          <w:szCs w:val="24"/>
        </w:rPr>
        <w:t xml:space="preserve">The range of rules and laws on which judges can pass decisions are substantive rules (all categories of public and private law) and procedural rules (legal processes). Nevertheless, common law can be superseded or replaced by legislation as Parliamentary Acts have supremacy over </w:t>
      </w:r>
      <w:r w:rsidR="007136E7">
        <w:rPr>
          <w:rFonts w:cstheme="minorHAnsi"/>
          <w:sz w:val="24"/>
          <w:szCs w:val="24"/>
        </w:rPr>
        <w:t xml:space="preserve">the </w:t>
      </w:r>
      <w:r w:rsidRPr="00B52A54">
        <w:rPr>
          <w:rFonts w:cstheme="minorHAnsi"/>
          <w:sz w:val="24"/>
          <w:szCs w:val="24"/>
        </w:rPr>
        <w:t xml:space="preserve">common law. An example of this in action </w:t>
      </w:r>
      <w:r w:rsidR="007136E7">
        <w:rPr>
          <w:rFonts w:cstheme="minorHAnsi"/>
          <w:sz w:val="24"/>
          <w:szCs w:val="24"/>
        </w:rPr>
        <w:t>is</w:t>
      </w:r>
      <w:r w:rsidRPr="00B52A54">
        <w:rPr>
          <w:rFonts w:cstheme="minorHAnsi"/>
          <w:sz w:val="24"/>
          <w:szCs w:val="24"/>
        </w:rPr>
        <w:t xml:space="preserve"> the offences of common assault and battery. These were initially defined </w:t>
      </w:r>
      <w:r w:rsidR="007136E7">
        <w:rPr>
          <w:rFonts w:cstheme="minorHAnsi"/>
          <w:sz w:val="24"/>
          <w:szCs w:val="24"/>
        </w:rPr>
        <w:t>in</w:t>
      </w:r>
      <w:r w:rsidRPr="00B52A54">
        <w:rPr>
          <w:rFonts w:cstheme="minorHAnsi"/>
          <w:sz w:val="24"/>
          <w:szCs w:val="24"/>
        </w:rPr>
        <w:t xml:space="preserve"> common law and their existence was later confirmed with the Criminal Justice Act 1988. The supremacy of </w:t>
      </w:r>
      <w:r w:rsidR="007136E7">
        <w:rPr>
          <w:rFonts w:cstheme="minorHAnsi"/>
          <w:sz w:val="24"/>
          <w:szCs w:val="24"/>
        </w:rPr>
        <w:t>statutes</w:t>
      </w:r>
      <w:r w:rsidRPr="00B52A54">
        <w:rPr>
          <w:rFonts w:cstheme="minorHAnsi"/>
          <w:sz w:val="24"/>
          <w:szCs w:val="24"/>
        </w:rPr>
        <w:t xml:space="preserve"> over common law has resulted in a division of views. The first view is that of a negative social proposition focused on how statutes block the development of common law (Sales, 2019, p. 62). For instance, there is a limit to the extent to which judges can reform an outdated law, thus blocking the development of common law. The second view is that of a positive social proposition that suggests statutes point common law in the direction of public interest and in the direction </w:t>
      </w:r>
      <w:r w:rsidR="007136E7">
        <w:rPr>
          <w:rFonts w:cstheme="minorHAnsi"/>
          <w:sz w:val="24"/>
          <w:szCs w:val="24"/>
        </w:rPr>
        <w:t xml:space="preserve">in </w:t>
      </w:r>
      <w:r w:rsidRPr="00B52A54">
        <w:rPr>
          <w:rFonts w:cstheme="minorHAnsi"/>
          <w:sz w:val="24"/>
          <w:szCs w:val="24"/>
        </w:rPr>
        <w:t xml:space="preserve">which the law should be developed (Sales, 2019, p.62). Regardless of either view, through the doctrine of binding precedent and strong common legal culture, the common law system has adopted strategies to address the problem of chaos and lack of clarity in an uncodified and ever-changing system (Sales, 2019, p. 58). </w:t>
      </w:r>
    </w:p>
    <w:p w14:paraId="6A46B7A1" w14:textId="49F486D2" w:rsidR="002877A3" w:rsidRPr="00B52A54" w:rsidRDefault="002877A3" w:rsidP="002877A3">
      <w:pPr>
        <w:spacing w:line="360" w:lineRule="auto"/>
        <w:rPr>
          <w:rFonts w:cstheme="minorHAnsi"/>
          <w:sz w:val="24"/>
          <w:szCs w:val="24"/>
        </w:rPr>
      </w:pPr>
      <w:r w:rsidRPr="00B52A54">
        <w:rPr>
          <w:rFonts w:cstheme="minorHAnsi"/>
          <w:sz w:val="24"/>
          <w:szCs w:val="24"/>
        </w:rPr>
        <w:t>The emergence of the common law system has its origins in England, and as such</w:t>
      </w:r>
      <w:r w:rsidR="007136E7">
        <w:rPr>
          <w:rFonts w:cstheme="minorHAnsi"/>
          <w:sz w:val="24"/>
          <w:szCs w:val="24"/>
        </w:rPr>
        <w:t>,</w:t>
      </w:r>
      <w:r w:rsidRPr="00B52A54">
        <w:rPr>
          <w:rFonts w:cstheme="minorHAnsi"/>
          <w:sz w:val="24"/>
          <w:szCs w:val="24"/>
        </w:rPr>
        <w:t xml:space="preserve"> it is the current operating legal system in England and Wales. Disputes were settled and conducted on a local level, and it has resulted in various laws across England differing from </w:t>
      </w:r>
      <w:r w:rsidR="007136E7">
        <w:rPr>
          <w:rFonts w:cstheme="minorHAnsi"/>
          <w:sz w:val="24"/>
          <w:szCs w:val="24"/>
        </w:rPr>
        <w:t>one</w:t>
      </w:r>
      <w:r w:rsidRPr="00B52A54">
        <w:rPr>
          <w:rFonts w:cstheme="minorHAnsi"/>
          <w:sz w:val="24"/>
          <w:szCs w:val="24"/>
        </w:rPr>
        <w:t xml:space="preserve"> region to the next. The abundance of laws and practices resulted in confusion in matters </w:t>
      </w:r>
      <w:r w:rsidR="007136E7">
        <w:rPr>
          <w:rFonts w:cstheme="minorHAnsi"/>
          <w:sz w:val="24"/>
          <w:szCs w:val="24"/>
        </w:rPr>
        <w:t>in which</w:t>
      </w:r>
      <w:r w:rsidRPr="00B52A54">
        <w:rPr>
          <w:rFonts w:cstheme="minorHAnsi"/>
          <w:sz w:val="24"/>
          <w:szCs w:val="24"/>
        </w:rPr>
        <w:t xml:space="preserve"> the Kin</w:t>
      </w:r>
      <w:r>
        <w:rPr>
          <w:rFonts w:cstheme="minorHAnsi"/>
          <w:sz w:val="24"/>
          <w:szCs w:val="24"/>
        </w:rPr>
        <w:t>g</w:t>
      </w:r>
      <w:r w:rsidRPr="00B52A54">
        <w:rPr>
          <w:rFonts w:cstheme="minorHAnsi"/>
          <w:sz w:val="24"/>
          <w:szCs w:val="24"/>
        </w:rPr>
        <w:t xml:space="preserve"> would be involved. As a result of this, King Henry II in the 12</w:t>
      </w:r>
      <w:r w:rsidRPr="00B52A54">
        <w:rPr>
          <w:rFonts w:cstheme="minorHAnsi"/>
          <w:sz w:val="24"/>
          <w:szCs w:val="24"/>
          <w:vertAlign w:val="superscript"/>
        </w:rPr>
        <w:t>th</w:t>
      </w:r>
      <w:r w:rsidRPr="00B52A54">
        <w:rPr>
          <w:rFonts w:cstheme="minorHAnsi"/>
          <w:sz w:val="24"/>
          <w:szCs w:val="24"/>
        </w:rPr>
        <w:t xml:space="preserve"> century ordered the consolidation of the laws throughout the country. This has resulted in the establishment of general norms which were common </w:t>
      </w:r>
      <w:r w:rsidR="007136E7">
        <w:rPr>
          <w:rFonts w:cstheme="minorHAnsi"/>
          <w:sz w:val="24"/>
          <w:szCs w:val="24"/>
        </w:rPr>
        <w:t>throughout</w:t>
      </w:r>
      <w:r w:rsidRPr="00B52A54">
        <w:rPr>
          <w:rFonts w:cstheme="minorHAnsi"/>
          <w:sz w:val="24"/>
          <w:szCs w:val="24"/>
        </w:rPr>
        <w:t xml:space="preserve"> the country, thus the name of common law. </w:t>
      </w:r>
      <w:r w:rsidRPr="00B52A54">
        <w:rPr>
          <w:rFonts w:cstheme="minorHAnsi"/>
          <w:sz w:val="24"/>
          <w:szCs w:val="24"/>
        </w:rPr>
        <w:lastRenderedPageBreak/>
        <w:t xml:space="preserve">The consolidation of legal norms throughout the country has resulted in firm uniform rules and the first basis of uniformity in the legal order (Dainow, 1967, p. 422). Whilst not as old as its counterpart which was established during Roman times, the common law system is one which is well in effect in the modern day. A prime example of the common law is the rule of duty of care which arises in my private law matters in England and Wales. Lord Atkin established the need for duty of care in </w:t>
      </w:r>
      <w:r w:rsidRPr="00B52A54">
        <w:rPr>
          <w:rFonts w:cstheme="minorHAnsi"/>
          <w:i/>
          <w:iCs/>
          <w:sz w:val="24"/>
          <w:szCs w:val="24"/>
        </w:rPr>
        <w:t>Donoghue v Stevenson</w:t>
      </w:r>
      <w:r w:rsidRPr="00B52A54">
        <w:rPr>
          <w:rFonts w:cstheme="minorHAnsi"/>
          <w:sz w:val="24"/>
          <w:szCs w:val="24"/>
        </w:rPr>
        <w:t xml:space="preserve"> (1932) in cases of personal injury and property damage. This is called ‘the neighbour test’ and it is used when there is a need to establish a duty of care between parties. The need for a duty of care and the test on which it shall be established has been solely developed by the courts and judges, and it is applied based on precedent in legal matters throughout England and Wales. This shows the influence judges have on the common law and that they are the core of such a legal system. </w:t>
      </w:r>
    </w:p>
    <w:p w14:paraId="35FF9300" w14:textId="2E0815FD" w:rsidR="002877A3" w:rsidRPr="00B52A54" w:rsidRDefault="002877A3" w:rsidP="002877A3">
      <w:pPr>
        <w:spacing w:line="360" w:lineRule="auto"/>
        <w:rPr>
          <w:rFonts w:cstheme="minorHAnsi"/>
          <w:sz w:val="24"/>
          <w:szCs w:val="24"/>
        </w:rPr>
      </w:pPr>
      <w:r w:rsidRPr="00B52A54">
        <w:rPr>
          <w:rFonts w:cstheme="minorHAnsi"/>
          <w:sz w:val="24"/>
          <w:szCs w:val="24"/>
        </w:rPr>
        <w:t xml:space="preserve">On the other side of the spectrum, there is the civil law legal system. This system has been developed under Roman law, but there has been widespread throughout Europe in the eighteenth and nineteenth </w:t>
      </w:r>
      <w:r w:rsidR="007136E7">
        <w:rPr>
          <w:rFonts w:cstheme="minorHAnsi"/>
          <w:sz w:val="24"/>
          <w:szCs w:val="24"/>
        </w:rPr>
        <w:t>centuries</w:t>
      </w:r>
      <w:r w:rsidRPr="00B52A54">
        <w:rPr>
          <w:rFonts w:cstheme="minorHAnsi"/>
          <w:sz w:val="24"/>
          <w:szCs w:val="24"/>
        </w:rPr>
        <w:t xml:space="preserve">. The civil law system does not rely on judge-made law, but it has at its core a codified system </w:t>
      </w:r>
      <w:r w:rsidR="007136E7">
        <w:rPr>
          <w:rFonts w:cstheme="minorHAnsi"/>
          <w:sz w:val="24"/>
          <w:szCs w:val="24"/>
        </w:rPr>
        <w:t xml:space="preserve">of </w:t>
      </w:r>
      <w:r w:rsidRPr="00B52A54">
        <w:rPr>
          <w:rFonts w:cstheme="minorHAnsi"/>
          <w:sz w:val="24"/>
          <w:szCs w:val="24"/>
        </w:rPr>
        <w:t xml:space="preserve">law. The system has a written constitution of written and specific codes which are to be applied by the courts.  As a result of this, legislative enactments are the only form of law considered binding for all, and there is little scope </w:t>
      </w:r>
      <w:r w:rsidR="007136E7">
        <w:rPr>
          <w:rFonts w:cstheme="minorHAnsi"/>
          <w:sz w:val="24"/>
          <w:szCs w:val="24"/>
        </w:rPr>
        <w:t>for</w:t>
      </w:r>
      <w:r w:rsidRPr="00B52A54">
        <w:rPr>
          <w:rFonts w:cstheme="minorHAnsi"/>
          <w:sz w:val="24"/>
          <w:szCs w:val="24"/>
        </w:rPr>
        <w:t xml:space="preserve"> judge-made law.</w:t>
      </w:r>
    </w:p>
    <w:p w14:paraId="28B735FA" w14:textId="318E1AD2" w:rsidR="002877A3" w:rsidRPr="00B52A54" w:rsidRDefault="002877A3" w:rsidP="002877A3">
      <w:pPr>
        <w:spacing w:line="360" w:lineRule="auto"/>
        <w:rPr>
          <w:rFonts w:cstheme="minorHAnsi"/>
          <w:sz w:val="24"/>
          <w:szCs w:val="24"/>
        </w:rPr>
      </w:pPr>
      <w:r w:rsidRPr="00B52A54">
        <w:rPr>
          <w:rFonts w:cstheme="minorHAnsi"/>
          <w:sz w:val="24"/>
          <w:szCs w:val="24"/>
        </w:rPr>
        <w:t xml:space="preserve">When </w:t>
      </w:r>
      <w:r w:rsidR="007136E7">
        <w:rPr>
          <w:rFonts w:cstheme="minorHAnsi"/>
          <w:sz w:val="24"/>
          <w:szCs w:val="24"/>
        </w:rPr>
        <w:t>analysing</w:t>
      </w:r>
      <w:r w:rsidRPr="00B52A54">
        <w:rPr>
          <w:rFonts w:cstheme="minorHAnsi"/>
          <w:sz w:val="24"/>
          <w:szCs w:val="24"/>
        </w:rPr>
        <w:t xml:space="preserve"> the two legal systems, the main comparison is on their basis: legislation vs judicial decisions. However, Dainow (1967, p. 435) argues that throughout </w:t>
      </w:r>
      <w:r w:rsidR="007136E7">
        <w:rPr>
          <w:rFonts w:cstheme="minorHAnsi"/>
          <w:sz w:val="24"/>
          <w:szCs w:val="24"/>
        </w:rPr>
        <w:t xml:space="preserve">the </w:t>
      </w:r>
      <w:r w:rsidRPr="00B52A54">
        <w:rPr>
          <w:rFonts w:cstheme="minorHAnsi"/>
          <w:sz w:val="24"/>
          <w:szCs w:val="24"/>
        </w:rPr>
        <w:t>time the two system</w:t>
      </w:r>
      <w:r>
        <w:rPr>
          <w:rFonts w:cstheme="minorHAnsi"/>
          <w:sz w:val="24"/>
          <w:szCs w:val="24"/>
        </w:rPr>
        <w:t>s</w:t>
      </w:r>
      <w:r w:rsidRPr="00B52A54">
        <w:rPr>
          <w:rFonts w:cstheme="minorHAnsi"/>
          <w:sz w:val="24"/>
          <w:szCs w:val="24"/>
        </w:rPr>
        <w:t xml:space="preserve"> have adapted features into their system from the other, but he also </w:t>
      </w:r>
      <w:r>
        <w:rPr>
          <w:rFonts w:cstheme="minorHAnsi"/>
          <w:sz w:val="24"/>
          <w:szCs w:val="24"/>
        </w:rPr>
        <w:t xml:space="preserve">states </w:t>
      </w:r>
      <w:r w:rsidRPr="00B52A54">
        <w:rPr>
          <w:rFonts w:cstheme="minorHAnsi"/>
          <w:sz w:val="24"/>
          <w:szCs w:val="24"/>
        </w:rPr>
        <w:t>that such adaptations are slight and do not have the effect of altering the fundamentals of the system.</w:t>
      </w:r>
    </w:p>
    <w:p w14:paraId="179E7C88" w14:textId="22BF4686" w:rsidR="002877A3" w:rsidRPr="00B52A54" w:rsidRDefault="002877A3" w:rsidP="002877A3">
      <w:pPr>
        <w:spacing w:line="360" w:lineRule="auto"/>
        <w:rPr>
          <w:rFonts w:cstheme="minorHAnsi"/>
          <w:sz w:val="24"/>
          <w:szCs w:val="24"/>
        </w:rPr>
      </w:pPr>
      <w:r w:rsidRPr="00B52A54">
        <w:rPr>
          <w:rFonts w:cstheme="minorHAnsi"/>
          <w:sz w:val="24"/>
          <w:szCs w:val="24"/>
        </w:rPr>
        <w:t xml:space="preserve">As </w:t>
      </w:r>
      <w:r w:rsidR="007136E7">
        <w:rPr>
          <w:rFonts w:cstheme="minorHAnsi"/>
          <w:sz w:val="24"/>
          <w:szCs w:val="24"/>
        </w:rPr>
        <w:t>above mentioned</w:t>
      </w:r>
      <w:r w:rsidRPr="00B52A54">
        <w:rPr>
          <w:rFonts w:cstheme="minorHAnsi"/>
          <w:sz w:val="24"/>
          <w:szCs w:val="24"/>
        </w:rPr>
        <w:t xml:space="preserve">, at the core of a civil law system is legislation which is codified in a systematic manner. The way this is executed is through a civil code. This is a book </w:t>
      </w:r>
      <w:r w:rsidR="007136E7">
        <w:rPr>
          <w:rFonts w:cstheme="minorHAnsi"/>
          <w:sz w:val="24"/>
          <w:szCs w:val="24"/>
        </w:rPr>
        <w:t>that</w:t>
      </w:r>
      <w:r w:rsidRPr="00B52A54">
        <w:rPr>
          <w:rFonts w:cstheme="minorHAnsi"/>
          <w:sz w:val="24"/>
          <w:szCs w:val="24"/>
        </w:rPr>
        <w:t xml:space="preserve"> contains the laws that regulate relationships between individuals in a body of general principles meticulously arranged and closely incorporated. Overall, it is a comprehensive document, and it encompasses the entire subject matter in principles. In this process, there is high importance of preparatory works and the draft men’s comments, as well as parliamentary discussion in connection with the original formulation. </w:t>
      </w:r>
    </w:p>
    <w:p w14:paraId="361C368A" w14:textId="1E623EB1" w:rsidR="002877A3" w:rsidRPr="00B52A54" w:rsidRDefault="002877A3" w:rsidP="002877A3">
      <w:pPr>
        <w:spacing w:line="360" w:lineRule="auto"/>
        <w:rPr>
          <w:rFonts w:cstheme="minorHAnsi"/>
          <w:sz w:val="24"/>
          <w:szCs w:val="24"/>
        </w:rPr>
      </w:pPr>
      <w:r w:rsidRPr="00B52A54">
        <w:rPr>
          <w:rFonts w:cstheme="minorHAnsi"/>
          <w:sz w:val="24"/>
          <w:szCs w:val="24"/>
        </w:rPr>
        <w:lastRenderedPageBreak/>
        <w:t>The common law system is highly different from the civil law one in this regard. At the core of common law</w:t>
      </w:r>
      <w:r w:rsidR="007136E7">
        <w:rPr>
          <w:rFonts w:cstheme="minorHAnsi"/>
          <w:sz w:val="24"/>
          <w:szCs w:val="24"/>
        </w:rPr>
        <w:t>,</w:t>
      </w:r>
      <w:r w:rsidRPr="00B52A54">
        <w:rPr>
          <w:rFonts w:cstheme="minorHAnsi"/>
          <w:sz w:val="24"/>
          <w:szCs w:val="24"/>
        </w:rPr>
        <w:t xml:space="preserve"> there are all the rules that could be generalised out of judicial decisions. It is an ever-growing area because as new problems arise, new cases arise which lead to </w:t>
      </w:r>
      <w:r w:rsidR="007136E7">
        <w:rPr>
          <w:rFonts w:cstheme="minorHAnsi"/>
          <w:sz w:val="24"/>
          <w:szCs w:val="24"/>
        </w:rPr>
        <w:t xml:space="preserve">the </w:t>
      </w:r>
      <w:r w:rsidRPr="00B52A54">
        <w:rPr>
          <w:rFonts w:cstheme="minorHAnsi"/>
          <w:sz w:val="24"/>
          <w:szCs w:val="24"/>
        </w:rPr>
        <w:t xml:space="preserve">further development of the common law. This system can be compared to a non-exhaustive list onto which new rules, tests, etc. can always be added or amended. Whilst in a civil law system, the codified legislation and its works are binding and ensure the law is applied in </w:t>
      </w:r>
      <w:r w:rsidR="007136E7">
        <w:rPr>
          <w:rFonts w:cstheme="minorHAnsi"/>
          <w:sz w:val="24"/>
          <w:szCs w:val="24"/>
        </w:rPr>
        <w:t>a</w:t>
      </w:r>
      <w:r w:rsidRPr="00B52A54">
        <w:rPr>
          <w:rFonts w:cstheme="minorHAnsi"/>
          <w:sz w:val="24"/>
          <w:szCs w:val="24"/>
        </w:rPr>
        <w:t xml:space="preserve"> uniform manner</w:t>
      </w:r>
      <w:r>
        <w:rPr>
          <w:rFonts w:cstheme="minorHAnsi"/>
          <w:sz w:val="24"/>
          <w:szCs w:val="24"/>
        </w:rPr>
        <w:t xml:space="preserve"> - in </w:t>
      </w:r>
      <w:r w:rsidRPr="00B52A54">
        <w:rPr>
          <w:rFonts w:cstheme="minorHAnsi"/>
          <w:sz w:val="24"/>
          <w:szCs w:val="24"/>
        </w:rPr>
        <w:t xml:space="preserve">the English Legal System the doctrine of precedent has this function. </w:t>
      </w:r>
    </w:p>
    <w:p w14:paraId="73650A65" w14:textId="0FE998B4" w:rsidR="002877A3" w:rsidRPr="00B52A54" w:rsidRDefault="002877A3" w:rsidP="002877A3">
      <w:pPr>
        <w:spacing w:line="360" w:lineRule="auto"/>
        <w:rPr>
          <w:rFonts w:cstheme="minorHAnsi"/>
          <w:sz w:val="24"/>
          <w:szCs w:val="24"/>
        </w:rPr>
      </w:pPr>
      <w:r w:rsidRPr="00B52A54">
        <w:rPr>
          <w:rFonts w:cstheme="minorHAnsi"/>
          <w:sz w:val="24"/>
          <w:szCs w:val="24"/>
        </w:rPr>
        <w:t>The doctrine of precedent require</w:t>
      </w:r>
      <w:r>
        <w:rPr>
          <w:rFonts w:cstheme="minorHAnsi"/>
          <w:sz w:val="24"/>
          <w:szCs w:val="24"/>
        </w:rPr>
        <w:t>s</w:t>
      </w:r>
      <w:r w:rsidRPr="00B52A54">
        <w:rPr>
          <w:rFonts w:cstheme="minorHAnsi"/>
          <w:sz w:val="24"/>
          <w:szCs w:val="24"/>
        </w:rPr>
        <w:t xml:space="preserve"> lower courts to take account and follow the decisions made by higher courts in cases of similar nature. To be more specific, what is binding under the doctrine is the </w:t>
      </w:r>
      <w:r w:rsidRPr="00B52A54">
        <w:rPr>
          <w:rFonts w:cstheme="minorHAnsi"/>
          <w:i/>
          <w:iCs/>
          <w:sz w:val="24"/>
          <w:szCs w:val="24"/>
        </w:rPr>
        <w:t xml:space="preserve">ratio </w:t>
      </w:r>
      <w:proofErr w:type="spellStart"/>
      <w:r w:rsidRPr="00B52A54">
        <w:rPr>
          <w:rFonts w:cstheme="minorHAnsi"/>
          <w:i/>
          <w:iCs/>
          <w:sz w:val="24"/>
          <w:szCs w:val="24"/>
        </w:rPr>
        <w:t>decendi</w:t>
      </w:r>
      <w:proofErr w:type="spellEnd"/>
      <w:r w:rsidRPr="00B52A54">
        <w:rPr>
          <w:rFonts w:cstheme="minorHAnsi"/>
          <w:sz w:val="24"/>
          <w:szCs w:val="24"/>
        </w:rPr>
        <w:t xml:space="preserve"> of the </w:t>
      </w:r>
      <w:r w:rsidR="007136E7">
        <w:rPr>
          <w:rFonts w:cstheme="minorHAnsi"/>
          <w:sz w:val="24"/>
          <w:szCs w:val="24"/>
        </w:rPr>
        <w:t>judgment</w:t>
      </w:r>
      <w:r w:rsidRPr="00B52A54">
        <w:rPr>
          <w:rFonts w:cstheme="minorHAnsi"/>
          <w:sz w:val="24"/>
          <w:szCs w:val="24"/>
        </w:rPr>
        <w:t xml:space="preserve">, not the </w:t>
      </w:r>
      <w:r w:rsidRPr="00B52A54">
        <w:rPr>
          <w:rFonts w:cstheme="minorHAnsi"/>
          <w:i/>
          <w:iCs/>
          <w:sz w:val="24"/>
          <w:szCs w:val="24"/>
        </w:rPr>
        <w:t>obiter dicta</w:t>
      </w:r>
      <w:r w:rsidRPr="00B52A54">
        <w:rPr>
          <w:rFonts w:cstheme="minorHAnsi"/>
          <w:sz w:val="24"/>
          <w:szCs w:val="24"/>
        </w:rPr>
        <w:t xml:space="preserve">. The doctrine is what ensures that the common law system is executed </w:t>
      </w:r>
      <w:r w:rsidR="007136E7">
        <w:rPr>
          <w:rFonts w:cstheme="minorHAnsi"/>
          <w:sz w:val="24"/>
          <w:szCs w:val="24"/>
        </w:rPr>
        <w:t>with</w:t>
      </w:r>
      <w:r w:rsidRPr="00B52A54">
        <w:rPr>
          <w:rFonts w:cstheme="minorHAnsi"/>
          <w:sz w:val="24"/>
          <w:szCs w:val="24"/>
        </w:rPr>
        <w:t xml:space="preserve"> stability and continuity. The civil law system operated under comprehensive documents with carefully arranged and incorporated principles which allows for little scope for judge-made law. The common law system is not a codified system, and this can mean that legal practitioners and judges do spend a large amount of time trying to find precedent, or to identify the </w:t>
      </w:r>
      <w:r w:rsidRPr="00B52A54">
        <w:rPr>
          <w:rFonts w:cstheme="minorHAnsi"/>
          <w:i/>
          <w:iCs/>
          <w:sz w:val="24"/>
          <w:szCs w:val="24"/>
        </w:rPr>
        <w:t xml:space="preserve">ratio </w:t>
      </w:r>
      <w:proofErr w:type="spellStart"/>
      <w:r w:rsidRPr="00B52A54">
        <w:rPr>
          <w:rFonts w:cstheme="minorHAnsi"/>
          <w:i/>
          <w:iCs/>
          <w:sz w:val="24"/>
          <w:szCs w:val="24"/>
        </w:rPr>
        <w:t>decendi</w:t>
      </w:r>
      <w:proofErr w:type="spellEnd"/>
      <w:r w:rsidRPr="00B52A54">
        <w:rPr>
          <w:rFonts w:cstheme="minorHAnsi"/>
          <w:sz w:val="24"/>
          <w:szCs w:val="24"/>
        </w:rPr>
        <w:t>, to support their cases and points</w:t>
      </w:r>
      <w:r w:rsidR="007136E7">
        <w:rPr>
          <w:rFonts w:cstheme="minorHAnsi"/>
          <w:sz w:val="24"/>
          <w:szCs w:val="24"/>
        </w:rPr>
        <w:t>. In contrast, in</w:t>
      </w:r>
      <w:r w:rsidRPr="00B52A54">
        <w:rPr>
          <w:rFonts w:cstheme="minorHAnsi"/>
          <w:sz w:val="24"/>
          <w:szCs w:val="24"/>
        </w:rPr>
        <w:t xml:space="preserve"> a civil law system</w:t>
      </w:r>
      <w:r w:rsidR="007136E7">
        <w:rPr>
          <w:rFonts w:cstheme="minorHAnsi"/>
          <w:sz w:val="24"/>
          <w:szCs w:val="24"/>
        </w:rPr>
        <w:t>,</w:t>
      </w:r>
      <w:r w:rsidRPr="00B52A54">
        <w:rPr>
          <w:rFonts w:cstheme="minorHAnsi"/>
          <w:sz w:val="24"/>
          <w:szCs w:val="24"/>
        </w:rPr>
        <w:t xml:space="preserve"> all this information is accessible under one document. </w:t>
      </w:r>
    </w:p>
    <w:p w14:paraId="064CC2BA" w14:textId="77777777" w:rsidR="002877A3" w:rsidRPr="00B52A54" w:rsidRDefault="002877A3" w:rsidP="002877A3">
      <w:pPr>
        <w:spacing w:line="360" w:lineRule="auto"/>
        <w:rPr>
          <w:rFonts w:cstheme="minorHAnsi"/>
          <w:sz w:val="24"/>
          <w:szCs w:val="24"/>
        </w:rPr>
      </w:pPr>
      <w:r w:rsidRPr="00B52A54">
        <w:rPr>
          <w:rFonts w:cstheme="minorHAnsi"/>
          <w:sz w:val="24"/>
          <w:szCs w:val="24"/>
        </w:rPr>
        <w:t xml:space="preserve">There is high debate regarding the comprehensiveness of the common law system. Lord Reid has compared the common law system to “a fine hand-crafted pair of shoes, perfectly fitted for the individual case, while rules laid down in legislation were like mass-produced goods, cheap to produce but not always fitting very well” (Sales, 2019, p. 59). Nevertheless, Lavery (2010) and legal practitioners do call for the codification of criminal law, criticising politicians for using criminal law as a way to further their political agenda, and that the flexibility of the common law allows them to do this freely. Sale’s argument (2019, p.58) that the common law “owes its longevity to the fact that it is not a final codification of legal rules” can be used as a rebuttal to </w:t>
      </w:r>
      <w:proofErr w:type="spellStart"/>
      <w:r w:rsidRPr="00B52A54">
        <w:rPr>
          <w:rFonts w:cstheme="minorHAnsi"/>
          <w:sz w:val="24"/>
          <w:szCs w:val="24"/>
        </w:rPr>
        <w:t>Lavery’s</w:t>
      </w:r>
      <w:proofErr w:type="spellEnd"/>
      <w:r w:rsidRPr="00B52A54">
        <w:rPr>
          <w:rFonts w:cstheme="minorHAnsi"/>
          <w:sz w:val="24"/>
          <w:szCs w:val="24"/>
        </w:rPr>
        <w:t xml:space="preserve"> arguments because to codify the common law would be to alter its fundamental principles and create a massive shift towards a civil law system.</w:t>
      </w:r>
    </w:p>
    <w:p w14:paraId="49D6FAC3" w14:textId="38AC0F25" w:rsidR="002877A3" w:rsidRDefault="002877A3" w:rsidP="002877A3">
      <w:pPr>
        <w:spacing w:line="360" w:lineRule="auto"/>
        <w:rPr>
          <w:rFonts w:cstheme="minorHAnsi"/>
          <w:sz w:val="24"/>
          <w:szCs w:val="24"/>
        </w:rPr>
      </w:pPr>
      <w:r w:rsidRPr="00B52A54">
        <w:rPr>
          <w:rFonts w:cstheme="minorHAnsi"/>
          <w:sz w:val="24"/>
          <w:szCs w:val="24"/>
        </w:rPr>
        <w:t xml:space="preserve">Common law has developed throughout centuries from mere local laws and regulations to a uniform body of common regulations and </w:t>
      </w:r>
      <w:r w:rsidR="007136E7">
        <w:rPr>
          <w:rFonts w:cstheme="minorHAnsi"/>
          <w:sz w:val="24"/>
          <w:szCs w:val="24"/>
        </w:rPr>
        <w:t>developed</w:t>
      </w:r>
      <w:r w:rsidRPr="00B52A54">
        <w:rPr>
          <w:rFonts w:cstheme="minorHAnsi"/>
          <w:sz w:val="24"/>
          <w:szCs w:val="24"/>
        </w:rPr>
        <w:t xml:space="preserve"> as the law of the land. It has ensured its stability and consistency through the doctrine of precedent, a very </w:t>
      </w:r>
      <w:r w:rsidR="007136E7">
        <w:rPr>
          <w:rFonts w:cstheme="minorHAnsi"/>
          <w:sz w:val="24"/>
          <w:szCs w:val="24"/>
        </w:rPr>
        <w:t>well-established</w:t>
      </w:r>
      <w:r w:rsidRPr="00B52A54">
        <w:rPr>
          <w:rFonts w:cstheme="minorHAnsi"/>
          <w:sz w:val="24"/>
          <w:szCs w:val="24"/>
        </w:rPr>
        <w:t xml:space="preserve"> </w:t>
      </w:r>
      <w:r w:rsidR="007136E7">
        <w:rPr>
          <w:rFonts w:cstheme="minorHAnsi"/>
          <w:sz w:val="24"/>
          <w:szCs w:val="24"/>
        </w:rPr>
        <w:lastRenderedPageBreak/>
        <w:t>principle</w:t>
      </w:r>
      <w:r w:rsidRPr="00B52A54">
        <w:rPr>
          <w:rFonts w:cstheme="minorHAnsi"/>
          <w:sz w:val="24"/>
          <w:szCs w:val="24"/>
        </w:rPr>
        <w:t xml:space="preserve"> in the common law system.  </w:t>
      </w:r>
      <w:r w:rsidR="007136E7" w:rsidRPr="007136E7">
        <w:rPr>
          <w:rFonts w:cstheme="minorHAnsi"/>
          <w:sz w:val="24"/>
          <w:szCs w:val="24"/>
        </w:rPr>
        <w:t xml:space="preserve">Judges' power to rule on certain legislation is limited in certain circumstances, but </w:t>
      </w:r>
      <w:r w:rsidRPr="00B52A54">
        <w:rPr>
          <w:rFonts w:cstheme="minorHAnsi"/>
          <w:sz w:val="24"/>
          <w:szCs w:val="24"/>
        </w:rPr>
        <w:t xml:space="preserve">judges are at the </w:t>
      </w:r>
      <w:r w:rsidR="007136E7">
        <w:rPr>
          <w:rFonts w:cstheme="minorHAnsi"/>
          <w:sz w:val="24"/>
          <w:szCs w:val="24"/>
        </w:rPr>
        <w:t>centre</w:t>
      </w:r>
      <w:r w:rsidRPr="00B52A54">
        <w:rPr>
          <w:rFonts w:cstheme="minorHAnsi"/>
          <w:sz w:val="24"/>
          <w:szCs w:val="24"/>
        </w:rPr>
        <w:t xml:space="preserve"> of developing the law and shifting it in a direction beneficial to society – a practice not seen in civil law systems. Overall, the principles on which the English Legal System is established ensure stability but also flexibility for its people and society.</w:t>
      </w:r>
    </w:p>
    <w:p w14:paraId="575EF696" w14:textId="77777777" w:rsidR="002877A3" w:rsidRDefault="002877A3" w:rsidP="002877A3">
      <w:pPr>
        <w:rPr>
          <w:rFonts w:cstheme="minorHAnsi"/>
          <w:sz w:val="24"/>
          <w:szCs w:val="24"/>
        </w:rPr>
      </w:pPr>
      <w:r>
        <w:rPr>
          <w:rFonts w:cstheme="minorHAnsi"/>
          <w:sz w:val="24"/>
          <w:szCs w:val="24"/>
        </w:rPr>
        <w:br w:type="page"/>
      </w:r>
    </w:p>
    <w:p w14:paraId="7126B9F9" w14:textId="77777777" w:rsidR="002877A3" w:rsidRPr="00B52A54" w:rsidRDefault="002877A3" w:rsidP="002877A3">
      <w:pPr>
        <w:spacing w:line="360" w:lineRule="auto"/>
        <w:rPr>
          <w:rFonts w:cstheme="minorHAnsi"/>
          <w:b/>
          <w:bCs/>
          <w:sz w:val="28"/>
          <w:szCs w:val="28"/>
        </w:rPr>
      </w:pPr>
      <w:r w:rsidRPr="00B52A54">
        <w:rPr>
          <w:rFonts w:cstheme="minorHAnsi"/>
          <w:b/>
          <w:bCs/>
          <w:sz w:val="28"/>
          <w:szCs w:val="28"/>
        </w:rPr>
        <w:lastRenderedPageBreak/>
        <w:t>Bibliography</w:t>
      </w:r>
    </w:p>
    <w:p w14:paraId="75B96B5B" w14:textId="77777777" w:rsidR="002877A3" w:rsidRPr="0003790E" w:rsidRDefault="002877A3" w:rsidP="002877A3">
      <w:pPr>
        <w:spacing w:line="360" w:lineRule="auto"/>
        <w:rPr>
          <w:rFonts w:cstheme="minorHAnsi"/>
          <w:sz w:val="24"/>
          <w:szCs w:val="24"/>
          <w:u w:val="single"/>
        </w:rPr>
      </w:pPr>
      <w:r w:rsidRPr="0003790E">
        <w:rPr>
          <w:rFonts w:cstheme="minorHAnsi"/>
          <w:sz w:val="24"/>
          <w:szCs w:val="24"/>
          <w:u w:val="single"/>
        </w:rPr>
        <w:t>Primary sources</w:t>
      </w:r>
    </w:p>
    <w:p w14:paraId="65588375" w14:textId="77777777" w:rsidR="002877A3" w:rsidRPr="00A76830" w:rsidRDefault="002877A3" w:rsidP="002877A3">
      <w:pPr>
        <w:spacing w:line="360" w:lineRule="auto"/>
        <w:rPr>
          <w:rFonts w:cstheme="minorHAnsi"/>
          <w:sz w:val="24"/>
          <w:szCs w:val="24"/>
        </w:rPr>
      </w:pPr>
      <w:r w:rsidRPr="00A76830">
        <w:rPr>
          <w:rFonts w:cstheme="minorHAnsi"/>
          <w:sz w:val="24"/>
          <w:szCs w:val="24"/>
        </w:rPr>
        <w:t>Criminal Justice Act 1988</w:t>
      </w:r>
    </w:p>
    <w:p w14:paraId="0FB81405" w14:textId="77777777" w:rsidR="002877A3" w:rsidRPr="00A76830" w:rsidRDefault="002877A3" w:rsidP="002877A3">
      <w:pPr>
        <w:spacing w:line="360" w:lineRule="auto"/>
        <w:rPr>
          <w:rFonts w:cstheme="minorHAnsi"/>
          <w:sz w:val="24"/>
          <w:szCs w:val="24"/>
        </w:rPr>
      </w:pPr>
      <w:r w:rsidRPr="00A76830">
        <w:rPr>
          <w:rFonts w:cstheme="minorHAnsi"/>
          <w:sz w:val="24"/>
          <w:szCs w:val="24"/>
        </w:rPr>
        <w:t>Donoghue v Stevenson (1932)</w:t>
      </w:r>
    </w:p>
    <w:p w14:paraId="23E4C89A" w14:textId="77777777" w:rsidR="002877A3" w:rsidRPr="0003790E" w:rsidRDefault="002877A3" w:rsidP="002877A3">
      <w:pPr>
        <w:spacing w:line="360" w:lineRule="auto"/>
        <w:rPr>
          <w:rFonts w:cstheme="minorHAnsi"/>
          <w:sz w:val="24"/>
          <w:szCs w:val="24"/>
          <w:u w:val="single"/>
        </w:rPr>
      </w:pPr>
      <w:r w:rsidRPr="0003790E">
        <w:rPr>
          <w:rFonts w:cstheme="minorHAnsi"/>
          <w:sz w:val="24"/>
          <w:szCs w:val="24"/>
          <w:u w:val="single"/>
        </w:rPr>
        <w:t xml:space="preserve">Secondary sources </w:t>
      </w:r>
    </w:p>
    <w:p w14:paraId="1AF08C0C" w14:textId="77777777" w:rsidR="002877A3" w:rsidRDefault="002877A3" w:rsidP="002877A3">
      <w:pPr>
        <w:pStyle w:val="NormalWeb"/>
        <w:spacing w:before="0" w:beforeAutospacing="0" w:after="240" w:afterAutospacing="0" w:line="360" w:lineRule="auto"/>
      </w:pPr>
      <w:r>
        <w:t xml:space="preserve">Cooke, R. (2004). The Road Ahead for the Common Law. </w:t>
      </w:r>
      <w:r>
        <w:rPr>
          <w:i/>
          <w:iCs/>
        </w:rPr>
        <w:t>International and Comparative Law Quarterly</w:t>
      </w:r>
      <w:r>
        <w:t xml:space="preserve">, 53(2), pp.273–285. </w:t>
      </w:r>
      <w:proofErr w:type="spellStart"/>
      <w:r>
        <w:t>doi:https</w:t>
      </w:r>
      <w:proofErr w:type="spellEnd"/>
      <w:r>
        <w:t>://doi.org/10.1093/</w:t>
      </w:r>
      <w:proofErr w:type="spellStart"/>
      <w:r>
        <w:t>iclq</w:t>
      </w:r>
      <w:proofErr w:type="spellEnd"/>
      <w:r>
        <w:t>/53.2.273.</w:t>
      </w:r>
    </w:p>
    <w:p w14:paraId="19396282" w14:textId="77777777" w:rsidR="002877A3" w:rsidRDefault="002877A3" w:rsidP="002877A3">
      <w:pPr>
        <w:pStyle w:val="NormalWeb"/>
        <w:spacing w:before="0" w:beforeAutospacing="0" w:after="240" w:afterAutospacing="0" w:line="360" w:lineRule="auto"/>
      </w:pPr>
      <w:r>
        <w:t xml:space="preserve">Dainow, J. (1967). The Civil Law and the Common Law: Some Points of Comparison. </w:t>
      </w:r>
      <w:r>
        <w:rPr>
          <w:i/>
          <w:iCs/>
        </w:rPr>
        <w:t>The American Journal of Comparative Law</w:t>
      </w:r>
      <w:r>
        <w:t xml:space="preserve">, 15(3), pp.419–435. </w:t>
      </w:r>
      <w:proofErr w:type="spellStart"/>
      <w:r>
        <w:t>doi:https</w:t>
      </w:r>
      <w:proofErr w:type="spellEnd"/>
      <w:r>
        <w:t>://doi.org/10.2307/838275.</w:t>
      </w:r>
    </w:p>
    <w:p w14:paraId="4984C6E7" w14:textId="77777777" w:rsidR="002877A3" w:rsidRDefault="002877A3" w:rsidP="002877A3">
      <w:pPr>
        <w:pStyle w:val="NormalWeb"/>
        <w:spacing w:before="0" w:beforeAutospacing="0" w:after="240" w:afterAutospacing="0" w:line="360" w:lineRule="auto"/>
      </w:pPr>
      <w:r>
        <w:t xml:space="preserve">ICLR (n.d.). </w:t>
      </w:r>
      <w:r>
        <w:rPr>
          <w:i/>
          <w:iCs/>
        </w:rPr>
        <w:t>The English legal system</w:t>
      </w:r>
      <w:r>
        <w:t>. [online] ICLR. Available at: https://www.iclr.co.uk/knowledge/topics/the-english-legal-system/#:~:text=The%20common%20law%20is%20the [Accessed 1 Mar. 2023].</w:t>
      </w:r>
    </w:p>
    <w:p w14:paraId="05CF762C" w14:textId="77777777" w:rsidR="002877A3" w:rsidRDefault="002877A3" w:rsidP="002877A3">
      <w:pPr>
        <w:pStyle w:val="NormalWeb"/>
        <w:spacing w:before="0" w:beforeAutospacing="0" w:after="240" w:afterAutospacing="0" w:line="360" w:lineRule="auto"/>
      </w:pPr>
      <w:r>
        <w:t xml:space="preserve">Lavery, J. (2010). Codification of the Criminal Law: An Attainable Ideal? </w:t>
      </w:r>
      <w:r>
        <w:rPr>
          <w:i/>
          <w:iCs/>
        </w:rPr>
        <w:t>The Journal of Criminal Law</w:t>
      </w:r>
      <w:r>
        <w:t xml:space="preserve">, 74(6), pp.557–578. </w:t>
      </w:r>
      <w:proofErr w:type="spellStart"/>
      <w:r>
        <w:t>doi:https</w:t>
      </w:r>
      <w:proofErr w:type="spellEnd"/>
      <w:r>
        <w:t>://doi.org/10.1350/jcla.2010.74.6.669.</w:t>
      </w:r>
    </w:p>
    <w:p w14:paraId="02F518D5" w14:textId="77777777" w:rsidR="002877A3" w:rsidRDefault="002877A3" w:rsidP="002877A3">
      <w:pPr>
        <w:pStyle w:val="NormalWeb"/>
        <w:spacing w:before="0" w:beforeAutospacing="0" w:after="240" w:afterAutospacing="0" w:line="360" w:lineRule="auto"/>
      </w:pPr>
      <w:r>
        <w:t xml:space="preserve">Lexis Nexis (2023). </w:t>
      </w:r>
      <w:r>
        <w:rPr>
          <w:i/>
          <w:iCs/>
        </w:rPr>
        <w:t>Offences against the person and property—overview</w:t>
      </w:r>
      <w:r>
        <w:t>. [online] Lexisnexis.com. Available at: https://www.lexisnexis.com/uk/lexispsl/corporatecrime/document/391421/5929-W4F1-F188-N356-00000-00/Offences_against_the_person_and_property_overview [Accessed 3 Mar. 2023].</w:t>
      </w:r>
    </w:p>
    <w:p w14:paraId="0FC64241" w14:textId="77777777" w:rsidR="002877A3" w:rsidRDefault="002877A3" w:rsidP="002877A3">
      <w:pPr>
        <w:pStyle w:val="NormalWeb"/>
        <w:spacing w:before="0" w:beforeAutospacing="0" w:after="240" w:afterAutospacing="0" w:line="360" w:lineRule="auto"/>
      </w:pPr>
      <w:r>
        <w:t xml:space="preserve">Sales, S.P. (2019). The common law: context and method. </w:t>
      </w:r>
      <w:r>
        <w:rPr>
          <w:i/>
          <w:iCs/>
        </w:rPr>
        <w:t>Law Quarterly Review</w:t>
      </w:r>
      <w:r>
        <w:t>, 135(Jan), pp.47–66.</w:t>
      </w:r>
    </w:p>
    <w:p w14:paraId="43E864CC" w14:textId="77777777" w:rsidR="002877A3" w:rsidRDefault="002877A3" w:rsidP="002877A3">
      <w:pPr>
        <w:pStyle w:val="NormalWeb"/>
        <w:spacing w:before="0" w:beforeAutospacing="0" w:after="240" w:afterAutospacing="0" w:line="360" w:lineRule="auto"/>
      </w:pPr>
      <w:r>
        <w:t xml:space="preserve">Walker, R. (2014). How Far Should Judges Develop the Common Law? </w:t>
      </w:r>
      <w:r>
        <w:rPr>
          <w:i/>
          <w:iCs/>
        </w:rPr>
        <w:t>Cambridge Journal of International and Comparative Law</w:t>
      </w:r>
      <w:r>
        <w:t xml:space="preserve">, 3(1), pp.124–135. </w:t>
      </w:r>
      <w:proofErr w:type="spellStart"/>
      <w:r>
        <w:t>doi:https</w:t>
      </w:r>
      <w:proofErr w:type="spellEnd"/>
      <w:r>
        <w:t>://doi.org/10.7574/cjicl.03.01.203.</w:t>
      </w:r>
    </w:p>
    <w:p w14:paraId="5B19006F" w14:textId="77777777" w:rsidR="00401D79" w:rsidRDefault="00401D79"/>
    <w:sectPr w:rsidR="00401D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081"/>
    <w:rsid w:val="002877A3"/>
    <w:rsid w:val="00315081"/>
    <w:rsid w:val="00401D79"/>
    <w:rsid w:val="00713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44076"/>
  <w15:chartTrackingRefBased/>
  <w15:docId w15:val="{41BBADC3-831E-48EB-8CD9-50A122BEF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7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77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1526</Words>
  <Characters>8701</Characters>
  <Application>Microsoft Office Word</Application>
  <DocSecurity>0</DocSecurity>
  <Lines>72</Lines>
  <Paragraphs>20</Paragraphs>
  <ScaleCrop>false</ScaleCrop>
  <Company/>
  <LinksUpToDate>false</LinksUpToDate>
  <CharactersWithSpaces>10207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Pantiru (2213443)</dc:creator>
  <cp:keywords/>
  <dc:description/>
  <cp:lastModifiedBy>Ionut Pantiru (2213443)</cp:lastModifiedBy>
  <cp:revision>3</cp:revision>
  <dcterms:created xsi:type="dcterms:W3CDTF">2023-03-10T17:42:00Z</dcterms:created>
  <dcterms:modified xsi:type="dcterms:W3CDTF">2023-03-10T17:48:00Z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54b072b473cf892ebc59e9e5dcf95671b377a7707d3bd566b56bc43c901699c2</vt:lpwstr>
  </property>
</Properties>
</file>