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10CEBA" w14:textId="77777777" w:rsidR="00EA2295" w:rsidRDefault="00EA2295">
      <w:pPr>
        <w:spacing w:before="120" w:after="120" w:line="240" w:lineRule="auto"/>
        <w:jc w:val="center"/>
        <w:rPr>
          <w:b/>
          <w:color w:val="073763"/>
          <w:sz w:val="32"/>
          <w:szCs w:val="32"/>
        </w:rPr>
      </w:pPr>
      <w:r w:rsidRPr="00EA2295">
        <w:rPr>
          <w:b/>
          <w:color w:val="073763"/>
          <w:sz w:val="32"/>
          <w:szCs w:val="32"/>
        </w:rPr>
        <w:t>Criminal law</w:t>
      </w:r>
    </w:p>
    <w:p w14:paraId="18BE2A0B" w14:textId="77777777" w:rsidR="00EA2295" w:rsidRDefault="00EA2295">
      <w:pPr>
        <w:spacing w:before="120" w:after="120" w:line="240" w:lineRule="auto"/>
        <w:jc w:val="center"/>
        <w:rPr>
          <w:b/>
          <w:color w:val="073763"/>
          <w:sz w:val="32"/>
          <w:szCs w:val="32"/>
        </w:rPr>
      </w:pPr>
      <w:r w:rsidRPr="00EA2295">
        <w:rPr>
          <w:b/>
          <w:color w:val="073763"/>
          <w:sz w:val="32"/>
          <w:szCs w:val="32"/>
        </w:rPr>
        <w:t>BMLW4005/BMPL4009</w:t>
      </w:r>
    </w:p>
    <w:p w14:paraId="00000002" w14:textId="77777777" w:rsidR="00325578" w:rsidRDefault="00325578"/>
    <w:p w14:paraId="00000003" w14:textId="77777777" w:rsidR="00325578" w:rsidRDefault="00325578"/>
    <w:p w14:paraId="00000004" w14:textId="77777777" w:rsidR="00325578" w:rsidRDefault="00325578"/>
    <w:p w14:paraId="00000005" w14:textId="77777777" w:rsidR="00325578" w:rsidRDefault="00325578"/>
    <w:p w14:paraId="00000006" w14:textId="77777777" w:rsidR="00325578" w:rsidRDefault="00325578"/>
    <w:p w14:paraId="00000007" w14:textId="77777777" w:rsidR="00325578" w:rsidRDefault="00325578"/>
    <w:p w14:paraId="00000008" w14:textId="77777777" w:rsidR="00325578" w:rsidRDefault="00325578"/>
    <w:p w14:paraId="00000009" w14:textId="77777777" w:rsidR="00325578" w:rsidRDefault="00325578"/>
    <w:p w14:paraId="0000000A" w14:textId="77777777" w:rsidR="00325578" w:rsidRDefault="00325578"/>
    <w:p w14:paraId="0000000B" w14:textId="4C673423" w:rsidR="00325578" w:rsidRDefault="00000000">
      <w:pPr>
        <w:rPr>
          <w:b/>
        </w:rPr>
      </w:pPr>
      <w:r>
        <w:rPr>
          <w:b/>
        </w:rPr>
        <w:t>Student name:</w:t>
      </w:r>
      <w:r w:rsidR="00B408D2">
        <w:rPr>
          <w:b/>
        </w:rPr>
        <w:tab/>
      </w:r>
      <w:r w:rsidR="00B408D2" w:rsidRPr="00B408D2">
        <w:rPr>
          <w:b/>
        </w:rPr>
        <w:t xml:space="preserve">Abul </w:t>
      </w:r>
      <w:proofErr w:type="spellStart"/>
      <w:r w:rsidR="00B408D2" w:rsidRPr="00B408D2">
        <w:rPr>
          <w:b/>
        </w:rPr>
        <w:t>Khair</w:t>
      </w:r>
      <w:proofErr w:type="spellEnd"/>
      <w:r w:rsidR="00B408D2" w:rsidRPr="00B408D2">
        <w:rPr>
          <w:b/>
        </w:rPr>
        <w:t xml:space="preserve"> Amin</w:t>
      </w:r>
    </w:p>
    <w:p w14:paraId="0000000C" w14:textId="7365AD55" w:rsidR="00325578" w:rsidRDefault="00000000">
      <w:pPr>
        <w:rPr>
          <w:b/>
        </w:rPr>
      </w:pPr>
      <w:r>
        <w:rPr>
          <w:b/>
        </w:rPr>
        <w:t>Student ID:</w:t>
      </w:r>
      <w:r w:rsidR="00B408D2">
        <w:rPr>
          <w:b/>
        </w:rPr>
        <w:tab/>
      </w:r>
      <w:r w:rsidR="00B408D2">
        <w:rPr>
          <w:b/>
        </w:rPr>
        <w:tab/>
      </w:r>
      <w:r w:rsidR="00B408D2" w:rsidRPr="00B408D2">
        <w:rPr>
          <w:b/>
        </w:rPr>
        <w:t>1904959</w:t>
      </w:r>
    </w:p>
    <w:p w14:paraId="0000000E" w14:textId="77777777" w:rsidR="00325578" w:rsidRDefault="00325578"/>
    <w:p w14:paraId="0000000F" w14:textId="77777777" w:rsidR="00325578" w:rsidRDefault="00325578"/>
    <w:p w14:paraId="00000010" w14:textId="77777777" w:rsidR="00325578" w:rsidRDefault="00325578"/>
    <w:p w14:paraId="00000011" w14:textId="77777777" w:rsidR="00325578" w:rsidRDefault="00325578"/>
    <w:p w14:paraId="00000012" w14:textId="77777777" w:rsidR="00325578" w:rsidRDefault="00325578"/>
    <w:p w14:paraId="00000013" w14:textId="77777777" w:rsidR="00325578" w:rsidRDefault="00325578"/>
    <w:p w14:paraId="00000014" w14:textId="77777777" w:rsidR="00325578" w:rsidRDefault="00325578"/>
    <w:p w14:paraId="00000015" w14:textId="77777777" w:rsidR="00325578" w:rsidRDefault="00325578"/>
    <w:p w14:paraId="00000016" w14:textId="77777777" w:rsidR="00325578" w:rsidRDefault="00325578"/>
    <w:p w14:paraId="00000017" w14:textId="77777777" w:rsidR="00325578" w:rsidRDefault="00325578"/>
    <w:p w14:paraId="00000018" w14:textId="77777777" w:rsidR="00325578" w:rsidRDefault="00325578"/>
    <w:p w14:paraId="00000019" w14:textId="77777777" w:rsidR="00325578" w:rsidRDefault="00325578"/>
    <w:p w14:paraId="0000001A" w14:textId="77777777" w:rsidR="00325578" w:rsidRDefault="00325578"/>
    <w:p w14:paraId="0000001B" w14:textId="77777777" w:rsidR="00325578" w:rsidRDefault="00325578"/>
    <w:p w14:paraId="0000001C" w14:textId="77777777" w:rsidR="00325578" w:rsidRDefault="00325578"/>
    <w:p w14:paraId="0000001D" w14:textId="77777777" w:rsidR="00325578" w:rsidRDefault="00325578"/>
    <w:p w14:paraId="0000001E" w14:textId="77777777" w:rsidR="00325578" w:rsidRDefault="00325578"/>
    <w:p w14:paraId="0000001F" w14:textId="77777777" w:rsidR="00325578" w:rsidRDefault="00000000">
      <w:pPr>
        <w:jc w:val="center"/>
        <w:rPr>
          <w:b/>
          <w:color w:val="0B5394"/>
          <w:sz w:val="32"/>
          <w:szCs w:val="32"/>
        </w:rPr>
      </w:pPr>
      <w:r>
        <w:rPr>
          <w:b/>
          <w:color w:val="0B5394"/>
          <w:sz w:val="32"/>
          <w:szCs w:val="32"/>
        </w:rPr>
        <w:lastRenderedPageBreak/>
        <w:t xml:space="preserve">Table of Content </w:t>
      </w:r>
    </w:p>
    <w:p w14:paraId="00000020" w14:textId="77777777" w:rsidR="00325578" w:rsidRDefault="00325578"/>
    <w:sdt>
      <w:sdtPr>
        <w:id w:val="-1611508320"/>
        <w:docPartObj>
          <w:docPartGallery w:val="Table of Contents"/>
          <w:docPartUnique/>
        </w:docPartObj>
      </w:sdtPr>
      <w:sdtContent>
        <w:p w14:paraId="00000021" w14:textId="77777777" w:rsidR="00325578" w:rsidRDefault="00000000">
          <w:pPr>
            <w:widowControl w:val="0"/>
            <w:tabs>
              <w:tab w:val="right" w:pos="9360"/>
            </w:tabs>
            <w:spacing w:before="60" w:line="240" w:lineRule="auto"/>
            <w:jc w:val="left"/>
            <w:rPr>
              <w:b/>
              <w:color w:val="000000"/>
            </w:rPr>
          </w:pPr>
          <w:r>
            <w:fldChar w:fldCharType="begin"/>
          </w:r>
          <w:r>
            <w:instrText xml:space="preserve"> TOC \h \u \z \t "Heading 1,1,Heading 2,2,Heading 3,3,Heading 4,4,Heading 5,5,Heading 6,6,"</w:instrText>
          </w:r>
          <w:r>
            <w:fldChar w:fldCharType="separate"/>
          </w:r>
          <w:hyperlink w:anchor="_2olt7n8vxqob">
            <w:r>
              <w:rPr>
                <w:b/>
                <w:color w:val="000000"/>
              </w:rPr>
              <w:t>Introduction</w:t>
            </w:r>
          </w:hyperlink>
          <w:hyperlink w:anchor="_2olt7n8vxqob">
            <w:r>
              <w:rPr>
                <w:b/>
              </w:rPr>
              <w:t>,</w:t>
            </w:r>
          </w:hyperlink>
          <w:hyperlink w:anchor="_2olt7n8vxqob">
            <w:r>
              <w:rPr>
                <w:b/>
                <w:color w:val="000000"/>
              </w:rPr>
              <w:tab/>
            </w:r>
          </w:hyperlink>
          <w:r>
            <w:fldChar w:fldCharType="begin"/>
          </w:r>
          <w:r>
            <w:instrText xml:space="preserve"> PAGEREF _2olt7n8vxqob \h </w:instrText>
          </w:r>
          <w:r>
            <w:fldChar w:fldCharType="separate"/>
          </w:r>
          <w:r>
            <w:rPr>
              <w:b/>
            </w:rPr>
            <w:t>3</w:t>
          </w:r>
          <w:r>
            <w:fldChar w:fldCharType="end"/>
          </w:r>
        </w:p>
        <w:p w14:paraId="00000022" w14:textId="77777777" w:rsidR="00325578" w:rsidRDefault="00000000">
          <w:pPr>
            <w:widowControl w:val="0"/>
            <w:tabs>
              <w:tab w:val="right" w:pos="9360"/>
            </w:tabs>
            <w:spacing w:before="60" w:line="240" w:lineRule="auto"/>
            <w:jc w:val="left"/>
            <w:rPr>
              <w:b/>
              <w:color w:val="000000"/>
            </w:rPr>
          </w:pPr>
          <w:hyperlink w:anchor="_lny3wpj71nqb">
            <w:r>
              <w:rPr>
                <w:b/>
                <w:color w:val="000000"/>
              </w:rPr>
              <w:t>Discussion of The Misconduct</w:t>
            </w:r>
            <w:r>
              <w:rPr>
                <w:b/>
                <w:color w:val="000000"/>
              </w:rPr>
              <w:tab/>
            </w:r>
          </w:hyperlink>
          <w:r>
            <w:fldChar w:fldCharType="begin"/>
          </w:r>
          <w:r>
            <w:instrText xml:space="preserve"> PAGEREF _lny3wpj71nqb \h </w:instrText>
          </w:r>
          <w:r>
            <w:fldChar w:fldCharType="separate"/>
          </w:r>
          <w:r>
            <w:rPr>
              <w:b/>
            </w:rPr>
            <w:t>4</w:t>
          </w:r>
          <w:r>
            <w:fldChar w:fldCharType="end"/>
          </w:r>
        </w:p>
        <w:p w14:paraId="00000023" w14:textId="77777777" w:rsidR="00325578" w:rsidRDefault="00000000">
          <w:pPr>
            <w:widowControl w:val="0"/>
            <w:tabs>
              <w:tab w:val="right" w:pos="9360"/>
            </w:tabs>
            <w:spacing w:before="60" w:line="240" w:lineRule="auto"/>
            <w:jc w:val="left"/>
            <w:rPr>
              <w:b/>
              <w:color w:val="000000"/>
            </w:rPr>
          </w:pPr>
          <w:hyperlink w:anchor="_7mc4ikyngz2t">
            <w:r>
              <w:rPr>
                <w:b/>
                <w:color w:val="000000"/>
              </w:rPr>
              <w:t>Potential Counterarguments</w:t>
            </w:r>
            <w:r>
              <w:rPr>
                <w:b/>
                <w:color w:val="000000"/>
              </w:rPr>
              <w:tab/>
            </w:r>
          </w:hyperlink>
          <w:r>
            <w:fldChar w:fldCharType="begin"/>
          </w:r>
          <w:r>
            <w:instrText xml:space="preserve"> PAGEREF _7mc4ikyngz2t \h </w:instrText>
          </w:r>
          <w:r>
            <w:fldChar w:fldCharType="separate"/>
          </w:r>
          <w:r>
            <w:rPr>
              <w:b/>
            </w:rPr>
            <w:t>5</w:t>
          </w:r>
          <w:r>
            <w:fldChar w:fldCharType="end"/>
          </w:r>
        </w:p>
        <w:p w14:paraId="00000024" w14:textId="77777777" w:rsidR="00325578" w:rsidRDefault="00000000">
          <w:pPr>
            <w:widowControl w:val="0"/>
            <w:tabs>
              <w:tab w:val="right" w:pos="9360"/>
            </w:tabs>
            <w:spacing w:before="60" w:line="240" w:lineRule="auto"/>
            <w:jc w:val="left"/>
            <w:rPr>
              <w:b/>
              <w:color w:val="000000"/>
            </w:rPr>
          </w:pPr>
          <w:hyperlink w:anchor="_tzbeb231qaon">
            <w:r>
              <w:rPr>
                <w:b/>
                <w:color w:val="000000"/>
              </w:rPr>
              <w:t>Conclusion</w:t>
            </w:r>
            <w:r>
              <w:rPr>
                <w:b/>
                <w:color w:val="000000"/>
              </w:rPr>
              <w:tab/>
            </w:r>
          </w:hyperlink>
          <w:r>
            <w:fldChar w:fldCharType="begin"/>
          </w:r>
          <w:r>
            <w:instrText xml:space="preserve"> PAGEREF _tzbeb231qaon \h </w:instrText>
          </w:r>
          <w:r>
            <w:fldChar w:fldCharType="separate"/>
          </w:r>
          <w:r>
            <w:rPr>
              <w:b/>
            </w:rPr>
            <w:t>7</w:t>
          </w:r>
          <w:r>
            <w:fldChar w:fldCharType="end"/>
          </w:r>
        </w:p>
        <w:p w14:paraId="00000025" w14:textId="77777777" w:rsidR="00325578" w:rsidRDefault="00000000">
          <w:pPr>
            <w:widowControl w:val="0"/>
            <w:tabs>
              <w:tab w:val="right" w:pos="9360"/>
            </w:tabs>
            <w:spacing w:before="60" w:line="240" w:lineRule="auto"/>
            <w:jc w:val="left"/>
            <w:rPr>
              <w:b/>
              <w:color w:val="000000"/>
            </w:rPr>
          </w:pPr>
          <w:hyperlink w:anchor="_liq7d7agjdd7">
            <w:r>
              <w:rPr>
                <w:b/>
                <w:color w:val="000000"/>
              </w:rPr>
              <w:t>References</w:t>
            </w:r>
            <w:r>
              <w:rPr>
                <w:b/>
                <w:color w:val="000000"/>
              </w:rPr>
              <w:tab/>
            </w:r>
          </w:hyperlink>
          <w:r>
            <w:fldChar w:fldCharType="begin"/>
          </w:r>
          <w:r>
            <w:instrText xml:space="preserve"> PAGEREF _liq7d7agjdd7 \h </w:instrText>
          </w:r>
          <w:r>
            <w:fldChar w:fldCharType="separate"/>
          </w:r>
          <w:r>
            <w:rPr>
              <w:b/>
            </w:rPr>
            <w:t>8</w:t>
          </w:r>
          <w:r>
            <w:fldChar w:fldCharType="end"/>
          </w:r>
          <w:r>
            <w:fldChar w:fldCharType="end"/>
          </w:r>
        </w:p>
      </w:sdtContent>
    </w:sdt>
    <w:p w14:paraId="00000026" w14:textId="77777777" w:rsidR="00325578" w:rsidRDefault="00325578"/>
    <w:p w14:paraId="00000027" w14:textId="77777777" w:rsidR="00325578" w:rsidRDefault="00325578"/>
    <w:p w14:paraId="00000028" w14:textId="77777777" w:rsidR="00325578" w:rsidRDefault="00325578"/>
    <w:p w14:paraId="00000029" w14:textId="77777777" w:rsidR="00325578" w:rsidRDefault="00325578"/>
    <w:p w14:paraId="0000002A" w14:textId="77777777" w:rsidR="00325578" w:rsidRDefault="00325578"/>
    <w:p w14:paraId="0000002B" w14:textId="77777777" w:rsidR="00325578" w:rsidRDefault="00325578"/>
    <w:p w14:paraId="0000002C" w14:textId="77777777" w:rsidR="00325578" w:rsidRDefault="00325578"/>
    <w:p w14:paraId="0000002D" w14:textId="77777777" w:rsidR="00325578" w:rsidRDefault="00325578"/>
    <w:p w14:paraId="0000002E" w14:textId="77777777" w:rsidR="00325578" w:rsidRDefault="00325578"/>
    <w:p w14:paraId="0000002F" w14:textId="77777777" w:rsidR="00325578" w:rsidRDefault="00325578"/>
    <w:p w14:paraId="00000030" w14:textId="77777777" w:rsidR="00325578" w:rsidRDefault="00325578"/>
    <w:p w14:paraId="00000031" w14:textId="77777777" w:rsidR="00325578" w:rsidRDefault="00325578"/>
    <w:p w14:paraId="00000032" w14:textId="77777777" w:rsidR="00325578" w:rsidRDefault="00325578"/>
    <w:p w14:paraId="00000033" w14:textId="77777777" w:rsidR="00325578" w:rsidRDefault="00325578"/>
    <w:p w14:paraId="00000034" w14:textId="77777777" w:rsidR="00325578" w:rsidRDefault="00325578"/>
    <w:p w14:paraId="00000035" w14:textId="77777777" w:rsidR="00325578" w:rsidRDefault="00325578"/>
    <w:p w14:paraId="00000036" w14:textId="77777777" w:rsidR="00325578" w:rsidRDefault="00325578"/>
    <w:p w14:paraId="00000037" w14:textId="77777777" w:rsidR="00325578" w:rsidRDefault="00325578"/>
    <w:p w14:paraId="00000038" w14:textId="77777777" w:rsidR="00325578" w:rsidRDefault="00325578"/>
    <w:p w14:paraId="00000039" w14:textId="77777777" w:rsidR="00325578" w:rsidRDefault="00325578"/>
    <w:p w14:paraId="0000003A" w14:textId="77777777" w:rsidR="00325578" w:rsidRDefault="00325578"/>
    <w:p w14:paraId="0000003B" w14:textId="77777777" w:rsidR="00325578" w:rsidRDefault="00325578"/>
    <w:p w14:paraId="0000003C" w14:textId="77777777" w:rsidR="00325578" w:rsidRDefault="00325578"/>
    <w:p w14:paraId="0000003D" w14:textId="77777777" w:rsidR="00325578" w:rsidRDefault="00325578"/>
    <w:p w14:paraId="0000003E" w14:textId="77777777" w:rsidR="00325578" w:rsidRDefault="00000000">
      <w:pPr>
        <w:pStyle w:val="Heading1"/>
      </w:pPr>
      <w:bookmarkStart w:id="0" w:name="_2olt7n8vxqob" w:colFirst="0" w:colLast="0"/>
      <w:bookmarkEnd w:id="0"/>
      <w:r>
        <w:lastRenderedPageBreak/>
        <w:t xml:space="preserve">Introduction </w:t>
      </w:r>
    </w:p>
    <w:p w14:paraId="0000003F" w14:textId="77777777" w:rsidR="00325578" w:rsidRDefault="00000000">
      <w:r>
        <w:t xml:space="preserve">Conduct judged harmful to the public, society, or the state, is governed by a set of laws and regulations known collectively as criminal law (Criminal Law Act 1967, Section 3(1)). The events in this hypothetical scenario entail potential criminal </w:t>
      </w:r>
      <w:proofErr w:type="spellStart"/>
      <w:r>
        <w:t>behaviour</w:t>
      </w:r>
      <w:proofErr w:type="spellEnd"/>
      <w:r>
        <w:t xml:space="preserve">, mental health difficulties, and terrible outcomes. An intricate scenario arises for Polly and Mohammed, who have been together for ten years. Polly's paranoia is triggered by a social outing in a pub, where she and other people with schizophrenia meet for a support group (Criminal Damage Act 1971, Section 1(1)). When Polly catches her partner Mohammed flirting with the bartender's girlfriend, Roxanne, she loses her cool and is kicked out. After leaving, Polly's disruptive </w:t>
      </w:r>
      <w:proofErr w:type="spellStart"/>
      <w:r>
        <w:t>behaviour</w:t>
      </w:r>
      <w:proofErr w:type="spellEnd"/>
      <w:r>
        <w:t xml:space="preserve"> continues, and she uses a shattered window to tear the brake lines on Roxanne's scooter (Homicide Act 1957, Section 2). She returns home to a confrontation with Mohammed, who eventually admits to having an affair with Roxanne. Polly, overcome with grief, kills Mohammed by striking him with an ashtray of glass. This story presents a complex scenario that can be examined through the lens of many subfields of criminal law (Coroners and Justice Act 2009, Sections 54 and 55). The story deals with mental health, envy, wrath, and the legal ramifications of violent acts. The scenario provides a useful prism to </w:t>
      </w:r>
      <w:proofErr w:type="spellStart"/>
      <w:r>
        <w:t>analyse</w:t>
      </w:r>
      <w:proofErr w:type="spellEnd"/>
      <w:r>
        <w:t xml:space="preserve"> the nuances of criminal law and its practical application by referring to the cited case law.</w:t>
      </w:r>
    </w:p>
    <w:p w14:paraId="00000040" w14:textId="77777777" w:rsidR="00325578" w:rsidRDefault="00325578"/>
    <w:p w14:paraId="00000041" w14:textId="77777777" w:rsidR="00325578" w:rsidRDefault="00325578"/>
    <w:p w14:paraId="00000042" w14:textId="77777777" w:rsidR="00325578" w:rsidRDefault="00325578"/>
    <w:p w14:paraId="00000043" w14:textId="77777777" w:rsidR="00325578" w:rsidRDefault="00325578"/>
    <w:p w14:paraId="00000044" w14:textId="77777777" w:rsidR="00325578" w:rsidRDefault="00325578"/>
    <w:p w14:paraId="00000045" w14:textId="77777777" w:rsidR="00325578" w:rsidRDefault="00325578"/>
    <w:p w14:paraId="00000046" w14:textId="77777777" w:rsidR="00325578" w:rsidRDefault="00325578"/>
    <w:p w14:paraId="00000047" w14:textId="77777777" w:rsidR="00325578" w:rsidRDefault="00325578"/>
    <w:p w14:paraId="00000048" w14:textId="77777777" w:rsidR="00325578" w:rsidRDefault="00325578"/>
    <w:p w14:paraId="00000049" w14:textId="77777777" w:rsidR="00325578" w:rsidRDefault="00325578"/>
    <w:p w14:paraId="0000004A" w14:textId="77777777" w:rsidR="00325578" w:rsidRDefault="00325578"/>
    <w:p w14:paraId="0000004B" w14:textId="77777777" w:rsidR="00325578" w:rsidRDefault="00325578"/>
    <w:p w14:paraId="0000004C" w14:textId="77777777" w:rsidR="00325578" w:rsidRDefault="00000000">
      <w:pPr>
        <w:pStyle w:val="Heading1"/>
      </w:pPr>
      <w:bookmarkStart w:id="1" w:name="_lny3wpj71nqb" w:colFirst="0" w:colLast="0"/>
      <w:bookmarkEnd w:id="1"/>
      <w:r>
        <w:lastRenderedPageBreak/>
        <w:t>Discussion of The Misconduct</w:t>
      </w:r>
    </w:p>
    <w:p w14:paraId="0000004D" w14:textId="77777777" w:rsidR="00325578" w:rsidRDefault="00000000">
      <w:r>
        <w:t>Assault, criminal damage, and murder are just some of the possible crimes that Polly may have committed in this hypothetical situation (R V Constanza, 1997). The researcher shall examine these possible violations within applicable statutes and court decisions.</w:t>
      </w:r>
    </w:p>
    <w:p w14:paraId="0000004E" w14:textId="77777777" w:rsidR="00325578" w:rsidRDefault="00325578"/>
    <w:p w14:paraId="0000004F" w14:textId="77777777" w:rsidR="00325578" w:rsidRDefault="00000000">
      <w:r>
        <w:t xml:space="preserve">Polly's hostile actions towards Roxanne in the bar could be termed an assault, for starters. It was determined in R V Constanza (1997) that using words or actions that reasonably frighten a person into believing that unlawful force will be used against them is sufficient to constitute assault (R V </w:t>
      </w:r>
      <w:proofErr w:type="spellStart"/>
      <w:r>
        <w:t>Woollin</w:t>
      </w:r>
      <w:proofErr w:type="spellEnd"/>
      <w:r>
        <w:t xml:space="preserve">, 1999). Polly's acts, which included calling Roxanne a "bitch" and giving her the middle finger, met the requirements for assault since they led Roxanne to fear immediate injury. Second, Polly committed criminal damage when she used shards of glass to cut the brake lines on Roxanne's scooter. Destroying or damaging someone else's property intentionally or without reasonable care is a crime under the Criminal Damage Act 1971, as stated in Section 1(1). To satisfy the elements of criminal damage, it is sufficient to show that Polly's conduct was deliberate and that they damaged Roxanne's property. Finally, the most severe crime is the killing of Mohammed (R V Kemp, 1957). The mental ingredient (men's rea) must accompany the physical act (actus reus) to constitute murder. When Polly hits Mohammed over the head with the ashtray, he breaks the glass, which is the actus reus. To evaluate whether Polly acted with the intent to kill or inflict significant bodily injury (the men's rea), we must examine her motives. If the defendant knew that his or her acts were highly likely to result in death or severe damage, as in R V </w:t>
      </w:r>
      <w:proofErr w:type="spellStart"/>
      <w:r>
        <w:t>Woollin</w:t>
      </w:r>
      <w:proofErr w:type="spellEnd"/>
      <w:r>
        <w:t xml:space="preserve"> (1999), then the defendant could be presumed to have had malice in mind (R V Brennan, 2014). Polly may have known that hitting Mohammed with a glass ashtray may lead to serious injury, yet she did it anyway. On the other hand, Polly's schizophrenia could be an excuse for her not to be found guilty of murder. This might be used as a </w:t>
      </w:r>
      <w:proofErr w:type="spellStart"/>
      <w:r>
        <w:t>defence</w:t>
      </w:r>
      <w:proofErr w:type="spellEnd"/>
      <w:r>
        <w:t xml:space="preserve"> if the defendant's mental illness prevented them from forming the necessary men's rea, as was the case in R V Kemp (1957). Polly's ability to use this </w:t>
      </w:r>
      <w:proofErr w:type="spellStart"/>
      <w:r>
        <w:t>defence</w:t>
      </w:r>
      <w:proofErr w:type="spellEnd"/>
      <w:r>
        <w:t xml:space="preserve"> hinges on how her schizophrenia affected her decision-making.</w:t>
      </w:r>
    </w:p>
    <w:p w14:paraId="00000050" w14:textId="77777777" w:rsidR="00325578" w:rsidRDefault="00325578"/>
    <w:p w14:paraId="00000051" w14:textId="77777777" w:rsidR="00325578" w:rsidRDefault="00000000">
      <w:r>
        <w:t xml:space="preserve">There is a chance that Polly's murder charge will be lowered to manslaughter if she can use the diminished responsibility </w:t>
      </w:r>
      <w:proofErr w:type="spellStart"/>
      <w:r>
        <w:t>defence</w:t>
      </w:r>
      <w:proofErr w:type="spellEnd"/>
      <w:r>
        <w:t xml:space="preserve"> successfully (R V Harris, 2013). Section 2 of </w:t>
      </w:r>
      <w:r>
        <w:lastRenderedPageBreak/>
        <w:t xml:space="preserve">the Homicide Act of 1957 defines reduced responsibility as a </w:t>
      </w:r>
      <w:proofErr w:type="spellStart"/>
      <w:r>
        <w:t>defence</w:t>
      </w:r>
      <w:proofErr w:type="spellEnd"/>
      <w:r>
        <w:t xml:space="preserve"> for a person whose abnormality of mental functioning considerably hinders their ability to understand the nature of their </w:t>
      </w:r>
      <w:proofErr w:type="spellStart"/>
      <w:r>
        <w:t>behaviour</w:t>
      </w:r>
      <w:proofErr w:type="spellEnd"/>
      <w:r>
        <w:t xml:space="preserve">, develop rational judgements, or exercise self-control. The </w:t>
      </w:r>
      <w:proofErr w:type="spellStart"/>
      <w:r>
        <w:t>defence</w:t>
      </w:r>
      <w:proofErr w:type="spellEnd"/>
      <w:r>
        <w:t xml:space="preserve"> was successful in R v. Brennan (2014) because the court agreed with the defendant's psychiatrist that his mental illness significantly influenced his </w:t>
      </w:r>
      <w:proofErr w:type="spellStart"/>
      <w:r>
        <w:t>behaviour</w:t>
      </w:r>
      <w:proofErr w:type="spellEnd"/>
      <w:r>
        <w:t xml:space="preserve">. Polly may have committed the crimes of assault, criminal damage, and murder. The murder charge against her may be reduced to manslaughter, however, if her schizophrenia is accepted as a </w:t>
      </w:r>
      <w:proofErr w:type="spellStart"/>
      <w:r>
        <w:t>defence</w:t>
      </w:r>
      <w:proofErr w:type="spellEnd"/>
      <w:r>
        <w:t xml:space="preserve"> (R V Sangha, 1998). When assessing Polly's criminal liability and possible </w:t>
      </w:r>
      <w:proofErr w:type="spellStart"/>
      <w:r>
        <w:t>defences</w:t>
      </w:r>
      <w:proofErr w:type="spellEnd"/>
      <w:r>
        <w:t>, it is crucial to consider the applicable statutes, case law, and her state of mind.</w:t>
      </w:r>
    </w:p>
    <w:p w14:paraId="00000052" w14:textId="77777777" w:rsidR="00325578" w:rsidRDefault="00325578"/>
    <w:p w14:paraId="00000053" w14:textId="77777777" w:rsidR="00325578" w:rsidRDefault="00000000">
      <w:pPr>
        <w:pStyle w:val="Heading1"/>
      </w:pPr>
      <w:bookmarkStart w:id="2" w:name="_7mc4ikyngz2t" w:colFirst="0" w:colLast="0"/>
      <w:bookmarkEnd w:id="2"/>
      <w:r>
        <w:t>Potential Counterarguments</w:t>
      </w:r>
    </w:p>
    <w:p w14:paraId="00000054" w14:textId="77777777" w:rsidR="00325578" w:rsidRDefault="00000000">
      <w:r>
        <w:t xml:space="preserve">In this hypothetical situation, Polly might use several legal arguments to reduce or eliminate her criminal responsibility (R V Hatter, 2013). With support from applicable case law and statutes, the judiciary will investigate various </w:t>
      </w:r>
      <w:proofErr w:type="spellStart"/>
      <w:r>
        <w:t>defences</w:t>
      </w:r>
      <w:proofErr w:type="spellEnd"/>
      <w:r>
        <w:t xml:space="preserve"> and their application to the scenario.</w:t>
      </w:r>
    </w:p>
    <w:p w14:paraId="00000055" w14:textId="77777777" w:rsidR="00325578" w:rsidRDefault="00325578"/>
    <w:p w14:paraId="00000056" w14:textId="77777777" w:rsidR="00325578" w:rsidRDefault="00000000">
      <w:r>
        <w:rPr>
          <w:b/>
        </w:rPr>
        <w:t>Self-</w:t>
      </w:r>
      <w:proofErr w:type="spellStart"/>
      <w:r>
        <w:rPr>
          <w:b/>
        </w:rPr>
        <w:t>defence</w:t>
      </w:r>
      <w:proofErr w:type="spellEnd"/>
      <w:r>
        <w:rPr>
          <w:b/>
        </w:rPr>
        <w:t xml:space="preserve">: </w:t>
      </w:r>
      <w:r>
        <w:t xml:space="preserve"> Polly may claim </w:t>
      </w:r>
      <w:proofErr w:type="spellStart"/>
      <w:r>
        <w:t>self-defence</w:t>
      </w:r>
      <w:proofErr w:type="spellEnd"/>
      <w:r>
        <w:t xml:space="preserve"> if she decides to sue Roxanne for injuries she sustained during an assault (R V Foye, 2013). Suppose they feel they need to use force to protect themselves or another person, stop a crime from happening, or lawfully apprehend an offender. In that case, a judiciary can do so under section 3(1) of the Criminal Law Act of 1967. Since Polly started the fight and there is no evidence that Roxanne threatened Polly or anyone else, it is unlikely that Polly would successfully claim </w:t>
      </w:r>
      <w:proofErr w:type="spellStart"/>
      <w:r>
        <w:t>self-defence</w:t>
      </w:r>
      <w:proofErr w:type="spellEnd"/>
      <w:r>
        <w:t xml:space="preserve"> under the circumstances.</w:t>
      </w:r>
    </w:p>
    <w:p w14:paraId="00000057" w14:textId="77777777" w:rsidR="00325578" w:rsidRDefault="00000000">
      <w:r>
        <w:rPr>
          <w:b/>
        </w:rPr>
        <w:t>Reduced accountability:</w:t>
      </w:r>
      <w:r>
        <w:t xml:space="preserve"> As was previously indicated, Polly's schizophrenia may serve as a </w:t>
      </w:r>
      <w:proofErr w:type="spellStart"/>
      <w:r>
        <w:t>defence</w:t>
      </w:r>
      <w:proofErr w:type="spellEnd"/>
      <w:r>
        <w:t xml:space="preserve"> against the murder charge, reducing the charge to manslaughter (R V Wilcocks, 2016). Following Section 2 of the Homicide Act of 1957, diminished responsibility may be asserted if a defendant can demonstrate that they were considerably impaired in their capacity to appreciate the nature and consequences of their actions, make sound judgements, and show restraint. The </w:t>
      </w:r>
      <w:proofErr w:type="spellStart"/>
      <w:r>
        <w:t>defence</w:t>
      </w:r>
      <w:proofErr w:type="spellEnd"/>
      <w:r>
        <w:t xml:space="preserve"> in R V Brennan (2014) was successful because the court agreed that the defendant's mental illness </w:t>
      </w:r>
      <w:r>
        <w:lastRenderedPageBreak/>
        <w:t xml:space="preserve">played a significant role in his </w:t>
      </w:r>
      <w:proofErr w:type="spellStart"/>
      <w:r>
        <w:t>behaviour</w:t>
      </w:r>
      <w:proofErr w:type="spellEnd"/>
      <w:r>
        <w:t xml:space="preserve"> (R V Moyle, 2008). Polly may claim diminished responsibility if it can be shown that her schizophrenia significantly impacted her mental capacity.</w:t>
      </w:r>
    </w:p>
    <w:p w14:paraId="00000058" w14:textId="77777777" w:rsidR="00325578" w:rsidRDefault="00325578"/>
    <w:p w14:paraId="00000059" w14:textId="77777777" w:rsidR="00325578" w:rsidRDefault="00000000">
      <w:r>
        <w:rPr>
          <w:b/>
        </w:rPr>
        <w:t xml:space="preserve">Loss of control: </w:t>
      </w:r>
      <w:r>
        <w:t xml:space="preserve"> Polly may also try to argue that she was in a state of loss of control at the time of the homicide, which, if successful, would lower the murder allegation to voluntary manslaughter (R V Lipman, 1970). The defendant might claim loss of control under Sections 54 and 55 of the Coroners and Justice Act 2009 if their actions were precipitated by an extenuating circumstance, such as a reasonable fear of serious violence or circumstances of a highly grave character that caused them to feel like they had been seriously wronged (Criminal Law Act 1967, Section 3(1)). A closer examination suggests Polly's actions were motivated more by envy and fury than by a genuine fear of physical harm or a life-or-death emergency. Therefore, this </w:t>
      </w:r>
      <w:proofErr w:type="spellStart"/>
      <w:r>
        <w:t>defence</w:t>
      </w:r>
      <w:proofErr w:type="spellEnd"/>
      <w:r>
        <w:t xml:space="preserve"> might not be applicable.</w:t>
      </w:r>
    </w:p>
    <w:p w14:paraId="0000005A" w14:textId="77777777" w:rsidR="00325578" w:rsidRDefault="00000000">
      <w:r>
        <w:rPr>
          <w:b/>
        </w:rPr>
        <w:t xml:space="preserve">Insanity: </w:t>
      </w:r>
      <w:r>
        <w:t xml:space="preserve"> Polly may assert insanity as a </w:t>
      </w:r>
      <w:proofErr w:type="spellStart"/>
      <w:r>
        <w:t>defence</w:t>
      </w:r>
      <w:proofErr w:type="spellEnd"/>
      <w:r>
        <w:t xml:space="preserve"> if she can show that she could not appreciate the seriousness of her actions or </w:t>
      </w:r>
      <w:proofErr w:type="spellStart"/>
      <w:r>
        <w:t>recognise</w:t>
      </w:r>
      <w:proofErr w:type="spellEnd"/>
      <w:r>
        <w:t xml:space="preserve"> their wrongness due to a mental defect induced by a sickness of the mind (Criminal Damage Act 1971, Section 1(1)). The court ruled that a defendant's inability to create the necessary men's rea due to a mental condition might be used as a </w:t>
      </w:r>
      <w:proofErr w:type="spellStart"/>
      <w:r>
        <w:t>defence</w:t>
      </w:r>
      <w:proofErr w:type="spellEnd"/>
      <w:r>
        <w:t xml:space="preserve"> in R V Kemp (1957). Polly may be entitled to the insanity </w:t>
      </w:r>
      <w:proofErr w:type="spellStart"/>
      <w:r>
        <w:t>defence</w:t>
      </w:r>
      <w:proofErr w:type="spellEnd"/>
      <w:r>
        <w:t xml:space="preserve"> if it can be proven that her schizophrenia caused the defect of reason. This is a strong line of </w:t>
      </w:r>
      <w:proofErr w:type="spellStart"/>
      <w:r>
        <w:t>defence</w:t>
      </w:r>
      <w:proofErr w:type="spellEnd"/>
      <w:r>
        <w:t>, yet it is difficult to prove.</w:t>
      </w:r>
    </w:p>
    <w:p w14:paraId="0000005B" w14:textId="77777777" w:rsidR="00325578" w:rsidRDefault="00000000">
      <w:r>
        <w:rPr>
          <w:b/>
        </w:rPr>
        <w:t>Automatism:</w:t>
      </w:r>
      <w:r>
        <w:t xml:space="preserve"> The last possible line of </w:t>
      </w:r>
      <w:proofErr w:type="spellStart"/>
      <w:r>
        <w:t>defence</w:t>
      </w:r>
      <w:proofErr w:type="spellEnd"/>
      <w:r>
        <w:t xml:space="preserve"> for Polly is automatism, in which she claims that her actions were not of her own volition and were, therefore, beyond her control. For this to work, Polly would have to demonstrate that she temporarily lost control of her actions due to anything beyond her control, such as an outside influence or a physical issue (Homicide Act 1957, Section 2). Since there is no evidence of an outside influence or a preexisting medical condition that led to her loss of control, this </w:t>
      </w:r>
      <w:proofErr w:type="spellStart"/>
      <w:r>
        <w:t>defence</w:t>
      </w:r>
      <w:proofErr w:type="spellEnd"/>
      <w:r>
        <w:t xml:space="preserve"> is highly improbable.</w:t>
      </w:r>
    </w:p>
    <w:p w14:paraId="0000005C" w14:textId="77777777" w:rsidR="00325578" w:rsidRDefault="00325578"/>
    <w:p w14:paraId="0000005D" w14:textId="77777777" w:rsidR="00325578" w:rsidRDefault="00000000">
      <w:r>
        <w:t xml:space="preserve">Polly's best </w:t>
      </w:r>
      <w:proofErr w:type="spellStart"/>
      <w:r>
        <w:t>defences</w:t>
      </w:r>
      <w:proofErr w:type="spellEnd"/>
      <w:r>
        <w:t xml:space="preserve"> here are diminished responsibility and, to a lesser extent, insanity. Her schizophrenia will be used as a </w:t>
      </w:r>
      <w:proofErr w:type="spellStart"/>
      <w:r>
        <w:t>defence</w:t>
      </w:r>
      <w:proofErr w:type="spellEnd"/>
      <w:r>
        <w:t xml:space="preserve"> in two ways (Coroners and Justice Act 2009, </w:t>
      </w:r>
      <w:r>
        <w:lastRenderedPageBreak/>
        <w:t xml:space="preserve">Sections 54 and 55). Possible </w:t>
      </w:r>
      <w:proofErr w:type="spellStart"/>
      <w:r>
        <w:t>defences</w:t>
      </w:r>
      <w:proofErr w:type="spellEnd"/>
      <w:r>
        <w:t xml:space="preserve"> and their potential impact on Polly's criminal liability must be evaluated in light of applicable case law and legislation.</w:t>
      </w:r>
    </w:p>
    <w:p w14:paraId="0000005E" w14:textId="77777777" w:rsidR="00325578" w:rsidRDefault="00325578"/>
    <w:p w14:paraId="0000005F" w14:textId="77777777" w:rsidR="00325578" w:rsidRDefault="00325578"/>
    <w:p w14:paraId="00000060" w14:textId="77777777" w:rsidR="00325578" w:rsidRDefault="00325578"/>
    <w:p w14:paraId="00000061" w14:textId="77777777" w:rsidR="00325578" w:rsidRDefault="00325578"/>
    <w:p w14:paraId="00000062" w14:textId="77777777" w:rsidR="00325578" w:rsidRDefault="00325578"/>
    <w:p w14:paraId="00000063" w14:textId="77777777" w:rsidR="00325578" w:rsidRDefault="00325578"/>
    <w:p w14:paraId="00000064" w14:textId="77777777" w:rsidR="00325578" w:rsidRDefault="00325578"/>
    <w:p w14:paraId="00000065" w14:textId="77777777" w:rsidR="00325578" w:rsidRDefault="00325578"/>
    <w:p w14:paraId="00000066" w14:textId="77777777" w:rsidR="00325578" w:rsidRDefault="00325578"/>
    <w:p w14:paraId="00000067" w14:textId="77777777" w:rsidR="00325578" w:rsidRDefault="00325578"/>
    <w:p w14:paraId="00000068" w14:textId="77777777" w:rsidR="00325578" w:rsidRDefault="00325578"/>
    <w:p w14:paraId="00000069" w14:textId="77777777" w:rsidR="00325578" w:rsidRDefault="00325578"/>
    <w:p w14:paraId="0000006A" w14:textId="77777777" w:rsidR="00325578" w:rsidRDefault="00325578"/>
    <w:p w14:paraId="0000006B" w14:textId="77777777" w:rsidR="00325578" w:rsidRDefault="00325578"/>
    <w:p w14:paraId="0000006C" w14:textId="77777777" w:rsidR="00325578" w:rsidRDefault="00325578"/>
    <w:p w14:paraId="0000006D" w14:textId="77777777" w:rsidR="00325578" w:rsidRDefault="00325578"/>
    <w:p w14:paraId="0000006E" w14:textId="77777777" w:rsidR="00325578" w:rsidRDefault="00325578"/>
    <w:p w14:paraId="0000006F" w14:textId="77777777" w:rsidR="00325578" w:rsidRDefault="00325578"/>
    <w:p w14:paraId="00000070" w14:textId="77777777" w:rsidR="00325578" w:rsidRDefault="00325578"/>
    <w:p w14:paraId="00000071" w14:textId="77777777" w:rsidR="00325578" w:rsidRDefault="00325578"/>
    <w:p w14:paraId="00000072" w14:textId="77777777" w:rsidR="00325578" w:rsidRDefault="00325578"/>
    <w:p w14:paraId="00000073" w14:textId="77777777" w:rsidR="00325578" w:rsidRDefault="00325578"/>
    <w:p w14:paraId="00000074" w14:textId="77777777" w:rsidR="00325578" w:rsidRDefault="00325578"/>
    <w:p w14:paraId="00000075" w14:textId="77777777" w:rsidR="00325578" w:rsidRDefault="00325578"/>
    <w:p w14:paraId="00000076" w14:textId="77777777" w:rsidR="00325578" w:rsidRDefault="00325578"/>
    <w:p w14:paraId="00000077" w14:textId="77777777" w:rsidR="00325578" w:rsidRDefault="00000000">
      <w:pPr>
        <w:pStyle w:val="Heading1"/>
      </w:pPr>
      <w:bookmarkStart w:id="3" w:name="_tzbeb231qaon" w:colFirst="0" w:colLast="0"/>
      <w:bookmarkEnd w:id="3"/>
      <w:r>
        <w:t xml:space="preserve">Conclusion </w:t>
      </w:r>
    </w:p>
    <w:p w14:paraId="00000078" w14:textId="77777777" w:rsidR="00325578" w:rsidRDefault="00000000">
      <w:r>
        <w:t xml:space="preserve">Assault, criminal damage, and murder were all the results of Polly's acts. Because of her threatening </w:t>
      </w:r>
      <w:proofErr w:type="spellStart"/>
      <w:r>
        <w:t>behaviour</w:t>
      </w:r>
      <w:proofErr w:type="spellEnd"/>
      <w:r>
        <w:t xml:space="preserve"> towards Roxanne in the bar and the subsequent damage to Roxanne's moped, she may face criminal prosecution. The murder of Mohammed is the </w:t>
      </w:r>
      <w:r>
        <w:lastRenderedPageBreak/>
        <w:t xml:space="preserve">most severe crime here, though it may be reduced to manslaughter if certain </w:t>
      </w:r>
      <w:proofErr w:type="spellStart"/>
      <w:r>
        <w:t>defences</w:t>
      </w:r>
      <w:proofErr w:type="spellEnd"/>
      <w:r>
        <w:t xml:space="preserve"> are adequate. Polly's schizophrenia is a significant factor in deciding her level of liability in court. The only reasonable justifications for her </w:t>
      </w:r>
      <w:proofErr w:type="spellStart"/>
      <w:r>
        <w:t>behaviour</w:t>
      </w:r>
      <w:proofErr w:type="spellEnd"/>
      <w:r>
        <w:t xml:space="preserve"> are reduced responsibility and, to a lesser extent, insanity. She may use these </w:t>
      </w:r>
      <w:proofErr w:type="spellStart"/>
      <w:r>
        <w:t>defences</w:t>
      </w:r>
      <w:proofErr w:type="spellEnd"/>
      <w:r>
        <w:t xml:space="preserve"> to reduce or eliminate her criminal responsibility if the evidence supports her claim that her mental illness significantly hindered her ability to comprehend the nature of her actions or make sound decisions. This case demonstrates the intricacies of criminal law and the necessity of considering applicable case law and statutes in evaluating potential offences and </w:t>
      </w:r>
      <w:proofErr w:type="spellStart"/>
      <w:r>
        <w:t>defences</w:t>
      </w:r>
      <w:proofErr w:type="spellEnd"/>
      <w:r>
        <w:t>, particularly in cases involving mental health difficulties.</w:t>
      </w:r>
    </w:p>
    <w:p w14:paraId="00000079" w14:textId="77777777" w:rsidR="00325578" w:rsidRDefault="00325578"/>
    <w:p w14:paraId="0000007A" w14:textId="77777777" w:rsidR="00325578" w:rsidRDefault="00325578"/>
    <w:p w14:paraId="0000007B" w14:textId="77777777" w:rsidR="00325578" w:rsidRDefault="00325578"/>
    <w:p w14:paraId="0000007C" w14:textId="77777777" w:rsidR="00325578" w:rsidRDefault="00325578"/>
    <w:p w14:paraId="0000007D" w14:textId="77777777" w:rsidR="00325578" w:rsidRDefault="00325578"/>
    <w:p w14:paraId="0000007E" w14:textId="77777777" w:rsidR="00325578" w:rsidRDefault="00325578"/>
    <w:p w14:paraId="0000007F" w14:textId="77777777" w:rsidR="00325578" w:rsidRDefault="00325578"/>
    <w:p w14:paraId="00000080" w14:textId="77777777" w:rsidR="00325578" w:rsidRDefault="00325578"/>
    <w:p w14:paraId="00000081" w14:textId="77777777" w:rsidR="00325578" w:rsidRDefault="00325578"/>
    <w:p w14:paraId="00000082" w14:textId="77777777" w:rsidR="00325578" w:rsidRDefault="00325578"/>
    <w:p w14:paraId="00000083" w14:textId="77777777" w:rsidR="00325578" w:rsidRDefault="00325578"/>
    <w:p w14:paraId="00000084" w14:textId="77777777" w:rsidR="00325578" w:rsidRDefault="00325578"/>
    <w:p w14:paraId="00000085" w14:textId="77777777" w:rsidR="00325578" w:rsidRDefault="00325578"/>
    <w:p w14:paraId="00000086" w14:textId="77777777" w:rsidR="00325578" w:rsidRDefault="00325578"/>
    <w:p w14:paraId="00000087" w14:textId="77777777" w:rsidR="00325578" w:rsidRDefault="00325578"/>
    <w:p w14:paraId="00000088" w14:textId="77777777" w:rsidR="00325578" w:rsidRDefault="00325578"/>
    <w:p w14:paraId="00000089" w14:textId="77777777" w:rsidR="00325578" w:rsidRDefault="00325578"/>
    <w:p w14:paraId="0000008A" w14:textId="77777777" w:rsidR="00325578" w:rsidRDefault="00000000">
      <w:pPr>
        <w:pStyle w:val="Heading1"/>
      </w:pPr>
      <w:bookmarkStart w:id="4" w:name="_liq7d7agjdd7" w:colFirst="0" w:colLast="0"/>
      <w:bookmarkEnd w:id="4"/>
      <w:r>
        <w:t xml:space="preserve">References </w:t>
      </w:r>
    </w:p>
    <w:p w14:paraId="0000008B" w14:textId="77777777" w:rsidR="00325578" w:rsidRDefault="00000000">
      <w:pPr>
        <w:numPr>
          <w:ilvl w:val="0"/>
          <w:numId w:val="1"/>
        </w:numPr>
      </w:pPr>
      <w:r>
        <w:t>Criminal Law Act 1967, Section 3(1).</w:t>
      </w:r>
    </w:p>
    <w:p w14:paraId="0000008C" w14:textId="77777777" w:rsidR="00325578" w:rsidRDefault="00000000">
      <w:pPr>
        <w:numPr>
          <w:ilvl w:val="0"/>
          <w:numId w:val="1"/>
        </w:numPr>
      </w:pPr>
      <w:r>
        <w:t>Criminal Damage Act 1971, Section 1(1).</w:t>
      </w:r>
    </w:p>
    <w:p w14:paraId="0000008D" w14:textId="77777777" w:rsidR="00325578" w:rsidRDefault="00000000">
      <w:pPr>
        <w:numPr>
          <w:ilvl w:val="0"/>
          <w:numId w:val="1"/>
        </w:numPr>
      </w:pPr>
      <w:r>
        <w:t>Homicide Act 1957, Section 2.</w:t>
      </w:r>
    </w:p>
    <w:p w14:paraId="0000008E" w14:textId="77777777" w:rsidR="00325578" w:rsidRDefault="00000000">
      <w:pPr>
        <w:numPr>
          <w:ilvl w:val="0"/>
          <w:numId w:val="1"/>
        </w:numPr>
      </w:pPr>
      <w:r>
        <w:t>Coroners and Justice Act 2009, Sections 54 and 55.</w:t>
      </w:r>
    </w:p>
    <w:p w14:paraId="0000008F" w14:textId="77777777" w:rsidR="00325578" w:rsidRDefault="00000000">
      <w:pPr>
        <w:numPr>
          <w:ilvl w:val="0"/>
          <w:numId w:val="1"/>
        </w:numPr>
      </w:pPr>
      <w:r>
        <w:lastRenderedPageBreak/>
        <w:t>R V Constanza (1997) 2 Cr. App. R. 492.</w:t>
      </w:r>
    </w:p>
    <w:p w14:paraId="00000090" w14:textId="77777777" w:rsidR="00325578" w:rsidRDefault="00000000">
      <w:pPr>
        <w:numPr>
          <w:ilvl w:val="0"/>
          <w:numId w:val="1"/>
        </w:numPr>
      </w:pPr>
      <w:r>
        <w:t xml:space="preserve">R V </w:t>
      </w:r>
      <w:proofErr w:type="spellStart"/>
      <w:r>
        <w:t>Woollin</w:t>
      </w:r>
      <w:proofErr w:type="spellEnd"/>
      <w:r>
        <w:t xml:space="preserve"> (1999) 1 AC 82.</w:t>
      </w:r>
    </w:p>
    <w:p w14:paraId="00000091" w14:textId="77777777" w:rsidR="00325578" w:rsidRDefault="00000000">
      <w:pPr>
        <w:numPr>
          <w:ilvl w:val="0"/>
          <w:numId w:val="1"/>
        </w:numPr>
      </w:pPr>
      <w:r>
        <w:t>R V Kemp (1957) 1 QB 399.</w:t>
      </w:r>
    </w:p>
    <w:p w14:paraId="00000092" w14:textId="77777777" w:rsidR="00325578" w:rsidRDefault="00000000">
      <w:pPr>
        <w:numPr>
          <w:ilvl w:val="0"/>
          <w:numId w:val="1"/>
        </w:numPr>
      </w:pPr>
      <w:r>
        <w:t>R V Brennan (2014) EWCA Crim 2387.</w:t>
      </w:r>
    </w:p>
    <w:p w14:paraId="00000093" w14:textId="77777777" w:rsidR="00325578" w:rsidRDefault="00000000">
      <w:pPr>
        <w:numPr>
          <w:ilvl w:val="0"/>
          <w:numId w:val="1"/>
        </w:numPr>
      </w:pPr>
      <w:r>
        <w:t>R V Harris (2013) EWCA Crim 223.</w:t>
      </w:r>
    </w:p>
    <w:p w14:paraId="00000094" w14:textId="77777777" w:rsidR="00325578" w:rsidRDefault="00000000">
      <w:pPr>
        <w:numPr>
          <w:ilvl w:val="0"/>
          <w:numId w:val="1"/>
        </w:numPr>
      </w:pPr>
      <w:r>
        <w:t>R V Sangha (1998) Crim. LR 245.</w:t>
      </w:r>
    </w:p>
    <w:p w14:paraId="00000095" w14:textId="77777777" w:rsidR="00325578" w:rsidRDefault="00000000">
      <w:pPr>
        <w:numPr>
          <w:ilvl w:val="0"/>
          <w:numId w:val="1"/>
        </w:numPr>
      </w:pPr>
      <w:r>
        <w:t>R V Hatter (2013) EWCA Crim 1108.</w:t>
      </w:r>
    </w:p>
    <w:p w14:paraId="00000096" w14:textId="77777777" w:rsidR="00325578" w:rsidRDefault="00000000">
      <w:pPr>
        <w:numPr>
          <w:ilvl w:val="0"/>
          <w:numId w:val="1"/>
        </w:numPr>
      </w:pPr>
      <w:r>
        <w:t>R V Foye (2013) EWCA Crim 475.</w:t>
      </w:r>
    </w:p>
    <w:p w14:paraId="00000097" w14:textId="77777777" w:rsidR="00325578" w:rsidRDefault="00000000">
      <w:pPr>
        <w:numPr>
          <w:ilvl w:val="0"/>
          <w:numId w:val="1"/>
        </w:numPr>
      </w:pPr>
      <w:r>
        <w:t>R V Wilcocks (2016) EWCA Crim 81.</w:t>
      </w:r>
    </w:p>
    <w:p w14:paraId="00000098" w14:textId="77777777" w:rsidR="00325578" w:rsidRDefault="00000000">
      <w:pPr>
        <w:numPr>
          <w:ilvl w:val="0"/>
          <w:numId w:val="1"/>
        </w:numPr>
      </w:pPr>
      <w:r>
        <w:t>R V Moyle (2008) EWCA Crim 3059.</w:t>
      </w:r>
    </w:p>
    <w:p w14:paraId="00000099" w14:textId="77777777" w:rsidR="00325578" w:rsidRDefault="00000000">
      <w:pPr>
        <w:numPr>
          <w:ilvl w:val="0"/>
          <w:numId w:val="1"/>
        </w:numPr>
      </w:pPr>
      <w:r>
        <w:t>R V Lipman (1970) 1 QB 152.</w:t>
      </w:r>
    </w:p>
    <w:p w14:paraId="0000009A" w14:textId="77777777" w:rsidR="00325578" w:rsidRDefault="00325578">
      <w:pPr>
        <w:ind w:left="720"/>
      </w:pPr>
    </w:p>
    <w:p w14:paraId="0000009B" w14:textId="77777777" w:rsidR="00325578" w:rsidRDefault="00325578"/>
    <w:sectPr w:rsidR="00325578">
      <w:footerReference w:type="default" r:id="rId7"/>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AE8D045" w14:textId="77777777" w:rsidR="00F42F95" w:rsidRDefault="00F42F95" w:rsidP="005F5A0E">
      <w:pPr>
        <w:spacing w:line="240" w:lineRule="auto"/>
      </w:pPr>
      <w:r>
        <w:separator/>
      </w:r>
    </w:p>
  </w:endnote>
  <w:endnote w:type="continuationSeparator" w:id="0">
    <w:p w14:paraId="130C5901" w14:textId="77777777" w:rsidR="00F42F95" w:rsidRDefault="00F42F95" w:rsidP="005F5A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Roboto">
    <w:charset w:val="00"/>
    <w:family w:val="auto"/>
    <w:pitch w:val="variable"/>
    <w:sig w:usb0="E0000AFF" w:usb1="5000217F" w:usb2="00000021"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04830111"/>
      <w:docPartObj>
        <w:docPartGallery w:val="Page Numbers (Bottom of Page)"/>
        <w:docPartUnique/>
      </w:docPartObj>
    </w:sdtPr>
    <w:sdtEndPr>
      <w:rPr>
        <w:noProof/>
      </w:rPr>
    </w:sdtEndPr>
    <w:sdtContent>
      <w:p w14:paraId="2698F884" w14:textId="4988E5E4" w:rsidR="005F5A0E" w:rsidRDefault="005F5A0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684D4A1" w14:textId="77777777" w:rsidR="005F5A0E" w:rsidRDefault="005F5A0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F6704F" w14:textId="77777777" w:rsidR="00F42F95" w:rsidRDefault="00F42F95" w:rsidP="005F5A0E">
      <w:pPr>
        <w:spacing w:line="240" w:lineRule="auto"/>
      </w:pPr>
      <w:r>
        <w:separator/>
      </w:r>
    </w:p>
  </w:footnote>
  <w:footnote w:type="continuationSeparator" w:id="0">
    <w:p w14:paraId="22DADD2A" w14:textId="77777777" w:rsidR="00F42F95" w:rsidRDefault="00F42F95" w:rsidP="005F5A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1376E4D"/>
    <w:multiLevelType w:val="multilevel"/>
    <w:tmpl w:val="A3F6826E"/>
    <w:lvl w:ilvl="0">
      <w:start w:val="1"/>
      <w:numFmt w:val="decimal"/>
      <w:lvlText w:val="%1."/>
      <w:lvlJc w:val="left"/>
      <w:pPr>
        <w:ind w:left="720" w:hanging="360"/>
      </w:pPr>
      <w:rPr>
        <w:rFonts w:ascii="Roboto" w:eastAsia="Roboto" w:hAnsi="Roboto" w:cs="Roboto"/>
        <w:color w:val="374151"/>
        <w:sz w:val="24"/>
        <w:szCs w:val="24"/>
        <w:u w:val="none"/>
      </w:rPr>
    </w:lvl>
    <w:lvl w:ilvl="1">
      <w:start w:val="1"/>
      <w:numFmt w:val="lowerLetter"/>
      <w:lvlText w:val="%2."/>
      <w:lvlJc w:val="left"/>
      <w:pPr>
        <w:ind w:left="1440" w:hanging="360"/>
      </w:pPr>
      <w:rPr>
        <w:u w:val="none"/>
      </w:rPr>
    </w:lvl>
    <w:lvl w:ilvl="2">
      <w:start w:val="1"/>
      <w:numFmt w:val="lowerRoman"/>
      <w:lvlText w:val="%3."/>
      <w:lvlJc w:val="lef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lef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left"/>
      <w:pPr>
        <w:ind w:left="6480" w:hanging="360"/>
      </w:pPr>
      <w:rPr>
        <w:u w:val="none"/>
      </w:rPr>
    </w:lvl>
  </w:abstractNum>
  <w:num w:numId="1" w16cid:durableId="122829760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5578"/>
    <w:rsid w:val="00325578"/>
    <w:rsid w:val="005F5A0E"/>
    <w:rsid w:val="00AF02FC"/>
    <w:rsid w:val="00B408D2"/>
    <w:rsid w:val="00EA2295"/>
    <w:rsid w:val="00F42F9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8DE5CA"/>
  <w15:docId w15:val="{1B96D3F7-C94C-44FC-9479-E4A10A1E27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 w:eastAsia="en-US"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outlineLvl w:val="0"/>
    </w:pPr>
    <w:rPr>
      <w:b/>
      <w:color w:val="073763"/>
      <w:sz w:val="32"/>
      <w:szCs w:val="32"/>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5F5A0E"/>
    <w:pPr>
      <w:tabs>
        <w:tab w:val="center" w:pos="4680"/>
        <w:tab w:val="right" w:pos="9360"/>
      </w:tabs>
      <w:spacing w:line="240" w:lineRule="auto"/>
    </w:pPr>
  </w:style>
  <w:style w:type="character" w:customStyle="1" w:styleId="HeaderChar">
    <w:name w:val="Header Char"/>
    <w:basedOn w:val="DefaultParagraphFont"/>
    <w:link w:val="Header"/>
    <w:uiPriority w:val="99"/>
    <w:rsid w:val="005F5A0E"/>
  </w:style>
  <w:style w:type="paragraph" w:styleId="Footer">
    <w:name w:val="footer"/>
    <w:basedOn w:val="Normal"/>
    <w:link w:val="FooterChar"/>
    <w:uiPriority w:val="99"/>
    <w:unhideWhenUsed/>
    <w:rsid w:val="005F5A0E"/>
    <w:pPr>
      <w:tabs>
        <w:tab w:val="center" w:pos="4680"/>
        <w:tab w:val="right" w:pos="9360"/>
      </w:tabs>
      <w:spacing w:line="240" w:lineRule="auto"/>
    </w:pPr>
  </w:style>
  <w:style w:type="character" w:customStyle="1" w:styleId="FooterChar">
    <w:name w:val="Footer Char"/>
    <w:basedOn w:val="DefaultParagraphFont"/>
    <w:link w:val="Footer"/>
    <w:uiPriority w:val="99"/>
    <w:rsid w:val="005F5A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1641</Words>
  <Characters>9358</Characters>
  <Application>Microsoft Office Word</Application>
  <DocSecurity>0</DocSecurity>
  <Lines>77</Lines>
  <Paragraphs>21</Paragraphs>
  <ScaleCrop>false</ScaleCrop>
  <Company/>
  <LinksUpToDate>false</LinksUpToDate>
  <CharactersWithSpaces>10978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Hussan, Istiaque</cp:lastModifiedBy>
  <cp:revision>2</cp:revision>
  <dcterms:created xsi:type="dcterms:W3CDTF">2023-05-04T14:47:00Z</dcterms:created>
  <dcterms:modified xsi:type="dcterms:W3CDTF">2023-05-05T14:42:00Z</dcterms:modified>
</cp:coreProperties>
</file>