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3481B24C" w:rsidR="00986B43" w:rsidRPr="005D1BA6" w:rsidRDefault="00986B43" w:rsidP="005D3F07">
            <w:pPr>
              <w:overflowPunct/>
              <w:autoSpaceDE/>
              <w:autoSpaceDN/>
              <w:adjustRightInd/>
              <w:ind w:right="-957"/>
              <w:textAlignment w:val="auto"/>
              <w:rPr>
                <w:rFonts w:ascii="Times New Roman" w:hAnsi="Times New Roman" w:cs="Times New Roman"/>
                <w:b/>
                <w:color w:val="auto"/>
                <w:sz w:val="40"/>
                <w:szCs w:val="40"/>
              </w:rPr>
            </w:pPr>
            <w:r w:rsidRPr="005D1BA6">
              <w:rPr>
                <w:rFonts w:ascii="Times New Roman" w:hAnsi="Times New Roman" w:cs="Times New Roman"/>
                <w:b/>
                <w:color w:val="auto"/>
                <w:sz w:val="40"/>
                <w:szCs w:val="40"/>
              </w:rPr>
              <w:t>Learner’s name:</w:t>
            </w:r>
            <w:r w:rsidR="00247265" w:rsidRPr="005D1BA6">
              <w:rPr>
                <w:rFonts w:ascii="Times New Roman" w:hAnsi="Times New Roman" w:cs="Times New Roman"/>
                <w:b/>
                <w:color w:val="auto"/>
                <w:sz w:val="40"/>
                <w:szCs w:val="40"/>
              </w:rPr>
              <w:t xml:space="preserve"> </w:t>
            </w:r>
            <w:r w:rsidR="005D1BA6" w:rsidRPr="005D1BA6">
              <w:rPr>
                <w:rFonts w:ascii="Times New Roman" w:hAnsi="Times New Roman" w:cs="Times New Roman"/>
                <w:b/>
                <w:color w:val="auto"/>
                <w:sz w:val="40"/>
                <w:szCs w:val="40"/>
              </w:rPr>
              <w:t>Bethan Stubley</w:t>
            </w:r>
          </w:p>
          <w:p w14:paraId="0B6CD0DB" w14:textId="689515B5" w:rsidR="009C337F" w:rsidRPr="005D1BA6" w:rsidRDefault="009C337F" w:rsidP="005D3F07">
            <w:pPr>
              <w:overflowPunct/>
              <w:autoSpaceDE/>
              <w:autoSpaceDN/>
              <w:adjustRightInd/>
              <w:ind w:right="-957"/>
              <w:textAlignment w:val="auto"/>
              <w:rPr>
                <w:rFonts w:ascii="Times New Roman" w:hAnsi="Times New Roman" w:cs="Times New Roman"/>
                <w:b/>
                <w:color w:val="auto"/>
                <w:sz w:val="40"/>
                <w:szCs w:val="40"/>
              </w:rPr>
            </w:pPr>
          </w:p>
          <w:p w14:paraId="3A6EAAC7" w14:textId="7FB981B0" w:rsidR="009C337F" w:rsidRPr="005D1BA6" w:rsidRDefault="009C337F" w:rsidP="005D3F07">
            <w:pPr>
              <w:overflowPunct/>
              <w:autoSpaceDE/>
              <w:autoSpaceDN/>
              <w:adjustRightInd/>
              <w:ind w:right="-957"/>
              <w:textAlignment w:val="auto"/>
              <w:rPr>
                <w:rFonts w:ascii="Times New Roman" w:hAnsi="Times New Roman" w:cs="Times New Roman"/>
                <w:b/>
                <w:color w:val="auto"/>
                <w:sz w:val="40"/>
                <w:szCs w:val="40"/>
              </w:rPr>
            </w:pPr>
            <w:r w:rsidRPr="005D1BA6">
              <w:rPr>
                <w:rFonts w:ascii="Times New Roman" w:hAnsi="Times New Roman" w:cs="Times New Roman"/>
                <w:b/>
                <w:color w:val="auto"/>
                <w:sz w:val="40"/>
                <w:szCs w:val="40"/>
              </w:rPr>
              <w:t>Email address:</w:t>
            </w:r>
            <w:r w:rsidR="005D1BA6">
              <w:rPr>
                <w:rFonts w:ascii="Times New Roman" w:hAnsi="Times New Roman" w:cs="Times New Roman"/>
                <w:b/>
                <w:color w:val="auto"/>
                <w:sz w:val="40"/>
                <w:szCs w:val="40"/>
              </w:rPr>
              <w:t xml:space="preserve"> </w:t>
            </w:r>
            <w:r w:rsidR="005D1BA6" w:rsidRPr="005D1BA6">
              <w:rPr>
                <w:rFonts w:ascii="Times New Roman" w:hAnsi="Times New Roman" w:cs="Times New Roman"/>
                <w:b/>
                <w:color w:val="auto"/>
                <w:sz w:val="40"/>
                <w:szCs w:val="40"/>
              </w:rPr>
              <w:t>Bethan.Stubley2@wales.nhs.uk</w:t>
            </w:r>
          </w:p>
          <w:p w14:paraId="22E38809" w14:textId="77777777" w:rsidR="00986B43" w:rsidRPr="005D1BA6" w:rsidRDefault="00986B43" w:rsidP="005D3F07">
            <w:pPr>
              <w:overflowPunct/>
              <w:autoSpaceDE/>
              <w:autoSpaceDN/>
              <w:adjustRightInd/>
              <w:ind w:right="-957"/>
              <w:textAlignment w:val="auto"/>
              <w:rPr>
                <w:rFonts w:ascii="Times New Roman" w:hAnsi="Times New Roman" w:cs="Times New Roman"/>
                <w:b/>
                <w:color w:val="auto"/>
                <w:sz w:val="40"/>
                <w:szCs w:val="40"/>
              </w:rPr>
            </w:pPr>
          </w:p>
          <w:p w14:paraId="0DE696B2" w14:textId="7EFEA85A" w:rsidR="00F927A1" w:rsidRPr="005D1BA6" w:rsidRDefault="0085230E" w:rsidP="005D3F07">
            <w:pPr>
              <w:overflowPunct/>
              <w:autoSpaceDE/>
              <w:autoSpaceDN/>
              <w:adjustRightInd/>
              <w:ind w:right="-957"/>
              <w:textAlignment w:val="auto"/>
              <w:rPr>
                <w:rFonts w:ascii="Times New Roman" w:hAnsi="Times New Roman" w:cs="Times New Roman"/>
                <w:b/>
                <w:color w:val="auto"/>
                <w:sz w:val="40"/>
                <w:szCs w:val="40"/>
              </w:rPr>
            </w:pPr>
            <w:r w:rsidRPr="005D1BA6">
              <w:rPr>
                <w:rFonts w:ascii="Times New Roman" w:hAnsi="Times New Roman" w:cs="Times New Roman"/>
                <w:b/>
                <w:color w:val="auto"/>
                <w:sz w:val="40"/>
                <w:szCs w:val="40"/>
              </w:rPr>
              <w:t>Learner’s University Registration</w:t>
            </w:r>
            <w:r w:rsidR="00F927A1" w:rsidRPr="005D1BA6">
              <w:rPr>
                <w:rFonts w:ascii="Times New Roman" w:hAnsi="Times New Roman" w:cs="Times New Roman"/>
                <w:b/>
                <w:color w:val="auto"/>
                <w:sz w:val="40"/>
                <w:szCs w:val="40"/>
              </w:rPr>
              <w:t xml:space="preserve"> Number:</w:t>
            </w:r>
            <w:r w:rsidR="005D1BA6" w:rsidRPr="005D1BA6">
              <w:rPr>
                <w:rFonts w:ascii="Times New Roman" w:hAnsi="Times New Roman" w:cs="Times New Roman"/>
                <w:b/>
                <w:sz w:val="40"/>
                <w:szCs w:val="40"/>
              </w:rPr>
              <w:t xml:space="preserve"> 2239441</w:t>
            </w:r>
          </w:p>
          <w:p w14:paraId="622FD17A" w14:textId="77777777" w:rsidR="0085230E" w:rsidRPr="005D1BA6" w:rsidRDefault="0085230E" w:rsidP="005D3F07">
            <w:pPr>
              <w:overflowPunct/>
              <w:autoSpaceDE/>
              <w:autoSpaceDN/>
              <w:adjustRightInd/>
              <w:ind w:right="-957"/>
              <w:textAlignment w:val="auto"/>
              <w:rPr>
                <w:rFonts w:ascii="Times New Roman" w:hAnsi="Times New Roman" w:cs="Times New Roman"/>
                <w:b/>
                <w:color w:val="auto"/>
                <w:sz w:val="40"/>
                <w:szCs w:val="40"/>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5D1BA6">
              <w:rPr>
                <w:rFonts w:ascii="Times New Roman" w:hAnsi="Times New Roman" w:cs="Times New Roman"/>
                <w:b/>
                <w:color w:val="auto"/>
                <w:sz w:val="40"/>
                <w:szCs w:val="40"/>
              </w:rPr>
              <w:t xml:space="preserve">Cohort: </w:t>
            </w:r>
            <w:r w:rsidR="0049374F" w:rsidRPr="005D1BA6">
              <w:rPr>
                <w:rFonts w:ascii="Times New Roman" w:hAnsi="Times New Roman" w:cs="Times New Roman"/>
                <w:b/>
                <w:color w:val="auto"/>
                <w:sz w:val="40"/>
                <w:szCs w:val="40"/>
              </w:rPr>
              <w:t>21</w:t>
            </w:r>
            <w:r w:rsidR="00AE6231" w:rsidRPr="005D1BA6">
              <w:rPr>
                <w:rFonts w:ascii="Times New Roman" w:hAnsi="Times New Roman" w:cs="Times New Roman"/>
                <w:b/>
                <w:color w:val="auto"/>
                <w:sz w:val="40"/>
                <w:szCs w:val="40"/>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5E288A93" w14:textId="5B355166" w:rsidR="004575CB" w:rsidRPr="004575CB" w:rsidRDefault="004575CB" w:rsidP="004575C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4575CB">
              <w:rPr>
                <w:rFonts w:asciiTheme="minorHAnsi" w:eastAsiaTheme="minorHAnsi" w:hAnsiTheme="minorHAnsi" w:cstheme="minorBidi"/>
                <w:color w:val="auto"/>
                <w:sz w:val="22"/>
                <w:szCs w:val="22"/>
                <w:lang w:eastAsia="en-US"/>
              </w:rPr>
              <w:t xml:space="preserve">Currently The Wales Safeguarding Procedures (Social Care Wales, 2019) is in place to safeguard adults and children. Previously safeguarding children legislation was addressed within the Children Act (2004).  Imposing a duty on local authorities and other bodies to have safeguard children through section 28 of the Children Act 2004. However, following the introduction of The Social Services and Well-being (Wales) Act 2014 the importance of safeguarding children through clear legislation and accountability has been addressed in part 3 and 4 where local authorities have a duty to assess and meet care and support needs of children. Furthermore part 7 of The Social Services and well-being (Wales) Act 2014 places a duty to local authorities to develop safeguarding Children’s Boards regionally to identify difficulties in safeguarding children.    </w:t>
            </w:r>
          </w:p>
          <w:p w14:paraId="545919F2" w14:textId="77777777" w:rsidR="004575CB" w:rsidRPr="004575CB" w:rsidRDefault="004575CB" w:rsidP="004575C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4575CB">
              <w:rPr>
                <w:rFonts w:asciiTheme="minorHAnsi" w:eastAsiaTheme="minorHAnsi" w:hAnsiTheme="minorHAnsi" w:cstheme="minorBidi"/>
                <w:color w:val="auto"/>
                <w:sz w:val="22"/>
                <w:szCs w:val="22"/>
                <w:lang w:eastAsia="en-US"/>
              </w:rPr>
              <w:t>Due to the safeguarding boards The Wales Safeguarding Procedures (2019) was developed to promote legislation that made safeguarding easier to identify, your duty as a professional or public citizen, how to respond and how to most importantly support the individual through legislation. Through the current app, which promotes easy access, and up to date current information. Replacing the “All Wales Child Protection Procedure” (Welsh Government, 2008).</w:t>
            </w:r>
          </w:p>
          <w:p w14:paraId="79454302" w14:textId="77777777" w:rsidR="004575CB" w:rsidRPr="004575CB" w:rsidRDefault="004575CB" w:rsidP="004575C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4575CB">
              <w:rPr>
                <w:rFonts w:asciiTheme="minorHAnsi" w:eastAsiaTheme="minorHAnsi" w:hAnsiTheme="minorHAnsi" w:cstheme="minorBidi"/>
                <w:color w:val="auto"/>
                <w:sz w:val="22"/>
                <w:szCs w:val="22"/>
                <w:lang w:eastAsia="en-US"/>
              </w:rPr>
              <w:t xml:space="preserve">The safeguarding of children is everyone’s responsibility, which is clearly identified in The Social Services Well-being (Wales) Act 2014. Practitioners need to promote the welfare of children that are at risk of harm, abuse or neglect, whilst being clear on their organisational procedures, sharing information and working collaboratively with other agencies. Practitioners are expected to place the child’s best interest at the heart of their care and support (Welsh Government, 2014) with the child’s views, wishes and feelings identified (Law Wales, 2023). Practitioners also being aware of the rights of the child identified in the United Nations Convention on Children’s Rights (United Nations, 1992). </w:t>
            </w:r>
          </w:p>
          <w:p w14:paraId="7128ABB8" w14:textId="158BC0A2" w:rsidR="004575CB" w:rsidRPr="004575CB" w:rsidRDefault="004575CB" w:rsidP="004575C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4575CB">
              <w:rPr>
                <w:rFonts w:asciiTheme="minorHAnsi" w:eastAsiaTheme="minorHAnsi" w:hAnsiTheme="minorHAnsi" w:cstheme="minorBidi"/>
                <w:color w:val="auto"/>
                <w:sz w:val="22"/>
                <w:szCs w:val="22"/>
                <w:lang w:eastAsia="en-US"/>
              </w:rPr>
              <w:t xml:space="preserve">Practitioners must be proactive in identifying risk of harm, The Social Services Well-being (Wales) Act 2014 identifies early intervention, which can prevent difficulties escalating and support families so that Adverse Childhood experiences do not have a lasting </w:t>
            </w:r>
            <w:r w:rsidR="00402983" w:rsidRPr="004575CB">
              <w:rPr>
                <w:rFonts w:asciiTheme="minorHAnsi" w:eastAsiaTheme="minorHAnsi" w:hAnsiTheme="minorHAnsi" w:cstheme="minorBidi"/>
                <w:color w:val="auto"/>
                <w:sz w:val="22"/>
                <w:szCs w:val="22"/>
                <w:lang w:eastAsia="en-US"/>
              </w:rPr>
              <w:t>effect</w:t>
            </w:r>
            <w:r w:rsidRPr="004575CB">
              <w:rPr>
                <w:rFonts w:asciiTheme="minorHAnsi" w:eastAsiaTheme="minorHAnsi" w:hAnsiTheme="minorHAnsi" w:cstheme="minorBidi"/>
                <w:color w:val="auto"/>
                <w:sz w:val="22"/>
                <w:szCs w:val="22"/>
                <w:lang w:eastAsia="en-US"/>
              </w:rPr>
              <w:t xml:space="preserve"> on the child into adulthood (Public health Wales, 2022). When a Practitioner identifies risk of or actual harm to a child this will trigger a strategy multi agency meeting, completed in 24 hours of referral. Where a decision is made in regards to a section 47 investigation under the Children Act (1989) and whether this is a joint or single agency investigation between police and local </w:t>
            </w:r>
            <w:r w:rsidRPr="004575CB">
              <w:rPr>
                <w:rFonts w:asciiTheme="minorHAnsi" w:eastAsiaTheme="minorHAnsi" w:hAnsiTheme="minorHAnsi" w:cstheme="minorBidi"/>
                <w:color w:val="auto"/>
                <w:sz w:val="22"/>
                <w:szCs w:val="22"/>
                <w:lang w:eastAsia="en-US"/>
              </w:rPr>
              <w:lastRenderedPageBreak/>
              <w:t xml:space="preserve">authority. Once the investigation is completed, the multi-agency meeting will reconvene to establish the risks identified if any and what action should be considered for the best interest of the child. Which could be the removal of the child from the care of the responsible adult or care and support for the family to mitigate further risk.           </w:t>
            </w:r>
          </w:p>
          <w:p w14:paraId="4050A5C2" w14:textId="77777777" w:rsidR="004575CB" w:rsidRPr="004575CB" w:rsidRDefault="004575CB" w:rsidP="004575C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70F3DD50" w14:textId="77777777" w:rsidR="004575CB" w:rsidRPr="004575CB" w:rsidRDefault="004575CB" w:rsidP="004575C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4575CB">
              <w:rPr>
                <w:rFonts w:asciiTheme="minorHAnsi" w:eastAsiaTheme="minorHAnsi" w:hAnsiTheme="minorHAnsi" w:cstheme="minorBidi"/>
                <w:color w:val="auto"/>
                <w:sz w:val="22"/>
                <w:szCs w:val="22"/>
                <w:lang w:eastAsia="en-US"/>
              </w:rPr>
              <w:t>458 words</w:t>
            </w: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217C837F"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0CD6F4F" w14:textId="77777777" w:rsidR="005D1BA6" w:rsidRDefault="005D1BA6" w:rsidP="00FC0334">
            <w:pPr>
              <w:jc w:val="both"/>
              <w:rPr>
                <w:sz w:val="24"/>
                <w:szCs w:val="24"/>
              </w:rPr>
            </w:pPr>
          </w:p>
          <w:p w14:paraId="47CDD887" w14:textId="63B4931C" w:rsidR="005D1BA6" w:rsidRPr="005D1BA6" w:rsidRDefault="005D1BA6" w:rsidP="005D1BA6">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5D1BA6">
              <w:rPr>
                <w:rFonts w:asciiTheme="minorHAnsi" w:eastAsiaTheme="minorHAnsi" w:hAnsiTheme="minorHAnsi" w:cstheme="minorBidi"/>
                <w:color w:val="auto"/>
                <w:sz w:val="22"/>
                <w:szCs w:val="22"/>
                <w:lang w:eastAsia="en-US"/>
              </w:rPr>
              <w:t xml:space="preserve">The social services well-being (Wales) Act (2014) was seen as a positive legislation change to place both adults and children’s voices, and control at the heart of their outcomes, care and support needs. Furthermore, “The Wales Safeguarding Procedures” (2019) was developed to places both adult and children’s safeguarding at high importance. This provides regional safeguarding boards the duty to investigate the risk of harm, abuse or neglect of adults and children and to highlight any care and support needs a child or adult may have.  </w:t>
            </w:r>
          </w:p>
          <w:p w14:paraId="3EF88191" w14:textId="7094A663" w:rsidR="005D1BA6" w:rsidRPr="005D1BA6" w:rsidRDefault="005D1BA6" w:rsidP="005D1BA6">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5D1BA6">
              <w:rPr>
                <w:rFonts w:asciiTheme="minorHAnsi" w:eastAsiaTheme="minorHAnsi" w:hAnsiTheme="minorHAnsi" w:cstheme="minorBidi"/>
                <w:color w:val="auto"/>
                <w:sz w:val="22"/>
                <w:szCs w:val="22"/>
                <w:lang w:eastAsia="en-US"/>
              </w:rPr>
              <w:t>However, there continues to be main differences in regards to safeguarding children and adults. The main difference being an adult can make the decision not to engage in the safeguarding process. Consideration would be made in regards to Capacity (Mental Capacity Act, 2005) in regards to unwise decision making, which should not be used against an individual as a demonstration of lacking capacity. The Mental Capacity Act (2005) itself provides a legislation safeguard against using professional power and Bias (</w:t>
            </w:r>
            <w:r w:rsidR="000F1330">
              <w:rPr>
                <w:rFonts w:asciiTheme="minorHAnsi" w:eastAsiaTheme="minorHAnsi" w:hAnsiTheme="minorHAnsi" w:cstheme="minorBidi"/>
                <w:color w:val="auto"/>
                <w:sz w:val="22"/>
                <w:szCs w:val="22"/>
                <w:lang w:eastAsia="en-US"/>
              </w:rPr>
              <w:t>Bussey, 2023</w:t>
            </w:r>
            <w:r w:rsidRPr="005D1BA6">
              <w:rPr>
                <w:rFonts w:asciiTheme="minorHAnsi" w:eastAsiaTheme="minorHAnsi" w:hAnsiTheme="minorHAnsi" w:cstheme="minorBidi"/>
                <w:color w:val="auto"/>
                <w:sz w:val="22"/>
                <w:szCs w:val="22"/>
                <w:lang w:eastAsia="en-US"/>
              </w:rPr>
              <w:t xml:space="preserve">) against an individual through a high threshold of deeming a lack of capacity. Moreover, alongside The Social Services and Well-being (Wales) Act (2014) which highlights the importance of working in collaboration with individuals to promote their outcomes. Which supports the Human Rights Act (1998) in such matters as a right to a private life.   </w:t>
            </w:r>
          </w:p>
          <w:p w14:paraId="5E8F7F4D" w14:textId="148E7A8F" w:rsidR="005D1BA6" w:rsidRPr="005D1BA6" w:rsidRDefault="005D1BA6" w:rsidP="005D1BA6">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5D1BA6">
              <w:rPr>
                <w:rFonts w:asciiTheme="minorHAnsi" w:eastAsiaTheme="minorHAnsi" w:hAnsiTheme="minorHAnsi" w:cstheme="minorBidi"/>
                <w:color w:val="auto"/>
                <w:sz w:val="22"/>
                <w:szCs w:val="22"/>
                <w:lang w:eastAsia="en-US"/>
              </w:rPr>
              <w:t xml:space="preserve">In regards to Children’s safeguarding they do have The United Nations Convention on the Rights of a Child which are similar to The Human Rights (1998) which provides rights and responsibilities that are appropriate for the child’s age and stage of development. However, the child is deemed to not have capacity to make decisions in regards to risk and safeguarding and within the Convention a duty to protect children from violence (Article 19) is highlighted. The Social Services and Well-being (Wales) Act (2014) promotes the child’s voice, and collaboration regarding there outcomes be placed with great importance as with adult’s support. This importance of the child’s voice and control is supported by the “Gillick Competency” (1986) principle, where a child depending on their ability are provided with opportunities to make decision on their care and lives </w:t>
            </w:r>
            <w:proofErr w:type="spellStart"/>
            <w:r w:rsidRPr="005D1BA6">
              <w:rPr>
                <w:rFonts w:asciiTheme="minorHAnsi" w:eastAsiaTheme="minorHAnsi" w:hAnsiTheme="minorHAnsi" w:cstheme="minorBidi"/>
                <w:color w:val="auto"/>
                <w:sz w:val="22"/>
                <w:szCs w:val="22"/>
                <w:lang w:eastAsia="en-US"/>
              </w:rPr>
              <w:t>e.g</w:t>
            </w:r>
            <w:proofErr w:type="spellEnd"/>
            <w:r w:rsidRPr="005D1BA6">
              <w:rPr>
                <w:rFonts w:asciiTheme="minorHAnsi" w:eastAsiaTheme="minorHAnsi" w:hAnsiTheme="minorHAnsi" w:cstheme="minorBidi"/>
                <w:color w:val="auto"/>
                <w:sz w:val="22"/>
                <w:szCs w:val="22"/>
                <w:lang w:eastAsia="en-US"/>
              </w:rPr>
              <w:t xml:space="preserve"> consenting to medical treatment if they are aware of the implications of their decision making.  Which could provide a young adult with an opportunity to have more power and control of their lives.                </w:t>
            </w:r>
          </w:p>
          <w:p w14:paraId="42138ED4" w14:textId="77777777" w:rsidR="005D1BA6" w:rsidRPr="005D1BA6" w:rsidRDefault="005D1BA6" w:rsidP="005D1BA6">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035B3D67" w14:textId="77777777" w:rsidR="005D1BA6" w:rsidRPr="005D1BA6" w:rsidRDefault="005D1BA6" w:rsidP="005D1BA6">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5D1BA6">
              <w:rPr>
                <w:rFonts w:asciiTheme="minorHAnsi" w:eastAsiaTheme="minorHAnsi" w:hAnsiTheme="minorHAnsi" w:cstheme="minorBidi"/>
                <w:color w:val="auto"/>
                <w:sz w:val="22"/>
                <w:szCs w:val="22"/>
                <w:lang w:eastAsia="en-US"/>
              </w:rPr>
              <w:t>390 words</w:t>
            </w:r>
          </w:p>
          <w:p w14:paraId="4CABE426" w14:textId="77777777" w:rsidR="00FC0334" w:rsidRDefault="00FC0334" w:rsidP="00FC0334">
            <w:pPr>
              <w:jc w:val="both"/>
              <w:rPr>
                <w:sz w:val="24"/>
                <w:szCs w:val="24"/>
              </w:rPr>
            </w:pPr>
          </w:p>
          <w:p w14:paraId="795C6051" w14:textId="77777777" w:rsidR="00FC0334" w:rsidRDefault="00FC0334" w:rsidP="00FC0334">
            <w:pPr>
              <w:jc w:val="both"/>
              <w:rPr>
                <w:sz w:val="24"/>
                <w:szCs w:val="24"/>
              </w:rPr>
            </w:pPr>
          </w:p>
          <w:p w14:paraId="67E7ED72" w14:textId="77777777" w:rsidR="00FC0334" w:rsidRDefault="00FC0334" w:rsidP="00FC0334">
            <w:pPr>
              <w:jc w:val="both"/>
              <w:rPr>
                <w:sz w:val="24"/>
                <w:szCs w:val="24"/>
              </w:rPr>
            </w:pPr>
          </w:p>
          <w:p w14:paraId="478D2F84" w14:textId="77777777" w:rsidR="00FC0334" w:rsidRDefault="00FC0334" w:rsidP="00FC0334">
            <w:pPr>
              <w:jc w:val="both"/>
              <w:rPr>
                <w:sz w:val="24"/>
                <w:szCs w:val="24"/>
              </w:rPr>
            </w:pPr>
          </w:p>
          <w:p w14:paraId="0E64B386" w14:textId="77777777" w:rsidR="00FC0334" w:rsidRDefault="00FC0334" w:rsidP="00FC0334">
            <w:pPr>
              <w:jc w:val="both"/>
              <w:rPr>
                <w:sz w:val="24"/>
                <w:szCs w:val="24"/>
              </w:rPr>
            </w:pPr>
          </w:p>
          <w:p w14:paraId="4847C39E" w14:textId="77777777" w:rsidR="00FC0334" w:rsidRDefault="00FC0334" w:rsidP="00FC0334">
            <w:pPr>
              <w:jc w:val="both"/>
              <w:rPr>
                <w:sz w:val="24"/>
                <w:szCs w:val="24"/>
              </w:rPr>
            </w:pPr>
          </w:p>
          <w:p w14:paraId="04285720" w14:textId="77777777" w:rsidR="00FC0334" w:rsidRDefault="00FC0334" w:rsidP="00FC0334">
            <w:pPr>
              <w:jc w:val="both"/>
              <w:rPr>
                <w:sz w:val="24"/>
                <w:szCs w:val="24"/>
              </w:rPr>
            </w:pPr>
          </w:p>
          <w:p w14:paraId="1AA3081F" w14:textId="77777777" w:rsidR="00FC0334" w:rsidRDefault="00FC0334" w:rsidP="00FC0334">
            <w:pPr>
              <w:jc w:val="both"/>
              <w:rPr>
                <w:sz w:val="24"/>
                <w:szCs w:val="24"/>
              </w:rPr>
            </w:pP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276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330"/>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800"/>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2983"/>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575CB"/>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96484"/>
    <w:rsid w:val="005A1B4C"/>
    <w:rsid w:val="005A545C"/>
    <w:rsid w:val="005B271A"/>
    <w:rsid w:val="005B3A2D"/>
    <w:rsid w:val="005C1567"/>
    <w:rsid w:val="005C28D3"/>
    <w:rsid w:val="005C6CE5"/>
    <w:rsid w:val="005D1BA6"/>
    <w:rsid w:val="005D3F07"/>
    <w:rsid w:val="005D4A1E"/>
    <w:rsid w:val="005D4F72"/>
    <w:rsid w:val="005E13EA"/>
    <w:rsid w:val="005E17F1"/>
    <w:rsid w:val="005E3807"/>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5852"/>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3984"/>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276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1051</Words>
  <Characters>5832</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Bethan Stubley (BCUHB - Subtance Misuse)</cp:lastModifiedBy>
  <cp:revision>2</cp:revision>
  <cp:lastPrinted>2020-02-11T19:20:00Z</cp:lastPrinted>
  <dcterms:created xsi:type="dcterms:W3CDTF">2024-10-03T10:41:00Z</dcterms:created>
  <dcterms:modified xsi:type="dcterms:W3CDTF">2024-10-03T10:41:00Z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