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963BC4" w:rsidR="00847925" w:rsidP="009F40AA" w:rsidRDefault="00847925" w14:paraId="51405B60" w14:textId="4D9AB14E">
      <w:pPr>
        <w:pBdr>
          <w:bottom w:val="single" w:color="auto" w:sz="6" w:space="1"/>
        </w:pBdr>
        <w:jc w:val="center"/>
        <w:rPr>
          <w:rFonts w:ascii="Arial" w:hAnsi="Arial" w:cs="Arial"/>
          <w:b/>
          <w:bCs/>
          <w:sz w:val="32"/>
          <w:szCs w:val="28"/>
        </w:rPr>
      </w:pPr>
    </w:p>
    <w:p w:rsidRPr="00963BC4" w:rsidR="00A07299" w:rsidP="009F40AA" w:rsidRDefault="00424DF6" w14:paraId="45B54847" w14:textId="38F0EF00">
      <w:pPr>
        <w:pBdr>
          <w:bottom w:val="single" w:color="auto" w:sz="6" w:space="1"/>
        </w:pBdr>
        <w:jc w:val="center"/>
        <w:rPr>
          <w:rFonts w:ascii="Arial" w:hAnsi="Arial" w:cs="Arial"/>
          <w:b/>
          <w:bCs/>
          <w:sz w:val="32"/>
          <w:szCs w:val="28"/>
        </w:rPr>
      </w:pPr>
      <w:r w:rsidRPr="00963BC4">
        <w:rPr>
          <w:rFonts w:ascii="Arial" w:hAnsi="Arial" w:cs="Arial"/>
          <w:b/>
          <w:bCs/>
          <w:noProof/>
          <w:sz w:val="32"/>
          <w:szCs w:val="28"/>
          <w:lang w:val="en-US" w:eastAsia="en-US"/>
        </w:rPr>
        <w:drawing>
          <wp:inline distT="0" distB="0" distL="0" distR="0" wp14:anchorId="0E0DABF1" wp14:editId="3D8A0754">
            <wp:extent cx="1810385" cy="725170"/>
            <wp:effectExtent l="0" t="0" r="0" b="0"/>
            <wp:docPr id="1976421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rsidRPr="00963BC4" w:rsidR="00847925" w:rsidP="009F40AA" w:rsidRDefault="00CC49DE" w14:paraId="196D50CB" w14:textId="5682EB5F">
      <w:pPr>
        <w:pBdr>
          <w:bottom w:val="single" w:color="auto" w:sz="6" w:space="1"/>
        </w:pBdr>
        <w:jc w:val="center"/>
        <w:rPr>
          <w:rFonts w:ascii="Arial" w:hAnsi="Arial" w:cs="Arial"/>
          <w:b/>
          <w:bCs/>
          <w:sz w:val="32"/>
          <w:szCs w:val="28"/>
        </w:rPr>
      </w:pPr>
      <w:r w:rsidRPr="00963BC4">
        <w:rPr>
          <w:rFonts w:ascii="Arial" w:hAnsi="Arial" w:cs="Arial"/>
          <w:b/>
          <w:bCs/>
          <w:sz w:val="32"/>
          <w:szCs w:val="28"/>
        </w:rPr>
        <w:t xml:space="preserve">LCMB7034 </w:t>
      </w:r>
      <w:r w:rsidRPr="00963BC4" w:rsidR="003B608E">
        <w:rPr>
          <w:rFonts w:ascii="Arial" w:hAnsi="Arial" w:cs="Arial"/>
          <w:b/>
          <w:bCs/>
          <w:sz w:val="32"/>
          <w:szCs w:val="28"/>
        </w:rPr>
        <w:t>International Business Concepts</w:t>
      </w:r>
    </w:p>
    <w:p w:rsidRPr="00963BC4" w:rsidR="007E492D" w:rsidP="009F40AA" w:rsidRDefault="007E492D" w14:paraId="7401EFE6" w14:textId="77777777">
      <w:pPr>
        <w:pBdr>
          <w:bottom w:val="single" w:color="auto" w:sz="6" w:space="1"/>
        </w:pBdr>
        <w:rPr>
          <w:rFonts w:ascii="Arial" w:hAnsi="Arial" w:cs="Arial"/>
          <w:b/>
          <w:bCs/>
          <w:sz w:val="28"/>
          <w:szCs w:val="28"/>
        </w:rPr>
      </w:pPr>
    </w:p>
    <w:p w:rsidRPr="00963BC4" w:rsidR="000C4B1A" w:rsidP="009F40AA" w:rsidRDefault="005D15D3" w14:paraId="6A6332D5" w14:textId="77A8593C">
      <w:pPr>
        <w:pBdr>
          <w:bottom w:val="single" w:color="auto" w:sz="6" w:space="1"/>
        </w:pBdr>
        <w:rPr>
          <w:rFonts w:ascii="Arial" w:hAnsi="Arial" w:cs="Arial"/>
          <w:b/>
          <w:bCs/>
          <w:i/>
          <w:iCs/>
          <w:sz w:val="32"/>
          <w:szCs w:val="32"/>
        </w:rPr>
      </w:pPr>
      <w:r w:rsidRPr="00963BC4">
        <w:rPr>
          <w:rFonts w:ascii="Arial" w:hAnsi="Arial" w:cs="Arial"/>
          <w:b/>
          <w:bCs/>
          <w:i/>
          <w:iCs/>
          <w:sz w:val="32"/>
          <w:szCs w:val="32"/>
        </w:rPr>
        <w:t>International Competitiveness of China’s Electric Vehicle Industry and Tesla’s Strategic Position: An Application of Porter’s Diamond and International Business Frameworks</w:t>
      </w:r>
    </w:p>
    <w:p w:rsidRPr="00963BC4" w:rsidR="000C4B1A" w:rsidP="009F40AA" w:rsidRDefault="000C4B1A" w14:paraId="7AA1F4FC" w14:textId="77777777">
      <w:pPr>
        <w:rPr>
          <w:rFonts w:ascii="Arial" w:hAnsi="Arial" w:cs="Arial"/>
          <w:b/>
          <w:bCs/>
          <w:sz w:val="28"/>
          <w:szCs w:val="24"/>
        </w:rPr>
      </w:pPr>
    </w:p>
    <w:p w:rsidRPr="00963BC4" w:rsidR="00424DF6" w:rsidP="009F40AA" w:rsidRDefault="00424DF6" w14:paraId="24FA10E7" w14:textId="3DA87FC1">
      <w:pPr>
        <w:rPr>
          <w:rFonts w:ascii="Arial" w:hAnsi="Arial" w:cs="Arial"/>
          <w:b/>
          <w:bCs/>
          <w:sz w:val="28"/>
          <w:szCs w:val="24"/>
        </w:rPr>
      </w:pPr>
      <w:r w:rsidRPr="00963BC4">
        <w:rPr>
          <w:rFonts w:ascii="Arial" w:hAnsi="Arial" w:cs="Arial"/>
          <w:b/>
          <w:bCs/>
          <w:sz w:val="28"/>
          <w:szCs w:val="24"/>
        </w:rPr>
        <w:t>Programme: Master of Business Administration</w:t>
      </w:r>
    </w:p>
    <w:p w:rsidRPr="00963BC4" w:rsidR="00424DF6" w:rsidP="009F40AA" w:rsidRDefault="00424DF6" w14:paraId="3A7463CA" w14:textId="433BE10A">
      <w:pPr>
        <w:rPr>
          <w:rFonts w:ascii="Arial" w:hAnsi="Arial" w:cs="Arial"/>
          <w:b w:val="1"/>
          <w:bCs w:val="1"/>
          <w:sz w:val="28"/>
          <w:szCs w:val="28"/>
        </w:rPr>
      </w:pPr>
      <w:r w:rsidRPr="5CA6A91A" w:rsidR="00424DF6">
        <w:rPr>
          <w:rFonts w:ascii="Arial" w:hAnsi="Arial" w:cs="Arial"/>
          <w:b w:val="1"/>
          <w:bCs w:val="1"/>
          <w:sz w:val="28"/>
          <w:szCs w:val="28"/>
        </w:rPr>
        <w:t xml:space="preserve">Lecturer: </w:t>
      </w:r>
      <w:r w:rsidRPr="5CA6A91A" w:rsidR="2466E301">
        <w:rPr>
          <w:rFonts w:ascii="Arial" w:hAnsi="Arial" w:cs="Arial"/>
          <w:b w:val="1"/>
          <w:bCs w:val="1"/>
          <w:sz w:val="28"/>
          <w:szCs w:val="28"/>
        </w:rPr>
        <w:t>Dr Robert Ejike Undeogu</w:t>
      </w:r>
    </w:p>
    <w:p w:rsidRPr="00963BC4" w:rsidR="00CE2496" w:rsidP="00CE2496" w:rsidRDefault="00CE2496" w14:paraId="3BE0997A" w14:textId="77777777">
      <w:pPr>
        <w:rPr>
          <w:rFonts w:ascii="Arial" w:hAnsi="Arial" w:cs="Arial"/>
          <w:b/>
          <w:bCs/>
          <w:sz w:val="28"/>
          <w:szCs w:val="24"/>
        </w:rPr>
      </w:pPr>
      <w:r w:rsidRPr="00963BC4">
        <w:rPr>
          <w:rFonts w:ascii="Arial" w:hAnsi="Arial" w:cs="Arial"/>
          <w:b/>
          <w:bCs/>
          <w:sz w:val="28"/>
          <w:szCs w:val="24"/>
        </w:rPr>
        <w:t xml:space="preserve">Student name: Syed </w:t>
      </w:r>
      <w:proofErr w:type="spellStart"/>
      <w:r w:rsidRPr="00963BC4">
        <w:rPr>
          <w:rFonts w:ascii="Arial" w:hAnsi="Arial" w:cs="Arial"/>
          <w:b/>
          <w:bCs/>
          <w:sz w:val="28"/>
          <w:szCs w:val="24"/>
        </w:rPr>
        <w:t>Ajharul</w:t>
      </w:r>
      <w:proofErr w:type="spellEnd"/>
      <w:r w:rsidRPr="00963BC4">
        <w:rPr>
          <w:rFonts w:ascii="Arial" w:hAnsi="Arial" w:cs="Arial"/>
          <w:b/>
          <w:bCs/>
          <w:sz w:val="28"/>
          <w:szCs w:val="24"/>
        </w:rPr>
        <w:t xml:space="preserve"> Amin</w:t>
      </w:r>
    </w:p>
    <w:p w:rsidRPr="00963BC4" w:rsidR="00CE2496" w:rsidP="00CE2496" w:rsidRDefault="00CE2496" w14:paraId="5B3C02A8" w14:textId="77777777">
      <w:pPr>
        <w:rPr>
          <w:rFonts w:ascii="Arial" w:hAnsi="Arial" w:cs="Arial"/>
          <w:b/>
          <w:bCs/>
          <w:sz w:val="28"/>
          <w:szCs w:val="24"/>
        </w:rPr>
      </w:pPr>
      <w:r w:rsidRPr="00963BC4">
        <w:rPr>
          <w:rFonts w:ascii="Arial" w:hAnsi="Arial" w:cs="Arial"/>
          <w:b/>
          <w:bCs/>
          <w:sz w:val="28"/>
          <w:szCs w:val="24"/>
        </w:rPr>
        <w:t>Student ID: 2436655</w:t>
      </w:r>
    </w:p>
    <w:p w:rsidRPr="00963BC4" w:rsidR="00FE1D40" w:rsidP="00CE2496" w:rsidRDefault="00FE1D40" w14:paraId="13195821" w14:textId="26673A1B">
      <w:pPr>
        <w:rPr>
          <w:rFonts w:ascii="Arial" w:hAnsi="Arial" w:cs="Arial"/>
          <w:b/>
          <w:bCs/>
          <w:sz w:val="28"/>
          <w:szCs w:val="24"/>
        </w:rPr>
      </w:pPr>
      <w:r w:rsidRPr="00963BC4">
        <w:rPr>
          <w:rFonts w:ascii="Arial" w:hAnsi="Arial" w:cs="Arial"/>
          <w:b/>
          <w:bCs/>
          <w:sz w:val="28"/>
          <w:szCs w:val="24"/>
        </w:rPr>
        <w:t xml:space="preserve">Word </w:t>
      </w:r>
      <w:r w:rsidRPr="00963BC4" w:rsidR="004F5ED0">
        <w:rPr>
          <w:rFonts w:ascii="Arial" w:hAnsi="Arial" w:cs="Arial"/>
          <w:b/>
          <w:bCs/>
          <w:sz w:val="28"/>
          <w:szCs w:val="24"/>
        </w:rPr>
        <w:t>C</w:t>
      </w:r>
      <w:r w:rsidRPr="00963BC4">
        <w:rPr>
          <w:rFonts w:ascii="Arial" w:hAnsi="Arial" w:cs="Arial"/>
          <w:b/>
          <w:bCs/>
          <w:sz w:val="28"/>
          <w:szCs w:val="24"/>
        </w:rPr>
        <w:t xml:space="preserve">ount: </w:t>
      </w:r>
      <w:r w:rsidR="00BB1B4B">
        <w:rPr>
          <w:rFonts w:ascii="Arial" w:hAnsi="Arial" w:cs="Arial"/>
          <w:b/>
          <w:bCs/>
          <w:sz w:val="28"/>
          <w:szCs w:val="24"/>
        </w:rPr>
        <w:t>5064</w:t>
      </w:r>
    </w:p>
    <w:p w:rsidRPr="00963BC4" w:rsidR="00FE1D40" w:rsidP="009F40AA" w:rsidRDefault="00FE1D40" w14:paraId="6DA13BDB" w14:textId="56474795">
      <w:pPr>
        <w:rPr>
          <w:rFonts w:ascii="Arial" w:hAnsi="Arial" w:cs="Arial"/>
          <w:b/>
          <w:bCs/>
          <w:sz w:val="28"/>
          <w:szCs w:val="24"/>
        </w:rPr>
      </w:pPr>
      <w:r w:rsidRPr="00963BC4">
        <w:rPr>
          <w:rFonts w:ascii="Arial" w:hAnsi="Arial" w:cs="Arial"/>
          <w:b/>
          <w:bCs/>
          <w:sz w:val="28"/>
          <w:szCs w:val="24"/>
        </w:rPr>
        <w:t xml:space="preserve">Submission Deadline: </w:t>
      </w:r>
      <w:r w:rsidRPr="00963BC4" w:rsidR="00424DF6">
        <w:rPr>
          <w:rFonts w:ascii="Arial" w:hAnsi="Arial" w:cs="Arial"/>
          <w:b/>
          <w:bCs/>
          <w:sz w:val="28"/>
          <w:szCs w:val="24"/>
        </w:rPr>
        <w:t>Friday 20/03/2026 by 2pm</w:t>
      </w:r>
    </w:p>
    <w:p w:rsidRPr="00963BC4" w:rsidR="000E002D" w:rsidP="009F40AA" w:rsidRDefault="000E002D" w14:paraId="53014ADF" w14:textId="73A22B1E">
      <w:pPr>
        <w:spacing w:before="0" w:after="160"/>
        <w:jc w:val="left"/>
        <w:rPr>
          <w:rFonts w:ascii="Arial" w:hAnsi="Arial" w:cs="Arial"/>
          <w:b/>
          <w:bCs/>
          <w:sz w:val="28"/>
          <w:szCs w:val="24"/>
        </w:rPr>
      </w:pPr>
      <w:r w:rsidRPr="00963BC4">
        <w:rPr>
          <w:rFonts w:ascii="Arial" w:hAnsi="Arial" w:cs="Arial"/>
          <w:b/>
          <w:bCs/>
          <w:sz w:val="28"/>
          <w:szCs w:val="24"/>
        </w:rPr>
        <w:br w:type="page"/>
      </w:r>
    </w:p>
    <w:sdt>
      <w:sdtPr>
        <w:rPr>
          <w:rFonts w:ascii="Arial" w:hAnsi="Arial" w:cs="Arial"/>
          <w:color w:val="auto"/>
          <w:kern w:val="2"/>
          <w:sz w:val="24"/>
          <w:szCs w:val="22"/>
          <w:lang w:val="en-GB" w:eastAsia="en-GB"/>
          <w14:ligatures w14:val="standardContextual"/>
        </w:rPr>
        <w:id w:val="2031063771"/>
        <w:docPartObj>
          <w:docPartGallery w:val="Table of Contents"/>
          <w:docPartUnique/>
        </w:docPartObj>
      </w:sdtPr>
      <w:sdtEndPr>
        <w:rPr>
          <w:rFonts w:ascii="Arial" w:hAnsi="Arial" w:cs="Arial"/>
          <w:b w:val="1"/>
          <w:bCs w:val="1"/>
          <w:noProof/>
          <w:color w:val="auto"/>
          <w:sz w:val="24"/>
          <w:szCs w:val="24"/>
          <w:lang w:val="en-GB" w:eastAsia="en-GB"/>
        </w:rPr>
      </w:sdtEndPr>
      <w:sdtContent>
        <w:p w:rsidRPr="00BB1B4B" w:rsidR="000E002D" w:rsidP="002B5222" w:rsidRDefault="000E002D" w14:paraId="32008E9C" w14:textId="4DB1E416">
          <w:pPr>
            <w:pStyle w:val="TOCHeading"/>
            <w:spacing w:line="276" w:lineRule="auto"/>
            <w:jc w:val="center"/>
            <w:rPr>
              <w:rFonts w:ascii="Arial" w:hAnsi="Arial" w:cs="Arial"/>
              <w:b/>
              <w:bCs/>
              <w:color w:val="auto"/>
            </w:rPr>
          </w:pPr>
          <w:r w:rsidRPr="00BB1B4B">
            <w:rPr>
              <w:rFonts w:ascii="Arial" w:hAnsi="Arial" w:cs="Arial"/>
              <w:b/>
              <w:bCs/>
              <w:color w:val="auto"/>
            </w:rPr>
            <w:t>Table of Contents</w:t>
          </w:r>
        </w:p>
        <w:p w:rsidR="002B5222" w:rsidP="002B5222" w:rsidRDefault="000E002D" w14:paraId="5C7E446E" w14:textId="25A67A8E">
          <w:pPr>
            <w:pStyle w:val="TOC1"/>
            <w:spacing w:line="276" w:lineRule="auto"/>
            <w:rPr>
              <w:rFonts w:asciiTheme="minorHAnsi" w:hAnsiTheme="minorHAnsi" w:eastAsiaTheme="minorEastAsia" w:cstheme="minorBidi"/>
              <w:b w:val="0"/>
              <w:bCs w:val="0"/>
              <w:szCs w:val="24"/>
              <w:lang w:val="en-US" w:eastAsia="en-US"/>
            </w:rPr>
          </w:pPr>
          <w:r w:rsidRPr="00963BC4">
            <w:rPr>
              <w:rFonts w:ascii="Arial" w:hAnsi="Arial" w:cs="Arial"/>
            </w:rPr>
            <w:fldChar w:fldCharType="begin"/>
          </w:r>
          <w:r w:rsidRPr="00963BC4">
            <w:rPr>
              <w:rFonts w:ascii="Arial" w:hAnsi="Arial" w:cs="Arial"/>
            </w:rPr>
            <w:instrText xml:space="preserve"> TOC \o "1-3" \h \z \u </w:instrText>
          </w:r>
          <w:r w:rsidRPr="00963BC4">
            <w:rPr>
              <w:rFonts w:ascii="Arial" w:hAnsi="Arial" w:cs="Arial"/>
            </w:rPr>
            <w:fldChar w:fldCharType="separate"/>
          </w:r>
          <w:hyperlink w:history="1" w:anchor="_Toc224702553">
            <w:r w:rsidRPr="00F36F5E" w:rsidR="002B5222">
              <w:rPr>
                <w:rStyle w:val="Hyperlink"/>
                <w:rFonts w:ascii="Arial" w:hAnsi="Arial" w:cs="Arial"/>
              </w:rPr>
              <w:t>1.0 Introduction</w:t>
            </w:r>
            <w:r w:rsidR="002B5222">
              <w:rPr>
                <w:webHidden/>
              </w:rPr>
              <w:tab/>
            </w:r>
            <w:r w:rsidR="002B5222">
              <w:rPr>
                <w:webHidden/>
              </w:rPr>
              <w:fldChar w:fldCharType="begin"/>
            </w:r>
            <w:r w:rsidR="002B5222">
              <w:rPr>
                <w:webHidden/>
              </w:rPr>
              <w:instrText xml:space="preserve"> PAGEREF _Toc224702553 \h </w:instrText>
            </w:r>
            <w:r w:rsidR="002B5222">
              <w:rPr>
                <w:webHidden/>
              </w:rPr>
            </w:r>
            <w:r w:rsidR="002B5222">
              <w:rPr>
                <w:webHidden/>
              </w:rPr>
              <w:fldChar w:fldCharType="separate"/>
            </w:r>
            <w:r w:rsidR="002B5222">
              <w:rPr>
                <w:webHidden/>
              </w:rPr>
              <w:t>3</w:t>
            </w:r>
            <w:r w:rsidR="002B5222">
              <w:rPr>
                <w:webHidden/>
              </w:rPr>
              <w:fldChar w:fldCharType="end"/>
            </w:r>
          </w:hyperlink>
        </w:p>
        <w:p w:rsidR="002B5222" w:rsidP="002B5222" w:rsidRDefault="002B5222" w14:paraId="731414BD" w14:textId="05256ECA">
          <w:pPr>
            <w:pStyle w:val="TOC1"/>
            <w:spacing w:line="276" w:lineRule="auto"/>
            <w:rPr>
              <w:rFonts w:asciiTheme="minorHAnsi" w:hAnsiTheme="minorHAnsi" w:eastAsiaTheme="minorEastAsia" w:cstheme="minorBidi"/>
              <w:b w:val="0"/>
              <w:bCs w:val="0"/>
              <w:szCs w:val="24"/>
              <w:lang w:val="en-US" w:eastAsia="en-US"/>
            </w:rPr>
          </w:pPr>
          <w:hyperlink w:history="1" w:anchor="_Toc224702554">
            <w:r w:rsidRPr="00F36F5E">
              <w:rPr>
                <w:rStyle w:val="Hyperlink"/>
                <w:rFonts w:ascii="Arial" w:hAnsi="Arial" w:cs="Arial"/>
              </w:rPr>
              <w:t>2.0 Industry and Country Overview</w:t>
            </w:r>
            <w:r>
              <w:rPr>
                <w:webHidden/>
              </w:rPr>
              <w:tab/>
            </w:r>
            <w:r>
              <w:rPr>
                <w:webHidden/>
              </w:rPr>
              <w:fldChar w:fldCharType="begin"/>
            </w:r>
            <w:r>
              <w:rPr>
                <w:webHidden/>
              </w:rPr>
              <w:instrText xml:space="preserve"> PAGEREF _Toc224702554 \h </w:instrText>
            </w:r>
            <w:r>
              <w:rPr>
                <w:webHidden/>
              </w:rPr>
            </w:r>
            <w:r>
              <w:rPr>
                <w:webHidden/>
              </w:rPr>
              <w:fldChar w:fldCharType="separate"/>
            </w:r>
            <w:r>
              <w:rPr>
                <w:webHidden/>
              </w:rPr>
              <w:t>4</w:t>
            </w:r>
            <w:r>
              <w:rPr>
                <w:webHidden/>
              </w:rPr>
              <w:fldChar w:fldCharType="end"/>
            </w:r>
          </w:hyperlink>
        </w:p>
        <w:p w:rsidR="002B5222" w:rsidP="002B5222" w:rsidRDefault="002B5222" w14:paraId="646C7C43" w14:textId="1BA023A9">
          <w:pPr>
            <w:pStyle w:val="TOC2"/>
            <w:tabs>
              <w:tab w:val="right" w:leader="dot" w:pos="9016"/>
            </w:tabs>
            <w:spacing w:line="276" w:lineRule="auto"/>
            <w:rPr>
              <w:rFonts w:asciiTheme="minorHAnsi" w:hAnsiTheme="minorHAnsi" w:eastAsiaTheme="minorEastAsia" w:cstheme="minorBidi"/>
              <w:noProof/>
              <w:szCs w:val="24"/>
              <w:lang w:val="en-US" w:eastAsia="en-US"/>
            </w:rPr>
          </w:pPr>
          <w:hyperlink w:history="1" w:anchor="_Toc224702555">
            <w:r w:rsidRPr="00F36F5E">
              <w:rPr>
                <w:rStyle w:val="Hyperlink"/>
                <w:rFonts w:ascii="Arial" w:hAnsi="Arial" w:cs="Arial" w:eastAsiaTheme="majorEastAsia"/>
                <w:noProof/>
              </w:rPr>
              <w:t>2.1 China’s macroeconomic and policy context for EVs</w:t>
            </w:r>
            <w:r>
              <w:rPr>
                <w:noProof/>
                <w:webHidden/>
              </w:rPr>
              <w:tab/>
            </w:r>
            <w:r>
              <w:rPr>
                <w:noProof/>
                <w:webHidden/>
              </w:rPr>
              <w:fldChar w:fldCharType="begin"/>
            </w:r>
            <w:r>
              <w:rPr>
                <w:noProof/>
                <w:webHidden/>
              </w:rPr>
              <w:instrText xml:space="preserve"> PAGEREF _Toc224702555 \h </w:instrText>
            </w:r>
            <w:r>
              <w:rPr>
                <w:noProof/>
                <w:webHidden/>
              </w:rPr>
            </w:r>
            <w:r>
              <w:rPr>
                <w:noProof/>
                <w:webHidden/>
              </w:rPr>
              <w:fldChar w:fldCharType="separate"/>
            </w:r>
            <w:r>
              <w:rPr>
                <w:noProof/>
                <w:webHidden/>
              </w:rPr>
              <w:t>4</w:t>
            </w:r>
            <w:r>
              <w:rPr>
                <w:noProof/>
                <w:webHidden/>
              </w:rPr>
              <w:fldChar w:fldCharType="end"/>
            </w:r>
          </w:hyperlink>
        </w:p>
        <w:p w:rsidR="002B5222" w:rsidP="002B5222" w:rsidRDefault="002B5222" w14:paraId="30E7FBDE" w14:textId="28F871B2">
          <w:pPr>
            <w:pStyle w:val="TOC2"/>
            <w:tabs>
              <w:tab w:val="right" w:leader="dot" w:pos="9016"/>
            </w:tabs>
            <w:spacing w:line="276" w:lineRule="auto"/>
            <w:rPr>
              <w:rFonts w:asciiTheme="minorHAnsi" w:hAnsiTheme="minorHAnsi" w:eastAsiaTheme="minorEastAsia" w:cstheme="minorBidi"/>
              <w:noProof/>
              <w:szCs w:val="24"/>
              <w:lang w:val="en-US" w:eastAsia="en-US"/>
            </w:rPr>
          </w:pPr>
          <w:hyperlink w:history="1" w:anchor="_Toc224702556">
            <w:r w:rsidRPr="00F36F5E">
              <w:rPr>
                <w:rStyle w:val="Hyperlink"/>
                <w:rFonts w:ascii="Arial" w:hAnsi="Arial" w:cs="Arial" w:eastAsiaTheme="majorEastAsia"/>
                <w:noProof/>
              </w:rPr>
              <w:t>2.2 Size, scope and economic importance of the Chinese EV industry</w:t>
            </w:r>
            <w:r>
              <w:rPr>
                <w:noProof/>
                <w:webHidden/>
              </w:rPr>
              <w:tab/>
            </w:r>
            <w:r>
              <w:rPr>
                <w:noProof/>
                <w:webHidden/>
              </w:rPr>
              <w:fldChar w:fldCharType="begin"/>
            </w:r>
            <w:r>
              <w:rPr>
                <w:noProof/>
                <w:webHidden/>
              </w:rPr>
              <w:instrText xml:space="preserve"> PAGEREF _Toc224702556 \h </w:instrText>
            </w:r>
            <w:r>
              <w:rPr>
                <w:noProof/>
                <w:webHidden/>
              </w:rPr>
            </w:r>
            <w:r>
              <w:rPr>
                <w:noProof/>
                <w:webHidden/>
              </w:rPr>
              <w:fldChar w:fldCharType="separate"/>
            </w:r>
            <w:r>
              <w:rPr>
                <w:noProof/>
                <w:webHidden/>
              </w:rPr>
              <w:t>4</w:t>
            </w:r>
            <w:r>
              <w:rPr>
                <w:noProof/>
                <w:webHidden/>
              </w:rPr>
              <w:fldChar w:fldCharType="end"/>
            </w:r>
          </w:hyperlink>
        </w:p>
        <w:p w:rsidR="002B5222" w:rsidP="002B5222" w:rsidRDefault="002B5222" w14:paraId="4EB65235" w14:textId="3ABE1A78">
          <w:pPr>
            <w:pStyle w:val="TOC2"/>
            <w:tabs>
              <w:tab w:val="right" w:leader="dot" w:pos="9016"/>
            </w:tabs>
            <w:spacing w:line="276" w:lineRule="auto"/>
            <w:rPr>
              <w:rFonts w:asciiTheme="minorHAnsi" w:hAnsiTheme="minorHAnsi" w:eastAsiaTheme="minorEastAsia" w:cstheme="minorBidi"/>
              <w:noProof/>
              <w:szCs w:val="24"/>
              <w:lang w:val="en-US" w:eastAsia="en-US"/>
            </w:rPr>
          </w:pPr>
          <w:hyperlink w:history="1" w:anchor="_Toc224702557">
            <w:r w:rsidRPr="00F36F5E">
              <w:rPr>
                <w:rStyle w:val="Hyperlink"/>
                <w:rFonts w:ascii="Arial" w:hAnsi="Arial" w:cs="Arial" w:eastAsiaTheme="majorEastAsia"/>
                <w:noProof/>
              </w:rPr>
              <w:t>2.3 Major domestic and multinational firms and relative positioning</w:t>
            </w:r>
            <w:r>
              <w:rPr>
                <w:noProof/>
                <w:webHidden/>
              </w:rPr>
              <w:tab/>
            </w:r>
            <w:r>
              <w:rPr>
                <w:noProof/>
                <w:webHidden/>
              </w:rPr>
              <w:fldChar w:fldCharType="begin"/>
            </w:r>
            <w:r>
              <w:rPr>
                <w:noProof/>
                <w:webHidden/>
              </w:rPr>
              <w:instrText xml:space="preserve"> PAGEREF _Toc224702557 \h </w:instrText>
            </w:r>
            <w:r>
              <w:rPr>
                <w:noProof/>
                <w:webHidden/>
              </w:rPr>
            </w:r>
            <w:r>
              <w:rPr>
                <w:noProof/>
                <w:webHidden/>
              </w:rPr>
              <w:fldChar w:fldCharType="separate"/>
            </w:r>
            <w:r>
              <w:rPr>
                <w:noProof/>
                <w:webHidden/>
              </w:rPr>
              <w:t>6</w:t>
            </w:r>
            <w:r>
              <w:rPr>
                <w:noProof/>
                <w:webHidden/>
              </w:rPr>
              <w:fldChar w:fldCharType="end"/>
            </w:r>
          </w:hyperlink>
        </w:p>
        <w:p w:rsidR="002B5222" w:rsidP="002B5222" w:rsidRDefault="002B5222" w14:paraId="437C9DEF" w14:textId="65D690D7">
          <w:pPr>
            <w:pStyle w:val="TOC1"/>
            <w:spacing w:line="276" w:lineRule="auto"/>
            <w:rPr>
              <w:rFonts w:asciiTheme="minorHAnsi" w:hAnsiTheme="minorHAnsi" w:eastAsiaTheme="minorEastAsia" w:cstheme="minorBidi"/>
              <w:b w:val="0"/>
              <w:bCs w:val="0"/>
              <w:szCs w:val="24"/>
              <w:lang w:val="en-US" w:eastAsia="en-US"/>
            </w:rPr>
          </w:pPr>
          <w:hyperlink w:history="1" w:anchor="_Toc224702558">
            <w:r w:rsidRPr="00F36F5E">
              <w:rPr>
                <w:rStyle w:val="Hyperlink"/>
                <w:rFonts w:ascii="Arial" w:hAnsi="Arial" w:cs="Arial"/>
              </w:rPr>
              <w:t>3.0 Porter’s Diamond Analysis of the Competitiveness of China’s EV Segment</w:t>
            </w:r>
            <w:r>
              <w:rPr>
                <w:webHidden/>
              </w:rPr>
              <w:tab/>
            </w:r>
            <w:r>
              <w:rPr>
                <w:webHidden/>
              </w:rPr>
              <w:fldChar w:fldCharType="begin"/>
            </w:r>
            <w:r>
              <w:rPr>
                <w:webHidden/>
              </w:rPr>
              <w:instrText xml:space="preserve"> PAGEREF _Toc224702558 \h </w:instrText>
            </w:r>
            <w:r>
              <w:rPr>
                <w:webHidden/>
              </w:rPr>
            </w:r>
            <w:r>
              <w:rPr>
                <w:webHidden/>
              </w:rPr>
              <w:fldChar w:fldCharType="separate"/>
            </w:r>
            <w:r>
              <w:rPr>
                <w:webHidden/>
              </w:rPr>
              <w:t>9</w:t>
            </w:r>
            <w:r>
              <w:rPr>
                <w:webHidden/>
              </w:rPr>
              <w:fldChar w:fldCharType="end"/>
            </w:r>
          </w:hyperlink>
        </w:p>
        <w:p w:rsidR="002B5222" w:rsidP="002B5222" w:rsidRDefault="002B5222" w14:paraId="1EC3BC22" w14:textId="7D891CC8">
          <w:pPr>
            <w:pStyle w:val="TOC2"/>
            <w:tabs>
              <w:tab w:val="right" w:leader="dot" w:pos="9016"/>
            </w:tabs>
            <w:spacing w:line="276" w:lineRule="auto"/>
            <w:rPr>
              <w:rFonts w:asciiTheme="minorHAnsi" w:hAnsiTheme="minorHAnsi" w:eastAsiaTheme="minorEastAsia" w:cstheme="minorBidi"/>
              <w:noProof/>
              <w:szCs w:val="24"/>
              <w:lang w:val="en-US" w:eastAsia="en-US"/>
            </w:rPr>
          </w:pPr>
          <w:hyperlink w:history="1" w:anchor="_Toc224702559">
            <w:r w:rsidRPr="00F36F5E">
              <w:rPr>
                <w:rStyle w:val="Hyperlink"/>
                <w:rFonts w:ascii="Arial" w:hAnsi="Arial" w:cs="Arial" w:eastAsiaTheme="majorEastAsia"/>
                <w:noProof/>
              </w:rPr>
              <w:t>3.1 Factor Conditions</w:t>
            </w:r>
            <w:r>
              <w:rPr>
                <w:noProof/>
                <w:webHidden/>
              </w:rPr>
              <w:tab/>
            </w:r>
            <w:r>
              <w:rPr>
                <w:noProof/>
                <w:webHidden/>
              </w:rPr>
              <w:fldChar w:fldCharType="begin"/>
            </w:r>
            <w:r>
              <w:rPr>
                <w:noProof/>
                <w:webHidden/>
              </w:rPr>
              <w:instrText xml:space="preserve"> PAGEREF _Toc224702559 \h </w:instrText>
            </w:r>
            <w:r>
              <w:rPr>
                <w:noProof/>
                <w:webHidden/>
              </w:rPr>
            </w:r>
            <w:r>
              <w:rPr>
                <w:noProof/>
                <w:webHidden/>
              </w:rPr>
              <w:fldChar w:fldCharType="separate"/>
            </w:r>
            <w:r>
              <w:rPr>
                <w:noProof/>
                <w:webHidden/>
              </w:rPr>
              <w:t>9</w:t>
            </w:r>
            <w:r>
              <w:rPr>
                <w:noProof/>
                <w:webHidden/>
              </w:rPr>
              <w:fldChar w:fldCharType="end"/>
            </w:r>
          </w:hyperlink>
        </w:p>
        <w:p w:rsidR="002B5222" w:rsidP="002B5222" w:rsidRDefault="002B5222" w14:paraId="561523D1" w14:textId="0AAD497F">
          <w:pPr>
            <w:pStyle w:val="TOC2"/>
            <w:tabs>
              <w:tab w:val="right" w:leader="dot" w:pos="9016"/>
            </w:tabs>
            <w:spacing w:line="276" w:lineRule="auto"/>
            <w:rPr>
              <w:rFonts w:asciiTheme="minorHAnsi" w:hAnsiTheme="minorHAnsi" w:eastAsiaTheme="minorEastAsia" w:cstheme="minorBidi"/>
              <w:noProof/>
              <w:szCs w:val="24"/>
              <w:lang w:val="en-US" w:eastAsia="en-US"/>
            </w:rPr>
          </w:pPr>
          <w:hyperlink w:history="1" w:anchor="_Toc224702560">
            <w:r w:rsidRPr="00F36F5E">
              <w:rPr>
                <w:rStyle w:val="Hyperlink"/>
                <w:rFonts w:ascii="Arial" w:hAnsi="Arial" w:cs="Arial" w:eastAsiaTheme="majorEastAsia"/>
                <w:noProof/>
              </w:rPr>
              <w:t>3.2 Demand Conditions</w:t>
            </w:r>
            <w:r>
              <w:rPr>
                <w:noProof/>
                <w:webHidden/>
              </w:rPr>
              <w:tab/>
            </w:r>
            <w:r>
              <w:rPr>
                <w:noProof/>
                <w:webHidden/>
              </w:rPr>
              <w:fldChar w:fldCharType="begin"/>
            </w:r>
            <w:r>
              <w:rPr>
                <w:noProof/>
                <w:webHidden/>
              </w:rPr>
              <w:instrText xml:space="preserve"> PAGEREF _Toc224702560 \h </w:instrText>
            </w:r>
            <w:r>
              <w:rPr>
                <w:noProof/>
                <w:webHidden/>
              </w:rPr>
            </w:r>
            <w:r>
              <w:rPr>
                <w:noProof/>
                <w:webHidden/>
              </w:rPr>
              <w:fldChar w:fldCharType="separate"/>
            </w:r>
            <w:r>
              <w:rPr>
                <w:noProof/>
                <w:webHidden/>
              </w:rPr>
              <w:t>10</w:t>
            </w:r>
            <w:r>
              <w:rPr>
                <w:noProof/>
                <w:webHidden/>
              </w:rPr>
              <w:fldChar w:fldCharType="end"/>
            </w:r>
          </w:hyperlink>
        </w:p>
        <w:p w:rsidR="002B5222" w:rsidP="002B5222" w:rsidRDefault="002B5222" w14:paraId="040BDD00" w14:textId="75BF1D6B">
          <w:pPr>
            <w:pStyle w:val="TOC2"/>
            <w:tabs>
              <w:tab w:val="right" w:leader="dot" w:pos="9016"/>
            </w:tabs>
            <w:spacing w:line="276" w:lineRule="auto"/>
            <w:rPr>
              <w:rFonts w:asciiTheme="minorHAnsi" w:hAnsiTheme="minorHAnsi" w:eastAsiaTheme="minorEastAsia" w:cstheme="minorBidi"/>
              <w:noProof/>
              <w:szCs w:val="24"/>
              <w:lang w:val="en-US" w:eastAsia="en-US"/>
            </w:rPr>
          </w:pPr>
          <w:hyperlink w:history="1" w:anchor="_Toc224702561">
            <w:r w:rsidRPr="00F36F5E">
              <w:rPr>
                <w:rStyle w:val="Hyperlink"/>
                <w:rFonts w:ascii="Arial" w:hAnsi="Arial" w:cs="Arial" w:eastAsiaTheme="majorEastAsia"/>
                <w:noProof/>
              </w:rPr>
              <w:t>3.3 Related and Supporting Industries</w:t>
            </w:r>
            <w:r>
              <w:rPr>
                <w:noProof/>
                <w:webHidden/>
              </w:rPr>
              <w:tab/>
            </w:r>
            <w:r>
              <w:rPr>
                <w:noProof/>
                <w:webHidden/>
              </w:rPr>
              <w:fldChar w:fldCharType="begin"/>
            </w:r>
            <w:r>
              <w:rPr>
                <w:noProof/>
                <w:webHidden/>
              </w:rPr>
              <w:instrText xml:space="preserve"> PAGEREF _Toc224702561 \h </w:instrText>
            </w:r>
            <w:r>
              <w:rPr>
                <w:noProof/>
                <w:webHidden/>
              </w:rPr>
            </w:r>
            <w:r>
              <w:rPr>
                <w:noProof/>
                <w:webHidden/>
              </w:rPr>
              <w:fldChar w:fldCharType="separate"/>
            </w:r>
            <w:r>
              <w:rPr>
                <w:noProof/>
                <w:webHidden/>
              </w:rPr>
              <w:t>10</w:t>
            </w:r>
            <w:r>
              <w:rPr>
                <w:noProof/>
                <w:webHidden/>
              </w:rPr>
              <w:fldChar w:fldCharType="end"/>
            </w:r>
          </w:hyperlink>
        </w:p>
        <w:p w:rsidR="002B5222" w:rsidP="002B5222" w:rsidRDefault="002B5222" w14:paraId="5629F4D5" w14:textId="6E834173">
          <w:pPr>
            <w:pStyle w:val="TOC2"/>
            <w:tabs>
              <w:tab w:val="right" w:leader="dot" w:pos="9016"/>
            </w:tabs>
            <w:spacing w:line="276" w:lineRule="auto"/>
            <w:rPr>
              <w:rFonts w:asciiTheme="minorHAnsi" w:hAnsiTheme="minorHAnsi" w:eastAsiaTheme="minorEastAsia" w:cstheme="minorBidi"/>
              <w:noProof/>
              <w:szCs w:val="24"/>
              <w:lang w:val="en-US" w:eastAsia="en-US"/>
            </w:rPr>
          </w:pPr>
          <w:hyperlink w:history="1" w:anchor="_Toc224702562">
            <w:r w:rsidRPr="00F36F5E">
              <w:rPr>
                <w:rStyle w:val="Hyperlink"/>
                <w:rFonts w:ascii="Arial" w:hAnsi="Arial" w:cs="Arial" w:eastAsiaTheme="majorEastAsia"/>
                <w:noProof/>
              </w:rPr>
              <w:t>3.4 Firm Strategy, Structure and Rivalry</w:t>
            </w:r>
            <w:r>
              <w:rPr>
                <w:noProof/>
                <w:webHidden/>
              </w:rPr>
              <w:tab/>
            </w:r>
            <w:r>
              <w:rPr>
                <w:noProof/>
                <w:webHidden/>
              </w:rPr>
              <w:fldChar w:fldCharType="begin"/>
            </w:r>
            <w:r>
              <w:rPr>
                <w:noProof/>
                <w:webHidden/>
              </w:rPr>
              <w:instrText xml:space="preserve"> PAGEREF _Toc224702562 \h </w:instrText>
            </w:r>
            <w:r>
              <w:rPr>
                <w:noProof/>
                <w:webHidden/>
              </w:rPr>
            </w:r>
            <w:r>
              <w:rPr>
                <w:noProof/>
                <w:webHidden/>
              </w:rPr>
              <w:fldChar w:fldCharType="separate"/>
            </w:r>
            <w:r>
              <w:rPr>
                <w:noProof/>
                <w:webHidden/>
              </w:rPr>
              <w:t>12</w:t>
            </w:r>
            <w:r>
              <w:rPr>
                <w:noProof/>
                <w:webHidden/>
              </w:rPr>
              <w:fldChar w:fldCharType="end"/>
            </w:r>
          </w:hyperlink>
        </w:p>
        <w:p w:rsidR="002B5222" w:rsidP="002B5222" w:rsidRDefault="002B5222" w14:paraId="22A2732F" w14:textId="18BF37C4">
          <w:pPr>
            <w:pStyle w:val="TOC2"/>
            <w:tabs>
              <w:tab w:val="right" w:leader="dot" w:pos="9016"/>
            </w:tabs>
            <w:spacing w:line="276" w:lineRule="auto"/>
            <w:rPr>
              <w:rFonts w:asciiTheme="minorHAnsi" w:hAnsiTheme="minorHAnsi" w:eastAsiaTheme="minorEastAsia" w:cstheme="minorBidi"/>
              <w:noProof/>
              <w:szCs w:val="24"/>
              <w:lang w:val="en-US" w:eastAsia="en-US"/>
            </w:rPr>
          </w:pPr>
          <w:hyperlink w:history="1" w:anchor="_Toc224702563">
            <w:r w:rsidRPr="00F36F5E">
              <w:rPr>
                <w:rStyle w:val="Hyperlink"/>
                <w:rFonts w:ascii="Arial" w:hAnsi="Arial" w:cs="Arial" w:eastAsiaTheme="majorEastAsia"/>
                <w:noProof/>
              </w:rPr>
              <w:t>3.5 Role of Government and Chance</w:t>
            </w:r>
            <w:r>
              <w:rPr>
                <w:noProof/>
                <w:webHidden/>
              </w:rPr>
              <w:tab/>
            </w:r>
            <w:r>
              <w:rPr>
                <w:noProof/>
                <w:webHidden/>
              </w:rPr>
              <w:fldChar w:fldCharType="begin"/>
            </w:r>
            <w:r>
              <w:rPr>
                <w:noProof/>
                <w:webHidden/>
              </w:rPr>
              <w:instrText xml:space="preserve"> PAGEREF _Toc224702563 \h </w:instrText>
            </w:r>
            <w:r>
              <w:rPr>
                <w:noProof/>
                <w:webHidden/>
              </w:rPr>
            </w:r>
            <w:r>
              <w:rPr>
                <w:noProof/>
                <w:webHidden/>
              </w:rPr>
              <w:fldChar w:fldCharType="separate"/>
            </w:r>
            <w:r>
              <w:rPr>
                <w:noProof/>
                <w:webHidden/>
              </w:rPr>
              <w:t>12</w:t>
            </w:r>
            <w:r>
              <w:rPr>
                <w:noProof/>
                <w:webHidden/>
              </w:rPr>
              <w:fldChar w:fldCharType="end"/>
            </w:r>
          </w:hyperlink>
        </w:p>
        <w:p w:rsidR="002B5222" w:rsidP="002B5222" w:rsidRDefault="002B5222" w14:paraId="4D29A9D1" w14:textId="59FB47D7">
          <w:pPr>
            <w:pStyle w:val="TOC1"/>
            <w:spacing w:line="276" w:lineRule="auto"/>
            <w:rPr>
              <w:rFonts w:asciiTheme="minorHAnsi" w:hAnsiTheme="minorHAnsi" w:eastAsiaTheme="minorEastAsia" w:cstheme="minorBidi"/>
              <w:b w:val="0"/>
              <w:bCs w:val="0"/>
              <w:szCs w:val="24"/>
              <w:lang w:val="en-US" w:eastAsia="en-US"/>
            </w:rPr>
          </w:pPr>
          <w:hyperlink w:history="1" w:anchor="_Toc224702564">
            <w:r w:rsidRPr="00F36F5E">
              <w:rPr>
                <w:rStyle w:val="Hyperlink"/>
                <w:rFonts w:ascii="Arial" w:hAnsi="Arial" w:cs="Arial"/>
              </w:rPr>
              <w:t>4.0 Evaluation of Tesla as a Foreign MNC in China’s EV Segment</w:t>
            </w:r>
            <w:r>
              <w:rPr>
                <w:webHidden/>
              </w:rPr>
              <w:tab/>
            </w:r>
            <w:r>
              <w:rPr>
                <w:webHidden/>
              </w:rPr>
              <w:fldChar w:fldCharType="begin"/>
            </w:r>
            <w:r>
              <w:rPr>
                <w:webHidden/>
              </w:rPr>
              <w:instrText xml:space="preserve"> PAGEREF _Toc224702564 \h </w:instrText>
            </w:r>
            <w:r>
              <w:rPr>
                <w:webHidden/>
              </w:rPr>
            </w:r>
            <w:r>
              <w:rPr>
                <w:webHidden/>
              </w:rPr>
              <w:fldChar w:fldCharType="separate"/>
            </w:r>
            <w:r>
              <w:rPr>
                <w:webHidden/>
              </w:rPr>
              <w:t>14</w:t>
            </w:r>
            <w:r>
              <w:rPr>
                <w:webHidden/>
              </w:rPr>
              <w:fldChar w:fldCharType="end"/>
            </w:r>
          </w:hyperlink>
        </w:p>
        <w:p w:rsidR="002B5222" w:rsidP="002B5222" w:rsidRDefault="002B5222" w14:paraId="5264854D" w14:textId="4F4D3041">
          <w:pPr>
            <w:pStyle w:val="TOC2"/>
            <w:tabs>
              <w:tab w:val="right" w:leader="dot" w:pos="9016"/>
            </w:tabs>
            <w:spacing w:line="276" w:lineRule="auto"/>
            <w:rPr>
              <w:rFonts w:asciiTheme="minorHAnsi" w:hAnsiTheme="minorHAnsi" w:eastAsiaTheme="minorEastAsia" w:cstheme="minorBidi"/>
              <w:noProof/>
              <w:szCs w:val="24"/>
              <w:lang w:val="en-US" w:eastAsia="en-US"/>
            </w:rPr>
          </w:pPr>
          <w:hyperlink w:history="1" w:anchor="_Toc224702565">
            <w:r w:rsidRPr="00F36F5E">
              <w:rPr>
                <w:rStyle w:val="Hyperlink"/>
                <w:rFonts w:ascii="Arial" w:hAnsi="Arial" w:cs="Arial" w:eastAsiaTheme="majorEastAsia"/>
                <w:noProof/>
              </w:rPr>
              <w:t>4.1 Tesla’s Entry Mode and Strategic Role of China</w:t>
            </w:r>
            <w:r>
              <w:rPr>
                <w:noProof/>
                <w:webHidden/>
              </w:rPr>
              <w:tab/>
            </w:r>
            <w:r>
              <w:rPr>
                <w:noProof/>
                <w:webHidden/>
              </w:rPr>
              <w:fldChar w:fldCharType="begin"/>
            </w:r>
            <w:r>
              <w:rPr>
                <w:noProof/>
                <w:webHidden/>
              </w:rPr>
              <w:instrText xml:space="preserve"> PAGEREF _Toc224702565 \h </w:instrText>
            </w:r>
            <w:r>
              <w:rPr>
                <w:noProof/>
                <w:webHidden/>
              </w:rPr>
            </w:r>
            <w:r>
              <w:rPr>
                <w:noProof/>
                <w:webHidden/>
              </w:rPr>
              <w:fldChar w:fldCharType="separate"/>
            </w:r>
            <w:r>
              <w:rPr>
                <w:noProof/>
                <w:webHidden/>
              </w:rPr>
              <w:t>14</w:t>
            </w:r>
            <w:r>
              <w:rPr>
                <w:noProof/>
                <w:webHidden/>
              </w:rPr>
              <w:fldChar w:fldCharType="end"/>
            </w:r>
          </w:hyperlink>
        </w:p>
        <w:p w:rsidR="002B5222" w:rsidP="002B5222" w:rsidRDefault="002B5222" w14:paraId="755AB4A9" w14:textId="6031977F">
          <w:pPr>
            <w:pStyle w:val="TOC2"/>
            <w:tabs>
              <w:tab w:val="right" w:leader="dot" w:pos="9016"/>
            </w:tabs>
            <w:spacing w:line="276" w:lineRule="auto"/>
            <w:rPr>
              <w:rFonts w:asciiTheme="minorHAnsi" w:hAnsiTheme="minorHAnsi" w:eastAsiaTheme="minorEastAsia" w:cstheme="minorBidi"/>
              <w:noProof/>
              <w:szCs w:val="24"/>
              <w:lang w:val="en-US" w:eastAsia="en-US"/>
            </w:rPr>
          </w:pPr>
          <w:hyperlink w:history="1" w:anchor="_Toc224702566">
            <w:r w:rsidRPr="00F36F5E">
              <w:rPr>
                <w:rStyle w:val="Hyperlink"/>
                <w:rFonts w:ascii="Arial" w:hAnsi="Arial" w:cs="Arial" w:eastAsiaTheme="majorEastAsia"/>
                <w:noProof/>
              </w:rPr>
              <w:t>4.2 Political and Legal Factors: Opportunities and Constraints</w:t>
            </w:r>
            <w:r>
              <w:rPr>
                <w:noProof/>
                <w:webHidden/>
              </w:rPr>
              <w:tab/>
            </w:r>
            <w:r>
              <w:rPr>
                <w:noProof/>
                <w:webHidden/>
              </w:rPr>
              <w:fldChar w:fldCharType="begin"/>
            </w:r>
            <w:r>
              <w:rPr>
                <w:noProof/>
                <w:webHidden/>
              </w:rPr>
              <w:instrText xml:space="preserve"> PAGEREF _Toc224702566 \h </w:instrText>
            </w:r>
            <w:r>
              <w:rPr>
                <w:noProof/>
                <w:webHidden/>
              </w:rPr>
            </w:r>
            <w:r>
              <w:rPr>
                <w:noProof/>
                <w:webHidden/>
              </w:rPr>
              <w:fldChar w:fldCharType="separate"/>
            </w:r>
            <w:r>
              <w:rPr>
                <w:noProof/>
                <w:webHidden/>
              </w:rPr>
              <w:t>15</w:t>
            </w:r>
            <w:r>
              <w:rPr>
                <w:noProof/>
                <w:webHidden/>
              </w:rPr>
              <w:fldChar w:fldCharType="end"/>
            </w:r>
          </w:hyperlink>
        </w:p>
        <w:p w:rsidR="002B5222" w:rsidP="002B5222" w:rsidRDefault="002B5222" w14:paraId="33D1A17E" w14:textId="7F803E81">
          <w:pPr>
            <w:pStyle w:val="TOC2"/>
            <w:tabs>
              <w:tab w:val="right" w:leader="dot" w:pos="9016"/>
            </w:tabs>
            <w:spacing w:line="276" w:lineRule="auto"/>
            <w:rPr>
              <w:rFonts w:asciiTheme="minorHAnsi" w:hAnsiTheme="minorHAnsi" w:eastAsiaTheme="minorEastAsia" w:cstheme="minorBidi"/>
              <w:noProof/>
              <w:szCs w:val="24"/>
              <w:lang w:val="en-US" w:eastAsia="en-US"/>
            </w:rPr>
          </w:pPr>
          <w:hyperlink w:history="1" w:anchor="_Toc224702567">
            <w:r w:rsidRPr="00F36F5E">
              <w:rPr>
                <w:rStyle w:val="Hyperlink"/>
                <w:rFonts w:ascii="Arial" w:hAnsi="Arial" w:cs="Arial" w:eastAsiaTheme="majorEastAsia"/>
                <w:noProof/>
              </w:rPr>
              <w:t>4.3 Economic and Competitive Factors</w:t>
            </w:r>
            <w:r>
              <w:rPr>
                <w:noProof/>
                <w:webHidden/>
              </w:rPr>
              <w:tab/>
            </w:r>
            <w:r>
              <w:rPr>
                <w:noProof/>
                <w:webHidden/>
              </w:rPr>
              <w:fldChar w:fldCharType="begin"/>
            </w:r>
            <w:r>
              <w:rPr>
                <w:noProof/>
                <w:webHidden/>
              </w:rPr>
              <w:instrText xml:space="preserve"> PAGEREF _Toc224702567 \h </w:instrText>
            </w:r>
            <w:r>
              <w:rPr>
                <w:noProof/>
                <w:webHidden/>
              </w:rPr>
            </w:r>
            <w:r>
              <w:rPr>
                <w:noProof/>
                <w:webHidden/>
              </w:rPr>
              <w:fldChar w:fldCharType="separate"/>
            </w:r>
            <w:r>
              <w:rPr>
                <w:noProof/>
                <w:webHidden/>
              </w:rPr>
              <w:t>16</w:t>
            </w:r>
            <w:r>
              <w:rPr>
                <w:noProof/>
                <w:webHidden/>
              </w:rPr>
              <w:fldChar w:fldCharType="end"/>
            </w:r>
          </w:hyperlink>
        </w:p>
        <w:p w:rsidR="002B5222" w:rsidP="002B5222" w:rsidRDefault="002B5222" w14:paraId="0C2D4069" w14:textId="4C507F07">
          <w:pPr>
            <w:pStyle w:val="TOC2"/>
            <w:tabs>
              <w:tab w:val="right" w:leader="dot" w:pos="9016"/>
            </w:tabs>
            <w:spacing w:line="276" w:lineRule="auto"/>
            <w:rPr>
              <w:rFonts w:asciiTheme="minorHAnsi" w:hAnsiTheme="minorHAnsi" w:eastAsiaTheme="minorEastAsia" w:cstheme="minorBidi"/>
              <w:noProof/>
              <w:szCs w:val="24"/>
              <w:lang w:val="en-US" w:eastAsia="en-US"/>
            </w:rPr>
          </w:pPr>
          <w:hyperlink w:history="1" w:anchor="_Toc224702568">
            <w:r w:rsidRPr="00F36F5E">
              <w:rPr>
                <w:rStyle w:val="Hyperlink"/>
                <w:rFonts w:ascii="Arial" w:hAnsi="Arial" w:cs="Arial" w:eastAsiaTheme="majorEastAsia"/>
                <w:noProof/>
              </w:rPr>
              <w:t>4.4 Cultural and Social Factors</w:t>
            </w:r>
            <w:r>
              <w:rPr>
                <w:noProof/>
                <w:webHidden/>
              </w:rPr>
              <w:tab/>
            </w:r>
            <w:r>
              <w:rPr>
                <w:noProof/>
                <w:webHidden/>
              </w:rPr>
              <w:fldChar w:fldCharType="begin"/>
            </w:r>
            <w:r>
              <w:rPr>
                <w:noProof/>
                <w:webHidden/>
              </w:rPr>
              <w:instrText xml:space="preserve"> PAGEREF _Toc224702568 \h </w:instrText>
            </w:r>
            <w:r>
              <w:rPr>
                <w:noProof/>
                <w:webHidden/>
              </w:rPr>
            </w:r>
            <w:r>
              <w:rPr>
                <w:noProof/>
                <w:webHidden/>
              </w:rPr>
              <w:fldChar w:fldCharType="separate"/>
            </w:r>
            <w:r>
              <w:rPr>
                <w:noProof/>
                <w:webHidden/>
              </w:rPr>
              <w:t>18</w:t>
            </w:r>
            <w:r>
              <w:rPr>
                <w:noProof/>
                <w:webHidden/>
              </w:rPr>
              <w:fldChar w:fldCharType="end"/>
            </w:r>
          </w:hyperlink>
        </w:p>
        <w:p w:rsidR="002B5222" w:rsidP="002B5222" w:rsidRDefault="002B5222" w14:paraId="3F0CA342" w14:textId="1A79384F">
          <w:pPr>
            <w:pStyle w:val="TOC1"/>
            <w:spacing w:line="276" w:lineRule="auto"/>
            <w:rPr>
              <w:rFonts w:asciiTheme="minorHAnsi" w:hAnsiTheme="minorHAnsi" w:eastAsiaTheme="minorEastAsia" w:cstheme="minorBidi"/>
              <w:b w:val="0"/>
              <w:bCs w:val="0"/>
              <w:szCs w:val="24"/>
              <w:lang w:val="en-US" w:eastAsia="en-US"/>
            </w:rPr>
          </w:pPr>
          <w:hyperlink w:history="1" w:anchor="_Toc224702569">
            <w:r w:rsidRPr="00F36F5E">
              <w:rPr>
                <w:rStyle w:val="Hyperlink"/>
                <w:rFonts w:ascii="Arial" w:hAnsi="Arial" w:cs="Arial"/>
              </w:rPr>
              <w:t>5.0 Conclusion to the Industry Report</w:t>
            </w:r>
            <w:r>
              <w:rPr>
                <w:webHidden/>
              </w:rPr>
              <w:tab/>
            </w:r>
            <w:r>
              <w:rPr>
                <w:webHidden/>
              </w:rPr>
              <w:fldChar w:fldCharType="begin"/>
            </w:r>
            <w:r>
              <w:rPr>
                <w:webHidden/>
              </w:rPr>
              <w:instrText xml:space="preserve"> PAGEREF _Toc224702569 \h </w:instrText>
            </w:r>
            <w:r>
              <w:rPr>
                <w:webHidden/>
              </w:rPr>
            </w:r>
            <w:r>
              <w:rPr>
                <w:webHidden/>
              </w:rPr>
              <w:fldChar w:fldCharType="separate"/>
            </w:r>
            <w:r>
              <w:rPr>
                <w:webHidden/>
              </w:rPr>
              <w:t>19</w:t>
            </w:r>
            <w:r>
              <w:rPr>
                <w:webHidden/>
              </w:rPr>
              <w:fldChar w:fldCharType="end"/>
            </w:r>
          </w:hyperlink>
        </w:p>
        <w:p w:rsidR="002B5222" w:rsidP="002B5222" w:rsidRDefault="002B5222" w14:paraId="62DFEDC5" w14:textId="2937D06A">
          <w:pPr>
            <w:pStyle w:val="TOC1"/>
            <w:spacing w:line="276" w:lineRule="auto"/>
            <w:rPr>
              <w:rFonts w:asciiTheme="minorHAnsi" w:hAnsiTheme="minorHAnsi" w:eastAsiaTheme="minorEastAsia" w:cstheme="minorBidi"/>
              <w:b w:val="0"/>
              <w:bCs w:val="0"/>
              <w:szCs w:val="24"/>
              <w:lang w:val="en-US" w:eastAsia="en-US"/>
            </w:rPr>
          </w:pPr>
          <w:hyperlink w:history="1" w:anchor="_Toc224702570">
            <w:r w:rsidRPr="00F36F5E">
              <w:rPr>
                <w:rStyle w:val="Hyperlink"/>
                <w:rFonts w:ascii="Arial" w:hAnsi="Arial" w:cs="Arial"/>
              </w:rPr>
              <w:t>6.0 Reflective Account on the Research and Writing Process (Gibbs’ Reflective Cycle)</w:t>
            </w:r>
            <w:r>
              <w:rPr>
                <w:webHidden/>
              </w:rPr>
              <w:tab/>
            </w:r>
            <w:r>
              <w:rPr>
                <w:webHidden/>
              </w:rPr>
              <w:fldChar w:fldCharType="begin"/>
            </w:r>
            <w:r>
              <w:rPr>
                <w:webHidden/>
              </w:rPr>
              <w:instrText xml:space="preserve"> PAGEREF _Toc224702570 \h </w:instrText>
            </w:r>
            <w:r>
              <w:rPr>
                <w:webHidden/>
              </w:rPr>
            </w:r>
            <w:r>
              <w:rPr>
                <w:webHidden/>
              </w:rPr>
              <w:fldChar w:fldCharType="separate"/>
            </w:r>
            <w:r>
              <w:rPr>
                <w:webHidden/>
              </w:rPr>
              <w:t>20</w:t>
            </w:r>
            <w:r>
              <w:rPr>
                <w:webHidden/>
              </w:rPr>
              <w:fldChar w:fldCharType="end"/>
            </w:r>
          </w:hyperlink>
        </w:p>
        <w:p w:rsidR="002B5222" w:rsidP="002B5222" w:rsidRDefault="002B5222" w14:paraId="43B193C1" w14:textId="7836D6A0">
          <w:pPr>
            <w:pStyle w:val="TOC2"/>
            <w:tabs>
              <w:tab w:val="right" w:leader="dot" w:pos="9016"/>
            </w:tabs>
            <w:spacing w:line="276" w:lineRule="auto"/>
            <w:rPr>
              <w:rFonts w:asciiTheme="minorHAnsi" w:hAnsiTheme="minorHAnsi" w:eastAsiaTheme="minorEastAsia" w:cstheme="minorBidi"/>
              <w:noProof/>
              <w:szCs w:val="24"/>
              <w:lang w:val="en-US" w:eastAsia="en-US"/>
            </w:rPr>
          </w:pPr>
          <w:hyperlink w:history="1" w:anchor="_Toc224702571">
            <w:r w:rsidRPr="00F36F5E">
              <w:rPr>
                <w:rStyle w:val="Hyperlink"/>
                <w:rFonts w:ascii="Arial" w:hAnsi="Arial" w:cs="Arial" w:eastAsiaTheme="majorEastAsia"/>
                <w:noProof/>
              </w:rPr>
              <w:t>6.1 Description</w:t>
            </w:r>
            <w:r>
              <w:rPr>
                <w:noProof/>
                <w:webHidden/>
              </w:rPr>
              <w:tab/>
            </w:r>
            <w:r>
              <w:rPr>
                <w:noProof/>
                <w:webHidden/>
              </w:rPr>
              <w:fldChar w:fldCharType="begin"/>
            </w:r>
            <w:r>
              <w:rPr>
                <w:noProof/>
                <w:webHidden/>
              </w:rPr>
              <w:instrText xml:space="preserve"> PAGEREF _Toc224702571 \h </w:instrText>
            </w:r>
            <w:r>
              <w:rPr>
                <w:noProof/>
                <w:webHidden/>
              </w:rPr>
            </w:r>
            <w:r>
              <w:rPr>
                <w:noProof/>
                <w:webHidden/>
              </w:rPr>
              <w:fldChar w:fldCharType="separate"/>
            </w:r>
            <w:r>
              <w:rPr>
                <w:noProof/>
                <w:webHidden/>
              </w:rPr>
              <w:t>20</w:t>
            </w:r>
            <w:r>
              <w:rPr>
                <w:noProof/>
                <w:webHidden/>
              </w:rPr>
              <w:fldChar w:fldCharType="end"/>
            </w:r>
          </w:hyperlink>
        </w:p>
        <w:p w:rsidR="002B5222" w:rsidP="002B5222" w:rsidRDefault="002B5222" w14:paraId="0E7E3041" w14:textId="7A912436">
          <w:pPr>
            <w:pStyle w:val="TOC2"/>
            <w:tabs>
              <w:tab w:val="right" w:leader="dot" w:pos="9016"/>
            </w:tabs>
            <w:spacing w:line="276" w:lineRule="auto"/>
            <w:rPr>
              <w:rFonts w:asciiTheme="minorHAnsi" w:hAnsiTheme="minorHAnsi" w:eastAsiaTheme="minorEastAsia" w:cstheme="minorBidi"/>
              <w:noProof/>
              <w:szCs w:val="24"/>
              <w:lang w:val="en-US" w:eastAsia="en-US"/>
            </w:rPr>
          </w:pPr>
          <w:hyperlink w:history="1" w:anchor="_Toc224702572">
            <w:r w:rsidRPr="00F36F5E">
              <w:rPr>
                <w:rStyle w:val="Hyperlink"/>
                <w:rFonts w:ascii="Arial" w:hAnsi="Arial" w:cs="Arial" w:eastAsiaTheme="majorEastAsia"/>
                <w:noProof/>
              </w:rPr>
              <w:t>6.2 Feelings</w:t>
            </w:r>
            <w:r>
              <w:rPr>
                <w:noProof/>
                <w:webHidden/>
              </w:rPr>
              <w:tab/>
            </w:r>
            <w:r>
              <w:rPr>
                <w:noProof/>
                <w:webHidden/>
              </w:rPr>
              <w:fldChar w:fldCharType="begin"/>
            </w:r>
            <w:r>
              <w:rPr>
                <w:noProof/>
                <w:webHidden/>
              </w:rPr>
              <w:instrText xml:space="preserve"> PAGEREF _Toc224702572 \h </w:instrText>
            </w:r>
            <w:r>
              <w:rPr>
                <w:noProof/>
                <w:webHidden/>
              </w:rPr>
            </w:r>
            <w:r>
              <w:rPr>
                <w:noProof/>
                <w:webHidden/>
              </w:rPr>
              <w:fldChar w:fldCharType="separate"/>
            </w:r>
            <w:r>
              <w:rPr>
                <w:noProof/>
                <w:webHidden/>
              </w:rPr>
              <w:t>20</w:t>
            </w:r>
            <w:r>
              <w:rPr>
                <w:noProof/>
                <w:webHidden/>
              </w:rPr>
              <w:fldChar w:fldCharType="end"/>
            </w:r>
          </w:hyperlink>
        </w:p>
        <w:p w:rsidR="002B5222" w:rsidP="002B5222" w:rsidRDefault="002B5222" w14:paraId="1A0DD8A0" w14:textId="52FCA6B5">
          <w:pPr>
            <w:pStyle w:val="TOC2"/>
            <w:tabs>
              <w:tab w:val="right" w:leader="dot" w:pos="9016"/>
            </w:tabs>
            <w:spacing w:line="276" w:lineRule="auto"/>
            <w:rPr>
              <w:rFonts w:asciiTheme="minorHAnsi" w:hAnsiTheme="minorHAnsi" w:eastAsiaTheme="minorEastAsia" w:cstheme="minorBidi"/>
              <w:noProof/>
              <w:szCs w:val="24"/>
              <w:lang w:val="en-US" w:eastAsia="en-US"/>
            </w:rPr>
          </w:pPr>
          <w:hyperlink w:history="1" w:anchor="_Toc224702573">
            <w:r w:rsidRPr="00F36F5E">
              <w:rPr>
                <w:rStyle w:val="Hyperlink"/>
                <w:rFonts w:ascii="Arial" w:hAnsi="Arial" w:cs="Arial" w:eastAsiaTheme="majorEastAsia"/>
                <w:noProof/>
              </w:rPr>
              <w:t>6.3 Evaluation</w:t>
            </w:r>
            <w:r>
              <w:rPr>
                <w:noProof/>
                <w:webHidden/>
              </w:rPr>
              <w:tab/>
            </w:r>
            <w:r>
              <w:rPr>
                <w:noProof/>
                <w:webHidden/>
              </w:rPr>
              <w:fldChar w:fldCharType="begin"/>
            </w:r>
            <w:r>
              <w:rPr>
                <w:noProof/>
                <w:webHidden/>
              </w:rPr>
              <w:instrText xml:space="preserve"> PAGEREF _Toc224702573 \h </w:instrText>
            </w:r>
            <w:r>
              <w:rPr>
                <w:noProof/>
                <w:webHidden/>
              </w:rPr>
            </w:r>
            <w:r>
              <w:rPr>
                <w:noProof/>
                <w:webHidden/>
              </w:rPr>
              <w:fldChar w:fldCharType="separate"/>
            </w:r>
            <w:r>
              <w:rPr>
                <w:noProof/>
                <w:webHidden/>
              </w:rPr>
              <w:t>20</w:t>
            </w:r>
            <w:r>
              <w:rPr>
                <w:noProof/>
                <w:webHidden/>
              </w:rPr>
              <w:fldChar w:fldCharType="end"/>
            </w:r>
          </w:hyperlink>
        </w:p>
        <w:p w:rsidR="002B5222" w:rsidP="002B5222" w:rsidRDefault="002B5222" w14:paraId="203C2FA5" w14:textId="71E7343D">
          <w:pPr>
            <w:pStyle w:val="TOC2"/>
            <w:tabs>
              <w:tab w:val="right" w:leader="dot" w:pos="9016"/>
            </w:tabs>
            <w:spacing w:line="276" w:lineRule="auto"/>
            <w:rPr>
              <w:rFonts w:asciiTheme="minorHAnsi" w:hAnsiTheme="minorHAnsi" w:eastAsiaTheme="minorEastAsia" w:cstheme="minorBidi"/>
              <w:noProof/>
              <w:szCs w:val="24"/>
              <w:lang w:val="en-US" w:eastAsia="en-US"/>
            </w:rPr>
          </w:pPr>
          <w:hyperlink w:history="1" w:anchor="_Toc224702574">
            <w:r w:rsidRPr="00F36F5E">
              <w:rPr>
                <w:rStyle w:val="Hyperlink"/>
                <w:rFonts w:ascii="Arial" w:hAnsi="Arial" w:cs="Arial" w:eastAsiaTheme="majorEastAsia"/>
                <w:noProof/>
              </w:rPr>
              <w:t>6.4 Analysis</w:t>
            </w:r>
            <w:r>
              <w:rPr>
                <w:noProof/>
                <w:webHidden/>
              </w:rPr>
              <w:tab/>
            </w:r>
            <w:r>
              <w:rPr>
                <w:noProof/>
                <w:webHidden/>
              </w:rPr>
              <w:fldChar w:fldCharType="begin"/>
            </w:r>
            <w:r>
              <w:rPr>
                <w:noProof/>
                <w:webHidden/>
              </w:rPr>
              <w:instrText xml:space="preserve"> PAGEREF _Toc224702574 \h </w:instrText>
            </w:r>
            <w:r>
              <w:rPr>
                <w:noProof/>
                <w:webHidden/>
              </w:rPr>
            </w:r>
            <w:r>
              <w:rPr>
                <w:noProof/>
                <w:webHidden/>
              </w:rPr>
              <w:fldChar w:fldCharType="separate"/>
            </w:r>
            <w:r>
              <w:rPr>
                <w:noProof/>
                <w:webHidden/>
              </w:rPr>
              <w:t>21</w:t>
            </w:r>
            <w:r>
              <w:rPr>
                <w:noProof/>
                <w:webHidden/>
              </w:rPr>
              <w:fldChar w:fldCharType="end"/>
            </w:r>
          </w:hyperlink>
        </w:p>
        <w:p w:rsidR="002B5222" w:rsidP="002B5222" w:rsidRDefault="002B5222" w14:paraId="3FFC854A" w14:textId="275B4A41">
          <w:pPr>
            <w:pStyle w:val="TOC2"/>
            <w:tabs>
              <w:tab w:val="right" w:leader="dot" w:pos="9016"/>
            </w:tabs>
            <w:spacing w:line="276" w:lineRule="auto"/>
            <w:rPr>
              <w:rFonts w:asciiTheme="minorHAnsi" w:hAnsiTheme="minorHAnsi" w:eastAsiaTheme="minorEastAsia" w:cstheme="minorBidi"/>
              <w:noProof/>
              <w:szCs w:val="24"/>
              <w:lang w:val="en-US" w:eastAsia="en-US"/>
            </w:rPr>
          </w:pPr>
          <w:hyperlink w:history="1" w:anchor="_Toc224702575">
            <w:r w:rsidRPr="00F36F5E">
              <w:rPr>
                <w:rStyle w:val="Hyperlink"/>
                <w:rFonts w:ascii="Arial" w:hAnsi="Arial" w:cs="Arial" w:eastAsiaTheme="majorEastAsia"/>
                <w:noProof/>
              </w:rPr>
              <w:t>6.5 Conclusion</w:t>
            </w:r>
            <w:r>
              <w:rPr>
                <w:noProof/>
                <w:webHidden/>
              </w:rPr>
              <w:tab/>
            </w:r>
            <w:r>
              <w:rPr>
                <w:noProof/>
                <w:webHidden/>
              </w:rPr>
              <w:fldChar w:fldCharType="begin"/>
            </w:r>
            <w:r>
              <w:rPr>
                <w:noProof/>
                <w:webHidden/>
              </w:rPr>
              <w:instrText xml:space="preserve"> PAGEREF _Toc224702575 \h </w:instrText>
            </w:r>
            <w:r>
              <w:rPr>
                <w:noProof/>
                <w:webHidden/>
              </w:rPr>
            </w:r>
            <w:r>
              <w:rPr>
                <w:noProof/>
                <w:webHidden/>
              </w:rPr>
              <w:fldChar w:fldCharType="separate"/>
            </w:r>
            <w:r>
              <w:rPr>
                <w:noProof/>
                <w:webHidden/>
              </w:rPr>
              <w:t>22</w:t>
            </w:r>
            <w:r>
              <w:rPr>
                <w:noProof/>
                <w:webHidden/>
              </w:rPr>
              <w:fldChar w:fldCharType="end"/>
            </w:r>
          </w:hyperlink>
        </w:p>
        <w:p w:rsidR="002B5222" w:rsidP="002B5222" w:rsidRDefault="002B5222" w14:paraId="55923223" w14:textId="4E68502F">
          <w:pPr>
            <w:pStyle w:val="TOC2"/>
            <w:tabs>
              <w:tab w:val="right" w:leader="dot" w:pos="9016"/>
            </w:tabs>
            <w:spacing w:line="276" w:lineRule="auto"/>
            <w:rPr>
              <w:rFonts w:asciiTheme="minorHAnsi" w:hAnsiTheme="minorHAnsi" w:eastAsiaTheme="minorEastAsia" w:cstheme="minorBidi"/>
              <w:noProof/>
              <w:szCs w:val="24"/>
              <w:lang w:val="en-US" w:eastAsia="en-US"/>
            </w:rPr>
          </w:pPr>
          <w:hyperlink w:history="1" w:anchor="_Toc224702576">
            <w:r w:rsidRPr="00F36F5E">
              <w:rPr>
                <w:rStyle w:val="Hyperlink"/>
                <w:rFonts w:ascii="Arial" w:hAnsi="Arial" w:cs="Arial" w:eastAsiaTheme="majorEastAsia"/>
                <w:noProof/>
              </w:rPr>
              <w:t>6.6 Action Plan</w:t>
            </w:r>
            <w:r>
              <w:rPr>
                <w:noProof/>
                <w:webHidden/>
              </w:rPr>
              <w:tab/>
            </w:r>
            <w:r>
              <w:rPr>
                <w:noProof/>
                <w:webHidden/>
              </w:rPr>
              <w:fldChar w:fldCharType="begin"/>
            </w:r>
            <w:r>
              <w:rPr>
                <w:noProof/>
                <w:webHidden/>
              </w:rPr>
              <w:instrText xml:space="preserve"> PAGEREF _Toc224702576 \h </w:instrText>
            </w:r>
            <w:r>
              <w:rPr>
                <w:noProof/>
                <w:webHidden/>
              </w:rPr>
            </w:r>
            <w:r>
              <w:rPr>
                <w:noProof/>
                <w:webHidden/>
              </w:rPr>
              <w:fldChar w:fldCharType="separate"/>
            </w:r>
            <w:r>
              <w:rPr>
                <w:noProof/>
                <w:webHidden/>
              </w:rPr>
              <w:t>22</w:t>
            </w:r>
            <w:r>
              <w:rPr>
                <w:noProof/>
                <w:webHidden/>
              </w:rPr>
              <w:fldChar w:fldCharType="end"/>
            </w:r>
          </w:hyperlink>
        </w:p>
        <w:p w:rsidR="002B5222" w:rsidP="002B5222" w:rsidRDefault="002B5222" w14:paraId="649A42C7" w14:textId="28DF3F2E">
          <w:pPr>
            <w:pStyle w:val="TOC1"/>
            <w:spacing w:line="276" w:lineRule="auto"/>
            <w:rPr>
              <w:rFonts w:asciiTheme="minorHAnsi" w:hAnsiTheme="minorHAnsi" w:eastAsiaTheme="minorEastAsia" w:cstheme="minorBidi"/>
              <w:b w:val="0"/>
              <w:bCs w:val="0"/>
              <w:szCs w:val="24"/>
              <w:lang w:val="en-US" w:eastAsia="en-US"/>
            </w:rPr>
          </w:pPr>
          <w:hyperlink w:history="1" w:anchor="_Toc224702577">
            <w:r w:rsidRPr="00F36F5E">
              <w:rPr>
                <w:rStyle w:val="Hyperlink"/>
                <w:rFonts w:ascii="Arial" w:hAnsi="Arial" w:cs="Arial"/>
              </w:rPr>
              <w:t>7.0 Reference List</w:t>
            </w:r>
            <w:r>
              <w:rPr>
                <w:webHidden/>
              </w:rPr>
              <w:tab/>
            </w:r>
            <w:r>
              <w:rPr>
                <w:webHidden/>
              </w:rPr>
              <w:fldChar w:fldCharType="begin"/>
            </w:r>
            <w:r>
              <w:rPr>
                <w:webHidden/>
              </w:rPr>
              <w:instrText xml:space="preserve"> PAGEREF _Toc224702577 \h </w:instrText>
            </w:r>
            <w:r>
              <w:rPr>
                <w:webHidden/>
              </w:rPr>
            </w:r>
            <w:r>
              <w:rPr>
                <w:webHidden/>
              </w:rPr>
              <w:fldChar w:fldCharType="separate"/>
            </w:r>
            <w:r>
              <w:rPr>
                <w:webHidden/>
              </w:rPr>
              <w:t>23</w:t>
            </w:r>
            <w:r>
              <w:rPr>
                <w:webHidden/>
              </w:rPr>
              <w:fldChar w:fldCharType="end"/>
            </w:r>
          </w:hyperlink>
        </w:p>
        <w:p w:rsidRPr="00963BC4" w:rsidR="000E002D" w:rsidP="002B5222" w:rsidRDefault="000E002D" w14:paraId="5A6BBCE1" w14:textId="0D00B2E0">
          <w:pPr>
            <w:spacing w:line="276" w:lineRule="auto"/>
            <w:rPr>
              <w:rFonts w:ascii="Arial" w:hAnsi="Arial" w:cs="Arial"/>
            </w:rPr>
          </w:pPr>
          <w:r w:rsidRPr="00963BC4">
            <w:rPr>
              <w:rFonts w:ascii="Arial" w:hAnsi="Arial" w:cs="Arial"/>
              <w:b/>
              <w:bCs/>
              <w:noProof/>
            </w:rPr>
            <w:fldChar w:fldCharType="end"/>
          </w:r>
        </w:p>
      </w:sdtContent>
    </w:sdt>
    <w:p w:rsidRPr="00963BC4" w:rsidR="00276E51" w:rsidP="009F40AA" w:rsidRDefault="008A01F2" w14:paraId="3A227CF2" w14:textId="560DA719">
      <w:pPr>
        <w:spacing w:before="0" w:after="160"/>
        <w:jc w:val="left"/>
        <w:rPr>
          <w:rFonts w:ascii="Arial" w:hAnsi="Arial" w:cs="Arial"/>
        </w:rPr>
      </w:pPr>
      <w:r w:rsidRPr="00963BC4">
        <w:rPr>
          <w:rFonts w:ascii="Arial" w:hAnsi="Arial" w:cs="Arial"/>
        </w:rPr>
        <w:br w:type="page"/>
      </w:r>
    </w:p>
    <w:p w:rsidRPr="00963BC4" w:rsidR="00D43875" w:rsidP="009F40AA" w:rsidRDefault="00D43875" w14:paraId="43B5B064" w14:textId="77777777">
      <w:pPr>
        <w:pStyle w:val="Heading1"/>
        <w:rPr>
          <w:rFonts w:ascii="Arial" w:hAnsi="Arial" w:cs="Arial"/>
          <w:color w:val="auto"/>
        </w:rPr>
      </w:pPr>
      <w:bookmarkStart w:name="_Toc224702553" w:id="0"/>
      <w:r w:rsidRPr="00963BC4">
        <w:rPr>
          <w:rFonts w:ascii="Arial" w:hAnsi="Arial" w:cs="Arial"/>
          <w:color w:val="auto"/>
        </w:rPr>
        <w:t>1.0 Introduction</w:t>
      </w:r>
      <w:bookmarkEnd w:id="0"/>
    </w:p>
    <w:p w:rsidRPr="00963BC4" w:rsidR="00C47A6A" w:rsidP="5CA6A91A" w:rsidRDefault="00C47A6A" w14:paraId="65C2D92A" w14:textId="77777777">
      <w:pPr>
        <w:rPr>
          <w:rFonts w:ascii="Arial" w:hAnsi="Arial" w:cs="Arial"/>
          <w:color w:val="000000" w:themeColor="text1" w:themeTint="FF" w:themeShade="FF"/>
        </w:rPr>
      </w:pPr>
      <w:r w:rsidRPr="5CA6A91A" w:rsidR="00C47A6A">
        <w:rPr>
          <w:rFonts w:ascii="Arial" w:hAnsi="Arial" w:cs="Arial"/>
          <w:color w:val="000000" w:themeColor="text1" w:themeTint="FF" w:themeShade="FF"/>
        </w:rPr>
        <w:t xml:space="preserve">This report evaluates the international competitiveness of the Chinese electric vehicle (EV) sector and the strategic stance of Tesla in it by using Porter's Diamond and the chosen international business frameworks. To be more precise, the report differentiates between the bigger new energy vehicle (NEV) policy context in China and the competitive environment within the EV market. China has become the leading market and manufacturing ecosystem in the global shift to electric mobility, and has been equipped with industrial policy, economies of scale, battery </w:t>
      </w:r>
      <w:r w:rsidRPr="5CA6A91A" w:rsidR="00C47A6A">
        <w:rPr>
          <w:rFonts w:ascii="Arial" w:hAnsi="Arial" w:cs="Arial"/>
          <w:color w:val="000000" w:themeColor="text1" w:themeTint="FF" w:themeShade="FF"/>
        </w:rPr>
        <w:t>competence</w:t>
      </w:r>
      <w:r w:rsidRPr="5CA6A91A" w:rsidR="00C47A6A">
        <w:rPr>
          <w:rFonts w:ascii="Arial" w:hAnsi="Arial" w:cs="Arial"/>
          <w:color w:val="000000" w:themeColor="text1" w:themeTint="FF" w:themeShade="FF"/>
        </w:rPr>
        <w:t xml:space="preserve"> and robust domestic demand (Lorente </w:t>
      </w:r>
      <w:r w:rsidRPr="5CA6A91A" w:rsidR="00C47A6A">
        <w:rPr>
          <w:rFonts w:ascii="Arial" w:hAnsi="Arial" w:cs="Arial"/>
          <w:color w:val="000000" w:themeColor="text1" w:themeTint="FF" w:themeShade="FF"/>
        </w:rPr>
        <w:t>Salaberria</w:t>
      </w:r>
      <w:r w:rsidRPr="5CA6A91A" w:rsidR="00C47A6A">
        <w:rPr>
          <w:rFonts w:ascii="Arial" w:hAnsi="Arial" w:cs="Arial"/>
          <w:color w:val="000000" w:themeColor="text1" w:themeTint="FF" w:themeShade="FF"/>
        </w:rPr>
        <w:t xml:space="preserve"> and Xia, 2023; IEA, 2025). Nevertheless, this benefit is not to be simply described but critically evaluated to </w:t>
      </w:r>
      <w:r w:rsidRPr="5CA6A91A" w:rsidR="00C47A6A">
        <w:rPr>
          <w:rFonts w:ascii="Arial" w:hAnsi="Arial" w:cs="Arial"/>
          <w:color w:val="000000" w:themeColor="text1" w:themeTint="FF" w:themeShade="FF"/>
        </w:rPr>
        <w:t>determine</w:t>
      </w:r>
      <w:r w:rsidRPr="5CA6A91A" w:rsidR="00C47A6A">
        <w:rPr>
          <w:rFonts w:ascii="Arial" w:hAnsi="Arial" w:cs="Arial"/>
          <w:color w:val="000000" w:themeColor="text1" w:themeTint="FF" w:themeShade="FF"/>
        </w:rPr>
        <w:t xml:space="preserve"> its sustainability. The report therefore looks at not just the </w:t>
      </w:r>
      <w:r w:rsidRPr="5CA6A91A" w:rsidR="00C47A6A">
        <w:rPr>
          <w:rFonts w:ascii="Arial" w:hAnsi="Arial" w:cs="Arial"/>
          <w:color w:val="000000" w:themeColor="text1" w:themeTint="FF" w:themeShade="FF"/>
        </w:rPr>
        <w:t>magnitude</w:t>
      </w:r>
      <w:r w:rsidRPr="5CA6A91A" w:rsidR="00C47A6A">
        <w:rPr>
          <w:rFonts w:ascii="Arial" w:hAnsi="Arial" w:cs="Arial"/>
          <w:color w:val="000000" w:themeColor="text1" w:themeTint="FF" w:themeShade="FF"/>
        </w:rPr>
        <w:t xml:space="preserve"> and significance of the Chinese EV market, but also at the degree to which competitiveness is sustainable or relies on policy </w:t>
      </w:r>
      <w:r w:rsidRPr="5CA6A91A" w:rsidR="00C47A6A">
        <w:rPr>
          <w:rFonts w:ascii="Arial" w:hAnsi="Arial" w:cs="Arial"/>
          <w:color w:val="000000" w:themeColor="text1" w:themeTint="FF" w:themeShade="FF"/>
        </w:rPr>
        <w:t>assistance</w:t>
      </w:r>
      <w:r w:rsidRPr="5CA6A91A" w:rsidR="00C47A6A">
        <w:rPr>
          <w:rFonts w:ascii="Arial" w:hAnsi="Arial" w:cs="Arial"/>
          <w:color w:val="000000" w:themeColor="text1" w:themeTint="FF" w:themeShade="FF"/>
        </w:rPr>
        <w:t xml:space="preserve">, demand </w:t>
      </w:r>
      <w:r w:rsidRPr="5CA6A91A" w:rsidR="00C47A6A">
        <w:rPr>
          <w:rFonts w:ascii="Arial" w:hAnsi="Arial" w:cs="Arial"/>
          <w:color w:val="000000" w:themeColor="text1" w:themeTint="FF" w:themeShade="FF"/>
        </w:rPr>
        <w:t>control</w:t>
      </w:r>
      <w:r w:rsidRPr="5CA6A91A" w:rsidR="00C47A6A">
        <w:rPr>
          <w:rFonts w:ascii="Arial" w:hAnsi="Arial" w:cs="Arial"/>
          <w:color w:val="000000" w:themeColor="text1" w:themeTint="FF" w:themeShade="FF"/>
        </w:rPr>
        <w:t xml:space="preserve"> and export growth. It </w:t>
      </w:r>
      <w:r w:rsidRPr="5CA6A91A" w:rsidR="00C47A6A">
        <w:rPr>
          <w:rFonts w:ascii="Arial" w:hAnsi="Arial" w:cs="Arial"/>
          <w:color w:val="000000" w:themeColor="text1" w:themeTint="FF" w:themeShade="FF"/>
        </w:rPr>
        <w:t>subsequently</w:t>
      </w:r>
      <w:r w:rsidRPr="5CA6A91A" w:rsidR="00C47A6A">
        <w:rPr>
          <w:rFonts w:ascii="Arial" w:hAnsi="Arial" w:cs="Arial"/>
          <w:color w:val="000000" w:themeColor="text1" w:themeTint="FF" w:themeShade="FF"/>
        </w:rPr>
        <w:t xml:space="preserve"> analyses Tesla as a foreign multinational company in this environment, with respect to how its strategic decisions, performance and </w:t>
      </w:r>
      <w:r w:rsidRPr="5CA6A91A" w:rsidR="00C47A6A">
        <w:rPr>
          <w:rFonts w:ascii="Arial" w:hAnsi="Arial" w:cs="Arial"/>
          <w:color w:val="000000" w:themeColor="text1" w:themeTint="FF" w:themeShade="FF"/>
        </w:rPr>
        <w:t>future outlook</w:t>
      </w:r>
      <w:r w:rsidRPr="5CA6A91A" w:rsidR="00C47A6A">
        <w:rPr>
          <w:rFonts w:ascii="Arial" w:hAnsi="Arial" w:cs="Arial"/>
          <w:color w:val="000000" w:themeColor="text1" w:themeTint="FF" w:themeShade="FF"/>
        </w:rPr>
        <w:t xml:space="preserve"> in China are influenced by political, legal, </w:t>
      </w:r>
      <w:r w:rsidRPr="5CA6A91A" w:rsidR="00C47A6A">
        <w:rPr>
          <w:rFonts w:ascii="Arial" w:hAnsi="Arial" w:cs="Arial"/>
          <w:color w:val="000000" w:themeColor="text1" w:themeTint="FF" w:themeShade="FF"/>
        </w:rPr>
        <w:t>economic</w:t>
      </w:r>
      <w:r w:rsidRPr="5CA6A91A" w:rsidR="00C47A6A">
        <w:rPr>
          <w:rFonts w:ascii="Arial" w:hAnsi="Arial" w:cs="Arial"/>
          <w:color w:val="000000" w:themeColor="text1" w:themeTint="FF" w:themeShade="FF"/>
        </w:rPr>
        <w:t xml:space="preserve"> and cultural factors.</w:t>
      </w:r>
    </w:p>
    <w:p w:rsidRPr="00963BC4" w:rsidR="009C41CF" w:rsidP="009F40AA" w:rsidRDefault="009C41CF" w14:paraId="53ACAD92" w14:textId="77777777">
      <w:pPr>
        <w:spacing w:before="0" w:after="160"/>
        <w:jc w:val="left"/>
        <w:rPr>
          <w:rFonts w:ascii="Arial" w:hAnsi="Arial" w:cs="Arial"/>
          <w:b/>
          <w:sz w:val="32"/>
          <w:szCs w:val="32"/>
          <w:lang w:val="en-US"/>
        </w:rPr>
      </w:pPr>
      <w:r w:rsidRPr="00963BC4">
        <w:rPr>
          <w:rFonts w:ascii="Arial" w:hAnsi="Arial" w:cs="Arial"/>
        </w:rPr>
        <w:br w:type="page"/>
      </w:r>
    </w:p>
    <w:p w:rsidRPr="00963BC4" w:rsidR="00D43875" w:rsidP="009F40AA" w:rsidRDefault="00D43875" w14:paraId="7D7BB76A" w14:textId="69C8B3F5">
      <w:pPr>
        <w:pStyle w:val="Heading1"/>
        <w:rPr>
          <w:rFonts w:ascii="Arial" w:hAnsi="Arial" w:cs="Arial"/>
          <w:color w:val="auto"/>
        </w:rPr>
      </w:pPr>
      <w:bookmarkStart w:name="_Toc224702554" w:id="1"/>
      <w:r w:rsidRPr="00963BC4">
        <w:rPr>
          <w:rFonts w:ascii="Arial" w:hAnsi="Arial" w:cs="Arial"/>
          <w:color w:val="auto"/>
        </w:rPr>
        <w:t>2.0 Industry and Country Overview</w:t>
      </w:r>
      <w:bookmarkEnd w:id="1"/>
    </w:p>
    <w:p w:rsidRPr="00963BC4" w:rsidR="00D43875" w:rsidP="009F40AA" w:rsidRDefault="00D43875" w14:paraId="0E3852D9" w14:textId="77777777">
      <w:pPr>
        <w:pStyle w:val="Heading2"/>
        <w:rPr>
          <w:rFonts w:ascii="Arial" w:hAnsi="Arial" w:cs="Arial"/>
          <w:color w:val="auto"/>
        </w:rPr>
      </w:pPr>
      <w:bookmarkStart w:name="_Toc224702555" w:id="2"/>
      <w:r w:rsidRPr="00963BC4">
        <w:rPr>
          <w:rFonts w:ascii="Arial" w:hAnsi="Arial" w:cs="Arial"/>
          <w:color w:val="auto"/>
        </w:rPr>
        <w:t>2.1 China’s macroeconomic and policy context for EVs</w:t>
      </w:r>
      <w:bookmarkEnd w:id="2"/>
    </w:p>
    <w:p w:rsidRPr="00963BC4" w:rsidR="00E2367E" w:rsidP="009F40AA" w:rsidRDefault="00E2367E" w14:paraId="7ABE5595" w14:textId="06F35F97">
      <w:pPr>
        <w:rPr>
          <w:rFonts w:ascii="Arial" w:hAnsi="Arial" w:cs="Arial"/>
        </w:rPr>
      </w:pPr>
      <w:r w:rsidRPr="00963BC4">
        <w:rPr>
          <w:rFonts w:ascii="Arial" w:hAnsi="Arial" w:cs="Arial"/>
        </w:rPr>
        <w:t xml:space="preserve">China is the second-largest economy and biggest manufacturing hub in the world, and its long-term aspirations </w:t>
      </w:r>
      <w:r w:rsidRPr="00963BC4" w:rsidR="0049496A">
        <w:rPr>
          <w:rFonts w:ascii="Arial" w:hAnsi="Arial" w:cs="Arial"/>
        </w:rPr>
        <w:t>are to ascend</w:t>
      </w:r>
      <w:r w:rsidRPr="00963BC4">
        <w:rPr>
          <w:rFonts w:ascii="Arial" w:hAnsi="Arial" w:cs="Arial"/>
        </w:rPr>
        <w:t xml:space="preserve"> the value chain of more advanced manufacturing sectors, such as automotive (Hill, 2023). The Chinese government has listed the emerging industry among new energy vehicles (NEV), including battery electric vehicle</w:t>
      </w:r>
      <w:r w:rsidRPr="00963BC4" w:rsidR="0049496A">
        <w:rPr>
          <w:rFonts w:ascii="Arial" w:hAnsi="Arial" w:cs="Arial"/>
        </w:rPr>
        <w:t>s</w:t>
      </w:r>
      <w:r w:rsidRPr="00963BC4">
        <w:rPr>
          <w:rFonts w:ascii="Arial" w:hAnsi="Arial" w:cs="Arial"/>
        </w:rPr>
        <w:t>, plug-in hybrid and fuel-cell vehicles, as important since the late 2000s. Subsidies, tax exemptions, support of research and development and investment in infrastructure have provided by national industrial plans such as Made in China 2025</w:t>
      </w:r>
      <w:r w:rsidRPr="00963BC4" w:rsidR="0049496A">
        <w:rPr>
          <w:rFonts w:ascii="Arial" w:hAnsi="Arial" w:cs="Arial"/>
        </w:rPr>
        <w:t>,</w:t>
      </w:r>
      <w:r w:rsidRPr="00963BC4">
        <w:rPr>
          <w:rFonts w:ascii="Arial" w:hAnsi="Arial" w:cs="Arial"/>
        </w:rPr>
        <w:t xml:space="preserve"> and other NEV development plans have accelerated adoption and ability building in the country (ICCT, 2020; Chen et al., 2024).</w:t>
      </w:r>
    </w:p>
    <w:p w:rsidRPr="00963BC4" w:rsidR="00E2367E" w:rsidP="009F40AA" w:rsidRDefault="00E2367E" w14:paraId="72E61D47" w14:textId="41A6D229">
      <w:pPr>
        <w:rPr>
          <w:rFonts w:ascii="Arial" w:hAnsi="Arial" w:cs="Arial"/>
        </w:rPr>
      </w:pPr>
      <w:r w:rsidRPr="00963BC4">
        <w:rPr>
          <w:rFonts w:ascii="Arial" w:hAnsi="Arial" w:cs="Arial"/>
        </w:rPr>
        <w:t>There has been a series of development of policy. Policies in the early years were more of direct purchase subsidies and pilot demonstration cities, and more recent were more of charging infrastructure support, tighter fuel economy and emission standards and incentives tied to technological performance, driving range and battery energy density (ICCT, 2020; Hu et al., 2022). Industrial policy, by extension, is a powerful contextual force in the development of the firm</w:t>
      </w:r>
      <w:r w:rsidRPr="00963BC4" w:rsidR="0049496A">
        <w:rPr>
          <w:rFonts w:ascii="Arial" w:hAnsi="Arial" w:cs="Arial"/>
        </w:rPr>
        <w:t>'s</w:t>
      </w:r>
      <w:r w:rsidRPr="00963BC4">
        <w:rPr>
          <w:rFonts w:ascii="Arial" w:hAnsi="Arial" w:cs="Arial"/>
        </w:rPr>
        <w:t xml:space="preserve"> strategies and the general business competition environment in line with the institution-based perspective of international business that emphasises the importance of formal rules and incentives in determining the strategic decision-making (Collinson</w:t>
      </w:r>
      <w:r w:rsidRPr="00963BC4" w:rsidR="00C37914">
        <w:rPr>
          <w:rFonts w:ascii="Arial" w:hAnsi="Arial" w:cs="Arial"/>
        </w:rPr>
        <w:t xml:space="preserve"> et al.</w:t>
      </w:r>
      <w:r w:rsidRPr="00963BC4">
        <w:rPr>
          <w:rFonts w:ascii="Arial" w:hAnsi="Arial" w:cs="Arial"/>
        </w:rPr>
        <w:t>, 2020).</w:t>
      </w:r>
    </w:p>
    <w:p w:rsidRPr="00963BC4" w:rsidR="00D43875" w:rsidP="009F40AA" w:rsidRDefault="00D43875" w14:paraId="69D2A688" w14:textId="77777777">
      <w:pPr>
        <w:pStyle w:val="Heading2"/>
        <w:rPr>
          <w:rFonts w:ascii="Arial" w:hAnsi="Arial" w:cs="Arial"/>
          <w:color w:val="auto"/>
        </w:rPr>
      </w:pPr>
      <w:bookmarkStart w:name="_Toc224702556" w:id="3"/>
      <w:r w:rsidRPr="00963BC4">
        <w:rPr>
          <w:rFonts w:ascii="Arial" w:hAnsi="Arial" w:cs="Arial"/>
          <w:color w:val="auto"/>
        </w:rPr>
        <w:t>2.2 Size, scope and economic importance of the Chinese EV industry</w:t>
      </w:r>
      <w:bookmarkEnd w:id="3"/>
    </w:p>
    <w:p w:rsidRPr="00963BC4" w:rsidR="00960E83" w:rsidP="009F40AA" w:rsidRDefault="00C47A6A" w14:paraId="02C9C882" w14:textId="1DA6C3CD">
      <w:pPr>
        <w:rPr>
          <w:rFonts w:ascii="Arial" w:hAnsi="Arial" w:cs="Arial"/>
          <w:color w:val="EE0000"/>
        </w:rPr>
      </w:pPr>
      <w:r w:rsidRPr="5CA6A91A" w:rsidR="00C47A6A">
        <w:rPr>
          <w:rFonts w:ascii="Arial" w:hAnsi="Arial" w:cs="Arial"/>
          <w:color w:val="000000" w:themeColor="text1" w:themeTint="FF" w:themeShade="FF"/>
        </w:rPr>
        <w:t xml:space="preserve">China now ranks as the largest market in the world in terms of </w:t>
      </w:r>
      <w:r w:rsidRPr="5CA6A91A" w:rsidR="00C47A6A">
        <w:rPr>
          <w:rFonts w:ascii="Arial" w:hAnsi="Arial" w:cs="Arial"/>
          <w:color w:val="000000" w:themeColor="text1" w:themeTint="FF" w:themeShade="FF"/>
        </w:rPr>
        <w:t>electric-cars</w:t>
      </w:r>
      <w:r w:rsidRPr="5CA6A91A" w:rsidR="00C47A6A">
        <w:rPr>
          <w:rFonts w:ascii="Arial" w:hAnsi="Arial" w:cs="Arial"/>
          <w:color w:val="000000" w:themeColor="text1" w:themeTint="FF" w:themeShade="FF"/>
        </w:rPr>
        <w:t xml:space="preserve"> but analytical accuracy needs a distinct separation between electric vehicles (EVs) and new energy vehicles (NEVs) (ICCT, 2020). Within the Chinese policy framework, the NEVs typically consist of battery electric vehicles (BEVs), plug-in hybrid electric vehicles (PHEVs), and fuel-cell vehicles, but other international data sets use only electric cars or only passenger BEV/PHEV segment. This report refers to EV market to passenger electric-car competition and NEV industry to the larger Chinese production and policy system unless otherwise. Based on that, China has contributed </w:t>
      </w:r>
      <w:r w:rsidRPr="5CA6A91A" w:rsidR="00C47A6A">
        <w:rPr>
          <w:rFonts w:ascii="Arial" w:hAnsi="Arial" w:cs="Arial"/>
          <w:color w:val="000000" w:themeColor="text1" w:themeTint="FF" w:themeShade="FF"/>
        </w:rPr>
        <w:t>approximately half</w:t>
      </w:r>
      <w:r w:rsidRPr="5CA6A91A" w:rsidR="00C47A6A">
        <w:rPr>
          <w:rFonts w:ascii="Arial" w:hAnsi="Arial" w:cs="Arial"/>
          <w:color w:val="000000" w:themeColor="text1" w:themeTint="FF" w:themeShade="FF"/>
        </w:rPr>
        <w:t xml:space="preserve"> of all electric-car sales worldwide over the last few years, which proves that it is the most significant national market in the industry</w:t>
      </w:r>
      <w:r w:rsidRPr="5CA6A91A" w:rsidR="00C47A6A">
        <w:rPr>
          <w:rFonts w:ascii="Arial" w:hAnsi="Arial" w:cs="Arial"/>
          <w:color w:val="000000" w:themeColor="text1" w:themeTint="FF" w:themeShade="FF"/>
        </w:rPr>
        <w:t>.</w:t>
      </w:r>
    </w:p>
    <w:p w:rsidRPr="00963BC4" w:rsidR="002619CA" w:rsidP="009F40AA" w:rsidRDefault="004F5B4B" w14:paraId="6ADC5BAC" w14:textId="71301033">
      <w:pPr>
        <w:rPr>
          <w:rFonts w:ascii="Arial" w:hAnsi="Arial" w:cs="Arial"/>
          <w:lang w:val="en-US"/>
        </w:rPr>
      </w:pPr>
      <w:r w:rsidRPr="00963BC4">
        <w:rPr>
          <w:rFonts w:ascii="Arial" w:hAnsi="Arial" w:cs="Arial"/>
          <w:noProof/>
          <w:lang w:val="en-US" w:eastAsia="en-US"/>
        </w:rPr>
        <w:drawing>
          <wp:inline distT="0" distB="0" distL="0" distR="0" wp14:anchorId="2B6D5056" wp14:editId="44D46B4D">
            <wp:extent cx="5707702" cy="3709571"/>
            <wp:effectExtent l="19050" t="19050" r="26670" b="24765"/>
            <wp:docPr id="1849737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9521" cy="3730251"/>
                    </a:xfrm>
                    <a:prstGeom prst="rect">
                      <a:avLst/>
                    </a:prstGeom>
                    <a:noFill/>
                    <a:ln>
                      <a:solidFill>
                        <a:schemeClr val="accent1"/>
                      </a:solidFill>
                    </a:ln>
                  </pic:spPr>
                </pic:pic>
              </a:graphicData>
            </a:graphic>
          </wp:inline>
        </w:drawing>
      </w:r>
    </w:p>
    <w:p w:rsidRPr="00963BC4" w:rsidR="004F5B4B" w:rsidP="5CA6A91A" w:rsidRDefault="004F5B4B" w14:paraId="14F74760" w14:textId="3AC8E040">
      <w:pPr>
        <w:pStyle w:val="Caption"/>
        <w:rPr>
          <w:rFonts w:ascii="Arial" w:hAnsi="Arial" w:cs="Arial"/>
          <w:color w:val="000000" w:themeColor="text1" w:themeTint="FF" w:themeShade="FF"/>
          <w:lang w:val="en-US"/>
        </w:rPr>
      </w:pPr>
      <w:bookmarkStart w:name="_Toc223184436" w:id="4"/>
      <w:r w:rsidRPr="5CA6A91A" w:rsidR="004F5B4B">
        <w:rPr>
          <w:rFonts w:ascii="Arial" w:hAnsi="Arial" w:cs="Arial"/>
          <w:color w:val="000000" w:themeColor="text1" w:themeTint="FF" w:themeShade="FF"/>
        </w:rPr>
        <w:t xml:space="preserve">Figure </w:t>
      </w:r>
      <w:r w:rsidRPr="5CA6A91A">
        <w:rPr>
          <w:rFonts w:ascii="Arial" w:hAnsi="Arial" w:cs="Arial"/>
        </w:rPr>
        <w:fldChar w:fldCharType="begin"/>
      </w:r>
      <w:r w:rsidRPr="5CA6A91A">
        <w:rPr>
          <w:rFonts w:ascii="Arial" w:hAnsi="Arial" w:cs="Arial"/>
        </w:rPr>
        <w:instrText xml:space="preserve"> SEQ Figure \* ARABIC </w:instrText>
      </w:r>
      <w:r w:rsidRPr="5CA6A91A">
        <w:rPr>
          <w:rFonts w:ascii="Arial" w:hAnsi="Arial" w:cs="Arial"/>
        </w:rPr>
        <w:fldChar w:fldCharType="separate"/>
      </w:r>
      <w:r w:rsidRPr="5CA6A91A" w:rsidR="007C3E83">
        <w:rPr>
          <w:rFonts w:ascii="Arial" w:hAnsi="Arial" w:cs="Arial"/>
        </w:rPr>
        <w:t>1</w:t>
      </w:r>
      <w:r w:rsidRPr="5CA6A91A">
        <w:rPr>
          <w:rFonts w:ascii="Arial" w:hAnsi="Arial" w:cs="Arial"/>
        </w:rPr>
        <w:fldChar w:fldCharType="end"/>
      </w:r>
      <w:r w:rsidRPr="5CA6A91A" w:rsidR="004F5B4B">
        <w:rPr>
          <w:rFonts w:ascii="Arial" w:hAnsi="Arial" w:cs="Arial"/>
          <w:color w:val="000000" w:themeColor="text1" w:themeTint="FF" w:themeShade="FF"/>
        </w:rPr>
        <w:t xml:space="preserve">. China Electric Vehicles Market Size </w:t>
      </w:r>
      <w:r w:rsidRPr="5CA6A91A" w:rsidR="008707B3">
        <w:rPr>
          <w:rFonts w:ascii="Arial" w:hAnsi="Arial" w:cs="Arial"/>
          <w:color w:val="000000" w:themeColor="text1" w:themeTint="FF" w:themeShade="FF"/>
        </w:rPr>
        <w:t xml:space="preserve"> </w:t>
      </w:r>
      <w:r w:rsidRPr="5CA6A91A" w:rsidR="008707B3">
        <w:rPr>
          <w:rFonts w:ascii="Arial" w:hAnsi="Arial" w:cs="Arial"/>
          <w:color w:val="000000" w:themeColor="text1" w:themeTint="FF" w:themeShade="FF"/>
          <w:lang w:val="en-US"/>
        </w:rPr>
        <w:t>(Mordor Intelligence, 2026)</w:t>
      </w:r>
      <w:bookmarkEnd w:id="4"/>
    </w:p>
    <w:p w:rsidRPr="00963BC4" w:rsidR="00C47A6A" w:rsidP="5CA6A91A" w:rsidRDefault="00C47A6A" w14:paraId="2D25DB1D" w14:textId="494FCE70">
      <w:pPr>
        <w:rPr>
          <w:rFonts w:ascii="Arial" w:hAnsi="Arial" w:cs="Arial"/>
          <w:color w:val="000000" w:themeColor="text1" w:themeTint="FF" w:themeShade="FF"/>
        </w:rPr>
      </w:pPr>
      <w:r w:rsidRPr="5CA6A91A" w:rsidR="00C47A6A">
        <w:rPr>
          <w:rFonts w:ascii="Arial" w:hAnsi="Arial" w:cs="Arial"/>
          <w:color w:val="000000" w:themeColor="text1" w:themeTint="FF" w:themeShade="FF"/>
        </w:rPr>
        <w:t xml:space="preserve">The market growth curve is also important, but the forecast values should be considered with caution. In terms of commercial market-intelligence estimates, there is a further growth in the Chinese EV market as to 2031, but this would be reliant on the extent of the category, price suppositions, and even whether they gauge the business of the sole passenger EV or the broader NEV segment </w:t>
      </w:r>
      <w:r w:rsidRPr="5CA6A91A" w:rsidR="00C47A6A">
        <w:rPr>
          <w:rFonts w:ascii="Arial" w:hAnsi="Arial" w:cs="Arial"/>
          <w:color w:val="000000" w:themeColor="text1" w:themeTint="FF" w:themeShade="FF"/>
          <w:lang w:val="en-US"/>
        </w:rPr>
        <w:t>(Mordor Intelligence, 2026)</w:t>
      </w:r>
      <w:r w:rsidRPr="5CA6A91A" w:rsidR="00C47A6A">
        <w:rPr>
          <w:rFonts w:ascii="Arial" w:hAnsi="Arial" w:cs="Arial"/>
          <w:color w:val="000000" w:themeColor="text1" w:themeTint="FF" w:themeShade="FF"/>
        </w:rPr>
        <w:t>. Consequently, this utilises Figure 1 as an indicative representation of scale and direction, and not as an absolute representation of future market value (Mordor Intelligence, 2026).</w:t>
      </w:r>
    </w:p>
    <w:p w:rsidRPr="00963BC4" w:rsidR="004A1793" w:rsidP="5CA6A91A" w:rsidRDefault="00C47A6A" w14:paraId="2B5705AA" w14:textId="43221019">
      <w:pPr>
        <w:rPr>
          <w:rFonts w:ascii="Arial" w:hAnsi="Arial" w:cs="Arial"/>
          <w:color w:val="000000" w:themeColor="text1" w:themeTint="FF" w:themeShade="FF"/>
        </w:rPr>
      </w:pPr>
      <w:r w:rsidRPr="5CA6A91A" w:rsidR="00C47A6A">
        <w:rPr>
          <w:rFonts w:ascii="Arial" w:hAnsi="Arial" w:cs="Arial"/>
          <w:color w:val="000000" w:themeColor="text1" w:themeTint="FF" w:themeShade="FF"/>
        </w:rPr>
        <w:t>In addition to vehicle sales, the economic significance of the EV industry in China is that it consists of a broader ecosystem of battery production, vehicle charging systems, software and connectivity solutions, component assembly, and logistics (Hu et al., 2022; Oxford Institute for Energy Studies, 2024). This expanded industrial richness is what makes the industry strategically significant.</w:t>
      </w:r>
    </w:p>
    <w:p w:rsidRPr="00963BC4" w:rsidR="00D43875" w:rsidP="009F40AA" w:rsidRDefault="00A15DA8" w14:paraId="6D11BE6F" w14:textId="044A4E57">
      <w:pPr>
        <w:pStyle w:val="Caption"/>
        <w:rPr>
          <w:rFonts w:ascii="Arial" w:hAnsi="Arial" w:cs="Arial"/>
          <w:lang w:val="en-US"/>
        </w:rPr>
      </w:pPr>
      <w:r w:rsidRPr="00963BC4">
        <w:rPr>
          <w:rFonts w:ascii="Arial" w:hAnsi="Arial" w:cs="Arial"/>
          <w:b w:val="0"/>
          <w:bCs/>
          <w:lang w:val="en-US"/>
        </w:rPr>
        <w:t xml:space="preserve"> </w:t>
      </w:r>
      <w:bookmarkStart w:name="_Toc223184441" w:id="5"/>
      <w:r w:rsidRPr="00963BC4">
        <w:rPr>
          <w:rFonts w:ascii="Arial" w:hAnsi="Arial" w:cs="Arial"/>
        </w:rPr>
        <w:t xml:space="preserve">Table </w:t>
      </w:r>
      <w:r w:rsidRPr="00963BC4">
        <w:rPr>
          <w:rFonts w:ascii="Arial" w:hAnsi="Arial" w:cs="Arial"/>
        </w:rPr>
        <w:fldChar w:fldCharType="begin"/>
      </w:r>
      <w:r w:rsidRPr="00963BC4">
        <w:rPr>
          <w:rFonts w:ascii="Arial" w:hAnsi="Arial" w:cs="Arial"/>
        </w:rPr>
        <w:instrText xml:space="preserve"> SEQ Table \* ARABIC </w:instrText>
      </w:r>
      <w:r w:rsidRPr="00963BC4">
        <w:rPr>
          <w:rFonts w:ascii="Arial" w:hAnsi="Arial" w:cs="Arial"/>
        </w:rPr>
        <w:fldChar w:fldCharType="separate"/>
      </w:r>
      <w:r w:rsidRPr="00963BC4" w:rsidR="00963BC4">
        <w:rPr>
          <w:rFonts w:ascii="Arial" w:hAnsi="Arial" w:cs="Arial"/>
        </w:rPr>
        <w:t>1</w:t>
      </w:r>
      <w:r w:rsidRPr="00963BC4">
        <w:rPr>
          <w:rFonts w:ascii="Arial" w:hAnsi="Arial" w:cs="Arial"/>
        </w:rPr>
        <w:fldChar w:fldCharType="end"/>
      </w:r>
      <w:r w:rsidRPr="00963BC4">
        <w:rPr>
          <w:rFonts w:ascii="Arial" w:hAnsi="Arial" w:cs="Arial"/>
        </w:rPr>
        <w:t>: Selected indicators of China’s EV segment and global position</w:t>
      </w:r>
      <w:bookmarkEnd w:id="5"/>
    </w:p>
    <w:tbl>
      <w:tblPr>
        <w:tblStyle w:val="TableGrid1"/>
        <w:tblW w:w="0" w:type="auto"/>
        <w:tblLook w:val="04A0" w:firstRow="1" w:lastRow="0" w:firstColumn="1" w:lastColumn="0" w:noHBand="0" w:noVBand="1"/>
      </w:tblPr>
      <w:tblGrid>
        <w:gridCol w:w="2908"/>
        <w:gridCol w:w="2870"/>
        <w:gridCol w:w="3218"/>
      </w:tblGrid>
      <w:tr w:rsidRPr="00963BC4" w:rsidR="00975AF5" w:rsidTr="00507E4D" w14:paraId="72AE156F" w14:textId="77777777">
        <w:trPr>
          <w:cnfStyle w:val="100000000000" w:firstRow="1" w:lastRow="0" w:firstColumn="0" w:lastColumn="0" w:oddVBand="0" w:evenVBand="0" w:oddHBand="0" w:evenHBand="0" w:firstRowFirstColumn="0" w:firstRowLastColumn="0" w:lastRowFirstColumn="0" w:lastRowLastColumn="0"/>
        </w:trPr>
        <w:tc>
          <w:tcPr>
            <w:tcW w:w="0" w:type="auto"/>
            <w:hideMark/>
          </w:tcPr>
          <w:p w:rsidRPr="00963BC4" w:rsidR="00D43875" w:rsidP="009F40AA" w:rsidRDefault="00D43875" w14:paraId="5CC395CB" w14:textId="77777777">
            <w:pPr>
              <w:rPr>
                <w:rFonts w:ascii="Arial" w:hAnsi="Arial" w:cs="Arial"/>
                <w:bCs/>
                <w:lang w:val="en-US"/>
              </w:rPr>
            </w:pPr>
            <w:r w:rsidRPr="00963BC4">
              <w:rPr>
                <w:rFonts w:ascii="Arial" w:hAnsi="Arial" w:cs="Arial"/>
                <w:bCs/>
                <w:lang w:val="en-US"/>
              </w:rPr>
              <w:t>Indicator (latest available)</w:t>
            </w:r>
          </w:p>
        </w:tc>
        <w:tc>
          <w:tcPr>
            <w:tcW w:w="0" w:type="auto"/>
            <w:hideMark/>
          </w:tcPr>
          <w:p w:rsidRPr="00963BC4" w:rsidR="00D43875" w:rsidP="009F40AA" w:rsidRDefault="00D43875" w14:paraId="5656751F" w14:textId="77777777">
            <w:pPr>
              <w:rPr>
                <w:rFonts w:ascii="Arial" w:hAnsi="Arial" w:cs="Arial"/>
                <w:bCs/>
                <w:lang w:val="en-US"/>
              </w:rPr>
            </w:pPr>
            <w:r w:rsidRPr="00963BC4">
              <w:rPr>
                <w:rFonts w:ascii="Arial" w:hAnsi="Arial" w:cs="Arial"/>
                <w:bCs/>
                <w:lang w:val="en-US"/>
              </w:rPr>
              <w:t>China (approximate)</w:t>
            </w:r>
          </w:p>
        </w:tc>
        <w:tc>
          <w:tcPr>
            <w:tcW w:w="0" w:type="auto"/>
            <w:hideMark/>
          </w:tcPr>
          <w:p w:rsidRPr="00963BC4" w:rsidR="00D43875" w:rsidP="009F40AA" w:rsidRDefault="00D43875" w14:paraId="4DD80113" w14:textId="77777777">
            <w:pPr>
              <w:rPr>
                <w:rFonts w:ascii="Arial" w:hAnsi="Arial" w:cs="Arial"/>
                <w:bCs/>
                <w:lang w:val="en-US"/>
              </w:rPr>
            </w:pPr>
            <w:r w:rsidRPr="00963BC4">
              <w:rPr>
                <w:rFonts w:ascii="Arial" w:hAnsi="Arial" w:cs="Arial"/>
                <w:bCs/>
                <w:lang w:val="en-US"/>
              </w:rPr>
              <w:t>Global context and notes</w:t>
            </w:r>
          </w:p>
        </w:tc>
      </w:tr>
      <w:tr w:rsidRPr="00963BC4" w:rsidR="00975AF5" w:rsidTr="00507E4D" w14:paraId="43D15EA4" w14:textId="77777777">
        <w:tc>
          <w:tcPr>
            <w:tcW w:w="0" w:type="auto"/>
            <w:hideMark/>
          </w:tcPr>
          <w:p w:rsidRPr="00963BC4" w:rsidR="00D43875" w:rsidP="009F40AA" w:rsidRDefault="00D43875" w14:paraId="1B7933DE" w14:textId="77777777">
            <w:pPr>
              <w:rPr>
                <w:rFonts w:ascii="Arial" w:hAnsi="Arial" w:cs="Arial"/>
                <w:lang w:val="en-US"/>
              </w:rPr>
            </w:pPr>
            <w:r w:rsidRPr="00963BC4">
              <w:rPr>
                <w:rFonts w:ascii="Arial" w:hAnsi="Arial" w:cs="Arial"/>
                <w:lang w:val="en-US"/>
              </w:rPr>
              <w:t>Share of global EV car sales</w:t>
            </w:r>
          </w:p>
        </w:tc>
        <w:tc>
          <w:tcPr>
            <w:tcW w:w="0" w:type="auto"/>
            <w:hideMark/>
          </w:tcPr>
          <w:p w:rsidRPr="00963BC4" w:rsidR="00D43875" w:rsidP="009F40AA" w:rsidRDefault="00D43875" w14:paraId="13C79EE6" w14:textId="77777777">
            <w:pPr>
              <w:rPr>
                <w:rFonts w:ascii="Arial" w:hAnsi="Arial" w:cs="Arial"/>
                <w:lang w:val="en-US"/>
              </w:rPr>
            </w:pPr>
            <w:r w:rsidRPr="00963BC4">
              <w:rPr>
                <w:rFonts w:ascii="Arial" w:hAnsi="Arial" w:cs="Arial"/>
                <w:lang w:val="en-US"/>
              </w:rPr>
              <w:t>Around 50–55 per cent of global EV sales</w:t>
            </w:r>
          </w:p>
        </w:tc>
        <w:tc>
          <w:tcPr>
            <w:tcW w:w="0" w:type="auto"/>
            <w:hideMark/>
          </w:tcPr>
          <w:p w:rsidRPr="00963BC4" w:rsidR="00D43875" w:rsidP="009F40AA" w:rsidRDefault="00D43875" w14:paraId="6C278976" w14:textId="77777777">
            <w:pPr>
              <w:rPr>
                <w:rFonts w:ascii="Arial" w:hAnsi="Arial" w:cs="Arial"/>
                <w:lang w:val="en-US"/>
              </w:rPr>
            </w:pPr>
            <w:r w:rsidRPr="00963BC4">
              <w:rPr>
                <w:rFonts w:ascii="Arial" w:hAnsi="Arial" w:cs="Arial"/>
                <w:lang w:val="en-US"/>
              </w:rPr>
              <w:t>China consistently largest single EV market (IEA, 2025)</w:t>
            </w:r>
          </w:p>
        </w:tc>
      </w:tr>
      <w:tr w:rsidRPr="00963BC4" w:rsidR="00975AF5" w:rsidTr="00507E4D" w14:paraId="1AE30424" w14:textId="77777777">
        <w:tc>
          <w:tcPr>
            <w:tcW w:w="0" w:type="auto"/>
            <w:hideMark/>
          </w:tcPr>
          <w:p w:rsidRPr="00963BC4" w:rsidR="00D43875" w:rsidP="009F40AA" w:rsidRDefault="00D43875" w14:paraId="52288D46" w14:textId="1829B228">
            <w:pPr>
              <w:rPr>
                <w:rFonts w:ascii="Arial" w:hAnsi="Arial" w:cs="Arial"/>
                <w:lang w:val="en-US"/>
              </w:rPr>
            </w:pPr>
            <w:r w:rsidRPr="00963BC4">
              <w:rPr>
                <w:rFonts w:ascii="Arial" w:hAnsi="Arial" w:cs="Arial"/>
                <w:lang w:val="en-US"/>
              </w:rPr>
              <w:t xml:space="preserve">EV share of new car sales in </w:t>
            </w:r>
            <w:r w:rsidRPr="00963BC4" w:rsidR="0049496A">
              <w:rPr>
                <w:rFonts w:ascii="Arial" w:hAnsi="Arial" w:cs="Arial"/>
                <w:lang w:val="en-US"/>
              </w:rPr>
              <w:t xml:space="preserve">the </w:t>
            </w:r>
            <w:r w:rsidRPr="00963BC4">
              <w:rPr>
                <w:rFonts w:ascii="Arial" w:hAnsi="Arial" w:cs="Arial"/>
                <w:lang w:val="en-US"/>
              </w:rPr>
              <w:t>domestic market</w:t>
            </w:r>
          </w:p>
        </w:tc>
        <w:tc>
          <w:tcPr>
            <w:tcW w:w="0" w:type="auto"/>
            <w:hideMark/>
          </w:tcPr>
          <w:p w:rsidRPr="00963BC4" w:rsidR="00D43875" w:rsidP="009F40AA" w:rsidRDefault="00D43875" w14:paraId="78C08C25" w14:textId="77777777">
            <w:pPr>
              <w:rPr>
                <w:rFonts w:ascii="Arial" w:hAnsi="Arial" w:cs="Arial"/>
                <w:lang w:val="en-US"/>
              </w:rPr>
            </w:pPr>
            <w:r w:rsidRPr="00963BC4">
              <w:rPr>
                <w:rFonts w:ascii="Arial" w:hAnsi="Arial" w:cs="Arial"/>
                <w:lang w:val="en-US"/>
              </w:rPr>
              <w:t>Above 30 per cent and rising</w:t>
            </w:r>
          </w:p>
        </w:tc>
        <w:tc>
          <w:tcPr>
            <w:tcW w:w="0" w:type="auto"/>
            <w:hideMark/>
          </w:tcPr>
          <w:p w:rsidRPr="00963BC4" w:rsidR="00D43875" w:rsidP="009F40AA" w:rsidRDefault="00D43875" w14:paraId="0DCD5FDB" w14:textId="77777777">
            <w:pPr>
              <w:rPr>
                <w:rFonts w:ascii="Arial" w:hAnsi="Arial" w:cs="Arial"/>
                <w:lang w:val="en-US"/>
              </w:rPr>
            </w:pPr>
            <w:r w:rsidRPr="00963BC4">
              <w:rPr>
                <w:rFonts w:ascii="Arial" w:hAnsi="Arial" w:cs="Arial"/>
                <w:lang w:val="en-US"/>
              </w:rPr>
              <w:t>Among the highest penetration rates globally (</w:t>
            </w:r>
            <w:proofErr w:type="spellStart"/>
            <w:r w:rsidRPr="00963BC4">
              <w:rPr>
                <w:rFonts w:ascii="Arial" w:hAnsi="Arial" w:cs="Arial"/>
                <w:lang w:val="en-US"/>
              </w:rPr>
              <w:t>Aranca</w:t>
            </w:r>
            <w:proofErr w:type="spellEnd"/>
            <w:r w:rsidRPr="00963BC4">
              <w:rPr>
                <w:rFonts w:ascii="Arial" w:hAnsi="Arial" w:cs="Arial"/>
                <w:lang w:val="en-US"/>
              </w:rPr>
              <w:t>, 2025)</w:t>
            </w:r>
          </w:p>
        </w:tc>
      </w:tr>
      <w:tr w:rsidRPr="00963BC4" w:rsidR="00975AF5" w:rsidTr="00507E4D" w14:paraId="70DDBDDB" w14:textId="77777777">
        <w:tc>
          <w:tcPr>
            <w:tcW w:w="0" w:type="auto"/>
            <w:hideMark/>
          </w:tcPr>
          <w:p w:rsidRPr="00963BC4" w:rsidR="00D43875" w:rsidP="009F40AA" w:rsidRDefault="00D43875" w14:paraId="122299AB" w14:textId="77777777">
            <w:pPr>
              <w:rPr>
                <w:rFonts w:ascii="Arial" w:hAnsi="Arial" w:cs="Arial"/>
                <w:lang w:val="en-US"/>
              </w:rPr>
            </w:pPr>
            <w:r w:rsidRPr="00963BC4">
              <w:rPr>
                <w:rFonts w:ascii="Arial" w:hAnsi="Arial" w:cs="Arial"/>
                <w:lang w:val="en-US"/>
              </w:rPr>
              <w:t>EV exports from China (units)</w:t>
            </w:r>
          </w:p>
        </w:tc>
        <w:tc>
          <w:tcPr>
            <w:tcW w:w="0" w:type="auto"/>
            <w:hideMark/>
          </w:tcPr>
          <w:p w:rsidRPr="00963BC4" w:rsidR="00D43875" w:rsidP="009F40AA" w:rsidRDefault="00D43875" w14:paraId="546DFEA0" w14:textId="77777777">
            <w:pPr>
              <w:rPr>
                <w:rFonts w:ascii="Arial" w:hAnsi="Arial" w:cs="Arial"/>
                <w:lang w:val="en-US"/>
              </w:rPr>
            </w:pPr>
            <w:r w:rsidRPr="00963BC4">
              <w:rPr>
                <w:rFonts w:ascii="Arial" w:hAnsi="Arial" w:cs="Arial"/>
                <w:lang w:val="en-US"/>
              </w:rPr>
              <w:t>Several million vehicles annually</w:t>
            </w:r>
          </w:p>
        </w:tc>
        <w:tc>
          <w:tcPr>
            <w:tcW w:w="0" w:type="auto"/>
            <w:hideMark/>
          </w:tcPr>
          <w:p w:rsidRPr="00963BC4" w:rsidR="00D43875" w:rsidP="009F40AA" w:rsidRDefault="00D43875" w14:paraId="1ACE213C" w14:textId="1DF341A2">
            <w:pPr>
              <w:rPr>
                <w:rFonts w:ascii="Arial" w:hAnsi="Arial" w:cs="Arial"/>
                <w:lang w:val="en-US"/>
              </w:rPr>
            </w:pPr>
            <w:r w:rsidRPr="00963BC4">
              <w:rPr>
                <w:rFonts w:ascii="Arial" w:hAnsi="Arial" w:cs="Arial"/>
                <w:lang w:val="en-US"/>
              </w:rPr>
              <w:t xml:space="preserve">Rapid growth, especially </w:t>
            </w:r>
            <w:r w:rsidRPr="00963BC4" w:rsidR="0049496A">
              <w:rPr>
                <w:rFonts w:ascii="Arial" w:hAnsi="Arial" w:cs="Arial"/>
                <w:lang w:val="en-US"/>
              </w:rPr>
              <w:t>in</w:t>
            </w:r>
            <w:r w:rsidRPr="00963BC4">
              <w:rPr>
                <w:rFonts w:ascii="Arial" w:hAnsi="Arial" w:cs="Arial"/>
                <w:lang w:val="en-US"/>
              </w:rPr>
              <w:t xml:space="preserve"> Europe (Electricity Lawyer, 2025)</w:t>
            </w:r>
          </w:p>
        </w:tc>
      </w:tr>
      <w:tr w:rsidRPr="00963BC4" w:rsidR="00975AF5" w:rsidTr="00507E4D" w14:paraId="31699061" w14:textId="77777777">
        <w:tc>
          <w:tcPr>
            <w:tcW w:w="0" w:type="auto"/>
            <w:hideMark/>
          </w:tcPr>
          <w:p w:rsidRPr="00963BC4" w:rsidR="00D43875" w:rsidP="009F40AA" w:rsidRDefault="00D43875" w14:paraId="05C96A35" w14:textId="77777777">
            <w:pPr>
              <w:rPr>
                <w:rFonts w:ascii="Arial" w:hAnsi="Arial" w:cs="Arial"/>
                <w:lang w:val="en-US"/>
              </w:rPr>
            </w:pPr>
            <w:r w:rsidRPr="00963BC4">
              <w:rPr>
                <w:rFonts w:ascii="Arial" w:hAnsi="Arial" w:cs="Arial"/>
                <w:lang w:val="en-US"/>
              </w:rPr>
              <w:t>Number of NEV manufacturers and brands</w:t>
            </w:r>
          </w:p>
        </w:tc>
        <w:tc>
          <w:tcPr>
            <w:tcW w:w="0" w:type="auto"/>
            <w:hideMark/>
          </w:tcPr>
          <w:p w:rsidRPr="00963BC4" w:rsidR="00D43875" w:rsidP="009F40AA" w:rsidRDefault="00D43875" w14:paraId="1AFC193F" w14:textId="77777777">
            <w:pPr>
              <w:rPr>
                <w:rFonts w:ascii="Arial" w:hAnsi="Arial" w:cs="Arial"/>
                <w:lang w:val="en-US"/>
              </w:rPr>
            </w:pPr>
            <w:r w:rsidRPr="00963BC4">
              <w:rPr>
                <w:rFonts w:ascii="Arial" w:hAnsi="Arial" w:cs="Arial"/>
                <w:lang w:val="en-US"/>
              </w:rPr>
              <w:t>Hundreds of registered NEV makers</w:t>
            </w:r>
          </w:p>
        </w:tc>
        <w:tc>
          <w:tcPr>
            <w:tcW w:w="0" w:type="auto"/>
            <w:hideMark/>
          </w:tcPr>
          <w:p w:rsidRPr="00963BC4" w:rsidR="00D43875" w:rsidP="009F40AA" w:rsidRDefault="00D43875" w14:paraId="54613CE2" w14:textId="12A454E4">
            <w:pPr>
              <w:rPr>
                <w:rFonts w:ascii="Arial" w:hAnsi="Arial" w:cs="Arial"/>
                <w:lang w:val="en-US"/>
              </w:rPr>
            </w:pPr>
            <w:r w:rsidRPr="00963BC4">
              <w:rPr>
                <w:rFonts w:ascii="Arial" w:hAnsi="Arial" w:cs="Arial"/>
                <w:lang w:val="en-US"/>
              </w:rPr>
              <w:t>Consolidation currently underway (Arthur D. Little, 2024)</w:t>
            </w:r>
          </w:p>
        </w:tc>
      </w:tr>
      <w:tr w:rsidRPr="00963BC4" w:rsidR="00975AF5" w:rsidTr="00507E4D" w14:paraId="467AA4B4" w14:textId="77777777">
        <w:tc>
          <w:tcPr>
            <w:tcW w:w="0" w:type="auto"/>
            <w:hideMark/>
          </w:tcPr>
          <w:p w:rsidRPr="00963BC4" w:rsidR="00D43875" w:rsidP="009F40AA" w:rsidRDefault="00D43875" w14:paraId="39D4B0C1" w14:textId="77777777">
            <w:pPr>
              <w:rPr>
                <w:rFonts w:ascii="Arial" w:hAnsi="Arial" w:cs="Arial"/>
                <w:lang w:val="en-US"/>
              </w:rPr>
            </w:pPr>
            <w:r w:rsidRPr="00963BC4">
              <w:rPr>
                <w:rFonts w:ascii="Arial" w:hAnsi="Arial" w:cs="Arial"/>
                <w:lang w:val="en-US"/>
              </w:rPr>
              <w:t>Contribution to industrial output and employment</w:t>
            </w:r>
          </w:p>
        </w:tc>
        <w:tc>
          <w:tcPr>
            <w:tcW w:w="0" w:type="auto"/>
            <w:hideMark/>
          </w:tcPr>
          <w:p w:rsidRPr="00963BC4" w:rsidR="00D43875" w:rsidP="009F40AA" w:rsidRDefault="00D43875" w14:paraId="2F8DBBF3" w14:textId="77777777">
            <w:pPr>
              <w:rPr>
                <w:rFonts w:ascii="Arial" w:hAnsi="Arial" w:cs="Arial"/>
                <w:lang w:val="en-US"/>
              </w:rPr>
            </w:pPr>
            <w:r w:rsidRPr="00963BC4">
              <w:rPr>
                <w:rFonts w:ascii="Arial" w:hAnsi="Arial" w:cs="Arial"/>
                <w:lang w:val="en-US"/>
              </w:rPr>
              <w:t>Major contributor to manufacturing value added</w:t>
            </w:r>
          </w:p>
        </w:tc>
        <w:tc>
          <w:tcPr>
            <w:tcW w:w="0" w:type="auto"/>
            <w:hideMark/>
          </w:tcPr>
          <w:p w:rsidRPr="00963BC4" w:rsidR="00D43875" w:rsidP="009F40AA" w:rsidRDefault="00D43875" w14:paraId="6B7018F7" w14:textId="77777777">
            <w:pPr>
              <w:rPr>
                <w:rFonts w:ascii="Arial" w:hAnsi="Arial" w:cs="Arial"/>
                <w:lang w:val="en-US"/>
              </w:rPr>
            </w:pPr>
            <w:r w:rsidRPr="00963BC4">
              <w:rPr>
                <w:rFonts w:ascii="Arial" w:hAnsi="Arial" w:cs="Arial"/>
                <w:lang w:val="en-US"/>
              </w:rPr>
              <w:t>Key pillar of industrial policy (Chen et al., 2024)</w:t>
            </w:r>
          </w:p>
        </w:tc>
      </w:tr>
    </w:tbl>
    <w:p w:rsidRPr="00963BC4" w:rsidR="00A15DA8" w:rsidP="009F40AA" w:rsidRDefault="00A15DA8" w14:paraId="29BB42A1" w14:textId="77777777">
      <w:pPr>
        <w:rPr>
          <w:rFonts w:ascii="Arial" w:hAnsi="Arial" w:cs="Arial"/>
          <w:lang w:val="en-US"/>
        </w:rPr>
      </w:pPr>
    </w:p>
    <w:p w:rsidRPr="00963BC4" w:rsidR="00321C88" w:rsidP="5CA6A91A" w:rsidRDefault="00C47A6A" w14:paraId="44D70EE9" w14:textId="5755238A">
      <w:pPr>
        <w:rPr>
          <w:rFonts w:ascii="Arial" w:hAnsi="Arial" w:cs="Arial"/>
          <w:color w:val="000000" w:themeColor="text1" w:themeTint="FF" w:themeShade="FF"/>
        </w:rPr>
      </w:pPr>
      <w:r w:rsidRPr="5CA6A91A" w:rsidR="00C47A6A">
        <w:rPr>
          <w:rFonts w:ascii="Arial" w:hAnsi="Arial" w:cs="Arial"/>
          <w:color w:val="000000" w:themeColor="text1" w:themeTint="FF" w:themeShade="FF"/>
        </w:rPr>
        <w:t xml:space="preserve">The table 1 is a summary of the chosen indicators which </w:t>
      </w:r>
      <w:r w:rsidRPr="5CA6A91A" w:rsidR="00C47A6A">
        <w:rPr>
          <w:rFonts w:ascii="Arial" w:hAnsi="Arial" w:cs="Arial"/>
          <w:color w:val="000000" w:themeColor="text1" w:themeTint="FF" w:themeShade="FF"/>
        </w:rPr>
        <w:t>demonstrate</w:t>
      </w:r>
      <w:r w:rsidRPr="5CA6A91A" w:rsidR="00C47A6A">
        <w:rPr>
          <w:rFonts w:ascii="Arial" w:hAnsi="Arial" w:cs="Arial"/>
          <w:color w:val="000000" w:themeColor="text1" w:themeTint="FF" w:themeShade="FF"/>
        </w:rPr>
        <w:t xml:space="preserve"> that the power of competition of China lies not only in its internal demand, but also in its level of industry, export </w:t>
      </w:r>
      <w:r w:rsidRPr="5CA6A91A" w:rsidR="00C47A6A">
        <w:rPr>
          <w:rFonts w:ascii="Arial" w:hAnsi="Arial" w:cs="Arial"/>
          <w:color w:val="000000" w:themeColor="text1" w:themeTint="FF" w:themeShade="FF"/>
        </w:rPr>
        <w:t>capacities</w:t>
      </w:r>
      <w:r w:rsidRPr="5CA6A91A" w:rsidR="00C47A6A">
        <w:rPr>
          <w:rFonts w:ascii="Arial" w:hAnsi="Arial" w:cs="Arial"/>
          <w:color w:val="000000" w:themeColor="text1" w:themeTint="FF" w:themeShade="FF"/>
        </w:rPr>
        <w:t xml:space="preserve"> and integration of ecosystem.</w:t>
      </w:r>
      <w:r w:rsidRPr="5CA6A91A" w:rsidR="00321C88">
        <w:rPr>
          <w:rFonts w:ascii="Arial" w:hAnsi="Arial" w:cs="Arial"/>
          <w:color w:val="000000" w:themeColor="text1" w:themeTint="FF" w:themeShade="FF"/>
        </w:rPr>
        <w:t xml:space="preserve"> </w:t>
      </w:r>
    </w:p>
    <w:p w:rsidRPr="00963BC4" w:rsidR="00D43875" w:rsidP="5CA6A91A" w:rsidRDefault="00D43875" w14:paraId="053D47A5" w14:textId="77777777">
      <w:pPr>
        <w:pStyle w:val="Heading2"/>
        <w:rPr>
          <w:rFonts w:ascii="Arial" w:hAnsi="Arial" w:cs="Arial"/>
          <w:color w:val="000000" w:themeColor="text1" w:themeTint="FF" w:themeShade="FF"/>
        </w:rPr>
      </w:pPr>
      <w:bookmarkStart w:name="_Toc224702557" w:id="6"/>
      <w:r w:rsidRPr="5CA6A91A" w:rsidR="00D43875">
        <w:rPr>
          <w:rFonts w:ascii="Arial" w:hAnsi="Arial" w:cs="Arial"/>
          <w:color w:val="000000" w:themeColor="text1" w:themeTint="FF" w:themeShade="FF"/>
        </w:rPr>
        <w:t>2.3 Major domestic and multinational firms and relative positioning</w:t>
      </w:r>
      <w:bookmarkEnd w:id="6"/>
    </w:p>
    <w:p w:rsidRPr="00963BC4" w:rsidR="00DF4DB0" w:rsidP="5CA6A91A" w:rsidRDefault="00C47A6A" w14:paraId="0EDD2921" w14:textId="0E47CF28">
      <w:pPr>
        <w:rPr>
          <w:rFonts w:ascii="Arial" w:hAnsi="Arial" w:cs="Arial"/>
          <w:color w:val="000000" w:themeColor="text1" w:themeTint="FF" w:themeShade="FF"/>
          <w:lang w:val="en-US"/>
        </w:rPr>
      </w:pPr>
      <w:r w:rsidRPr="5CA6A91A" w:rsidR="00C47A6A">
        <w:rPr>
          <w:rFonts w:ascii="Arial" w:hAnsi="Arial" w:cs="Arial"/>
          <w:color w:val="000000" w:themeColor="text1" w:themeTint="FF" w:themeShade="FF"/>
          <w:lang w:val="en-US"/>
        </w:rPr>
        <w:t>The competition within the Chinese EV market is no longer the simplest scenario of the opposition between the local companies and the international ones. Instead, relative positioning is based on the combination of segment coverage, cost position, battery integration, software capability, pricing flexibility, and scale by the firms.</w:t>
      </w:r>
      <w:r w:rsidRPr="5CA6A91A" w:rsidR="00C47A6A">
        <w:rPr>
          <w:rFonts w:ascii="Arial" w:hAnsi="Arial" w:cs="Arial"/>
          <w:color w:val="EE0000"/>
          <w:lang w:val="en-US"/>
        </w:rPr>
        <w:t xml:space="preserve"> </w:t>
      </w:r>
      <w:r w:rsidRPr="5CA6A91A" w:rsidR="00C47A6A">
        <w:rPr>
          <w:rFonts w:ascii="Arial" w:hAnsi="Arial" w:cs="Arial"/>
          <w:color w:val="000000" w:themeColor="text1" w:themeTint="FF" w:themeShade="FF"/>
          <w:lang w:val="en-US"/>
        </w:rPr>
        <w:t xml:space="preserve">Domestic leaders like BYD are also in a particularly advantaged position as they compete on both the mass and mid-range tiers and enjoy both the high rates of vertical integration of batteries and components, which contributes to low costs and quicker pricing reactions (Arthur D. Little, 2024; </w:t>
      </w:r>
      <w:r w:rsidRPr="5CA6A91A" w:rsidR="00C47A6A">
        <w:rPr>
          <w:rFonts w:ascii="Arial" w:hAnsi="Arial" w:cs="Arial"/>
          <w:color w:val="000000" w:themeColor="text1" w:themeTint="FF" w:themeShade="FF"/>
          <w:lang w:val="en-US"/>
        </w:rPr>
        <w:t>Aranca</w:t>
      </w:r>
      <w:r w:rsidRPr="5CA6A91A" w:rsidR="00C47A6A">
        <w:rPr>
          <w:rFonts w:ascii="Arial" w:hAnsi="Arial" w:cs="Arial"/>
          <w:color w:val="000000" w:themeColor="text1" w:themeTint="FF" w:themeShade="FF"/>
          <w:lang w:val="en-US"/>
        </w:rPr>
        <w:t xml:space="preserve">, 2025). In comparison, companies like NIO, XPeng and Li Auto are competing </w:t>
      </w:r>
      <w:r w:rsidRPr="5CA6A91A" w:rsidR="00C47A6A">
        <w:rPr>
          <w:rFonts w:ascii="Arial" w:hAnsi="Arial" w:cs="Arial"/>
          <w:color w:val="000000" w:themeColor="text1" w:themeTint="FF" w:themeShade="FF"/>
          <w:lang w:val="en-US"/>
        </w:rPr>
        <w:t>rather with</w:t>
      </w:r>
      <w:r w:rsidRPr="5CA6A91A" w:rsidR="00C47A6A">
        <w:rPr>
          <w:rFonts w:ascii="Arial" w:hAnsi="Arial" w:cs="Arial"/>
          <w:color w:val="000000" w:themeColor="text1" w:themeTint="FF" w:themeShade="FF"/>
          <w:lang w:val="en-US"/>
        </w:rPr>
        <w:t xml:space="preserve"> premium differentiation, smart-cabin </w:t>
      </w:r>
      <w:r w:rsidRPr="5CA6A91A" w:rsidR="00C47A6A">
        <w:rPr>
          <w:rFonts w:ascii="Arial" w:hAnsi="Arial" w:cs="Arial"/>
          <w:color w:val="000000" w:themeColor="text1" w:themeTint="FF" w:themeShade="FF"/>
          <w:lang w:val="en-US"/>
        </w:rPr>
        <w:t>attributes</w:t>
      </w:r>
      <w:r w:rsidRPr="5CA6A91A" w:rsidR="00C47A6A">
        <w:rPr>
          <w:rFonts w:ascii="Arial" w:hAnsi="Arial" w:cs="Arial"/>
          <w:color w:val="000000" w:themeColor="text1" w:themeTint="FF" w:themeShade="FF"/>
          <w:lang w:val="en-US"/>
        </w:rPr>
        <w:t xml:space="preserve"> and digital integration of the ecosystem rather than with pure cost leadership (Arthur D. Little, 2024; Chen, 2024).</w:t>
      </w:r>
    </w:p>
    <w:p w:rsidRPr="00C47A6A" w:rsidR="00C47A6A" w:rsidP="00C47A6A" w:rsidRDefault="004F5B4B" w14:paraId="495C9F9C" w14:textId="7BC54BE4">
      <w:pPr>
        <w:pStyle w:val="Caption"/>
        <w:rPr>
          <w:rFonts w:ascii="Arial" w:hAnsi="Arial" w:cs="Arial"/>
          <w:lang w:val="en-US"/>
        </w:rPr>
      </w:pPr>
      <w:r w:rsidRPr="00963BC4">
        <w:rPr>
          <w:rFonts w:ascii="Arial" w:hAnsi="Arial" w:cs="Arial"/>
          <w:b w:val="0"/>
          <w:bCs/>
          <w:lang w:val="en-US"/>
        </w:rPr>
        <w:t xml:space="preserve"> </w:t>
      </w:r>
      <w:bookmarkStart w:name="_Toc223184442" w:id="7"/>
      <w:r w:rsidRPr="00963BC4">
        <w:rPr>
          <w:rFonts w:ascii="Arial" w:hAnsi="Arial" w:cs="Arial"/>
        </w:rPr>
        <w:t xml:space="preserve">Table </w:t>
      </w:r>
      <w:r w:rsidRPr="00963BC4">
        <w:rPr>
          <w:rFonts w:ascii="Arial" w:hAnsi="Arial" w:cs="Arial"/>
        </w:rPr>
        <w:fldChar w:fldCharType="begin"/>
      </w:r>
      <w:r w:rsidRPr="00963BC4">
        <w:rPr>
          <w:rFonts w:ascii="Arial" w:hAnsi="Arial" w:cs="Arial"/>
        </w:rPr>
        <w:instrText xml:space="preserve"> SEQ Table \* ARABIC </w:instrText>
      </w:r>
      <w:r w:rsidRPr="00963BC4">
        <w:rPr>
          <w:rFonts w:ascii="Arial" w:hAnsi="Arial" w:cs="Arial"/>
        </w:rPr>
        <w:fldChar w:fldCharType="separate"/>
      </w:r>
      <w:r w:rsidRPr="00963BC4" w:rsidR="00963BC4">
        <w:rPr>
          <w:rFonts w:ascii="Arial" w:hAnsi="Arial" w:cs="Arial"/>
        </w:rPr>
        <w:t>2</w:t>
      </w:r>
      <w:r w:rsidRPr="00963BC4">
        <w:rPr>
          <w:rFonts w:ascii="Arial" w:hAnsi="Arial" w:cs="Arial"/>
        </w:rPr>
        <w:fldChar w:fldCharType="end"/>
      </w:r>
      <w:r w:rsidRPr="00963BC4">
        <w:rPr>
          <w:rFonts w:ascii="Arial" w:hAnsi="Arial" w:cs="Arial"/>
        </w:rPr>
        <w:t xml:space="preserve">: </w:t>
      </w:r>
      <w:bookmarkEnd w:id="7"/>
      <w:r w:rsidRPr="00C47A6A" w:rsidR="00C47A6A">
        <w:rPr>
          <w:rFonts w:ascii="Arial" w:hAnsi="Arial" w:cs="Arial"/>
          <w:bCs/>
          <w:lang w:val="en-US"/>
        </w:rPr>
        <w:t>Relative positioning of selected EV firms in China</w:t>
      </w:r>
    </w:p>
    <w:tbl>
      <w:tblPr>
        <w:tblStyle w:val="TableGrid1"/>
        <w:tblW w:w="0" w:type="auto"/>
        <w:tblLayout w:type="fixed"/>
        <w:tblLook w:val="04A0" w:firstRow="1" w:lastRow="0" w:firstColumn="1" w:lastColumn="0" w:noHBand="0" w:noVBand="1"/>
      </w:tblPr>
      <w:tblGrid>
        <w:gridCol w:w="1155"/>
        <w:gridCol w:w="1260"/>
        <w:gridCol w:w="1080"/>
        <w:gridCol w:w="1440"/>
        <w:gridCol w:w="1530"/>
        <w:gridCol w:w="2531"/>
      </w:tblGrid>
      <w:tr w:rsidRPr="00963BC4" w:rsidR="00C47A6A" w:rsidTr="00C47A6A" w14:paraId="71220DBC" w14:textId="77777777">
        <w:trPr>
          <w:cnfStyle w:val="100000000000" w:firstRow="1" w:lastRow="0" w:firstColumn="0" w:lastColumn="0" w:oddVBand="0" w:evenVBand="0" w:oddHBand="0" w:evenHBand="0" w:firstRowFirstColumn="0" w:firstRowLastColumn="0" w:lastRowFirstColumn="0" w:lastRowLastColumn="0"/>
        </w:trPr>
        <w:tc>
          <w:tcPr>
            <w:tcW w:w="1155" w:type="dxa"/>
            <w:hideMark/>
          </w:tcPr>
          <w:p w:rsidRPr="00C47A6A" w:rsidR="00C47A6A" w:rsidP="00C47A6A" w:rsidRDefault="00C47A6A" w14:paraId="0164090E" w14:textId="77777777">
            <w:pPr>
              <w:spacing w:before="0" w:after="160"/>
              <w:jc w:val="left"/>
              <w:rPr>
                <w:rFonts w:ascii="Arial" w:hAnsi="Arial" w:cs="Arial"/>
                <w:bCs/>
                <w:sz w:val="22"/>
                <w:szCs w:val="20"/>
                <w:lang w:val="en-US"/>
              </w:rPr>
            </w:pPr>
            <w:r w:rsidRPr="00C47A6A">
              <w:rPr>
                <w:rFonts w:ascii="Arial" w:hAnsi="Arial" w:cs="Arial"/>
                <w:bCs/>
                <w:sz w:val="22"/>
                <w:szCs w:val="20"/>
                <w:lang w:val="en-US"/>
              </w:rPr>
              <w:t>Firm</w:t>
            </w:r>
          </w:p>
        </w:tc>
        <w:tc>
          <w:tcPr>
            <w:tcW w:w="1260" w:type="dxa"/>
            <w:hideMark/>
          </w:tcPr>
          <w:p w:rsidRPr="00C47A6A" w:rsidR="00C47A6A" w:rsidP="00C47A6A" w:rsidRDefault="00C47A6A" w14:paraId="75BC13CE" w14:textId="77777777">
            <w:pPr>
              <w:spacing w:before="0" w:after="160"/>
              <w:jc w:val="left"/>
              <w:rPr>
                <w:rFonts w:ascii="Arial" w:hAnsi="Arial" w:cs="Arial"/>
                <w:bCs/>
                <w:sz w:val="22"/>
                <w:szCs w:val="20"/>
                <w:lang w:val="en-US"/>
              </w:rPr>
            </w:pPr>
            <w:r w:rsidRPr="00C47A6A">
              <w:rPr>
                <w:rFonts w:ascii="Arial" w:hAnsi="Arial" w:cs="Arial"/>
                <w:bCs/>
                <w:sz w:val="22"/>
                <w:szCs w:val="20"/>
                <w:lang w:val="en-US"/>
              </w:rPr>
              <w:t>Segment coverage</w:t>
            </w:r>
          </w:p>
        </w:tc>
        <w:tc>
          <w:tcPr>
            <w:tcW w:w="1080" w:type="dxa"/>
            <w:hideMark/>
          </w:tcPr>
          <w:p w:rsidRPr="00C47A6A" w:rsidR="00C47A6A" w:rsidP="00C47A6A" w:rsidRDefault="00C47A6A" w14:paraId="4B50CF1B" w14:textId="77777777">
            <w:pPr>
              <w:spacing w:before="0" w:after="160"/>
              <w:jc w:val="left"/>
              <w:rPr>
                <w:rFonts w:ascii="Arial" w:hAnsi="Arial" w:cs="Arial"/>
                <w:bCs/>
                <w:sz w:val="22"/>
                <w:szCs w:val="20"/>
                <w:lang w:val="en-US"/>
              </w:rPr>
            </w:pPr>
            <w:r w:rsidRPr="00C47A6A">
              <w:rPr>
                <w:rFonts w:ascii="Arial" w:hAnsi="Arial" w:cs="Arial"/>
                <w:bCs/>
                <w:sz w:val="22"/>
                <w:szCs w:val="20"/>
                <w:lang w:val="en-US"/>
              </w:rPr>
              <w:t>Cost position</w:t>
            </w:r>
          </w:p>
        </w:tc>
        <w:tc>
          <w:tcPr>
            <w:tcW w:w="1440" w:type="dxa"/>
            <w:hideMark/>
          </w:tcPr>
          <w:p w:rsidRPr="00C47A6A" w:rsidR="00C47A6A" w:rsidP="00C47A6A" w:rsidRDefault="00C47A6A" w14:paraId="76261B31" w14:textId="77777777">
            <w:pPr>
              <w:spacing w:before="0" w:after="160"/>
              <w:jc w:val="left"/>
              <w:rPr>
                <w:rFonts w:ascii="Arial" w:hAnsi="Arial" w:cs="Arial"/>
                <w:bCs/>
                <w:sz w:val="22"/>
                <w:szCs w:val="20"/>
                <w:lang w:val="en-US"/>
              </w:rPr>
            </w:pPr>
            <w:r w:rsidRPr="00C47A6A">
              <w:rPr>
                <w:rFonts w:ascii="Arial" w:hAnsi="Arial" w:cs="Arial"/>
                <w:bCs/>
                <w:sz w:val="22"/>
                <w:szCs w:val="20"/>
                <w:lang w:val="en-US"/>
              </w:rPr>
              <w:t>Vertical integration</w:t>
            </w:r>
          </w:p>
        </w:tc>
        <w:tc>
          <w:tcPr>
            <w:tcW w:w="1530" w:type="dxa"/>
            <w:hideMark/>
          </w:tcPr>
          <w:p w:rsidRPr="00C47A6A" w:rsidR="00C47A6A" w:rsidP="00C47A6A" w:rsidRDefault="00C47A6A" w14:paraId="2EEE2595" w14:textId="77777777">
            <w:pPr>
              <w:spacing w:before="0" w:after="160"/>
              <w:jc w:val="left"/>
              <w:rPr>
                <w:rFonts w:ascii="Arial" w:hAnsi="Arial" w:cs="Arial"/>
                <w:bCs/>
                <w:sz w:val="22"/>
                <w:szCs w:val="20"/>
                <w:lang w:val="en-US"/>
              </w:rPr>
            </w:pPr>
            <w:r w:rsidRPr="00C47A6A">
              <w:rPr>
                <w:rFonts w:ascii="Arial" w:hAnsi="Arial" w:cs="Arial"/>
                <w:bCs/>
                <w:sz w:val="22"/>
                <w:szCs w:val="20"/>
                <w:lang w:val="en-US"/>
              </w:rPr>
              <w:t>Software/ecosystem strength</w:t>
            </w:r>
          </w:p>
        </w:tc>
        <w:tc>
          <w:tcPr>
            <w:tcW w:w="2531" w:type="dxa"/>
            <w:hideMark/>
          </w:tcPr>
          <w:p w:rsidRPr="00C47A6A" w:rsidR="00C47A6A" w:rsidP="00C47A6A" w:rsidRDefault="00C47A6A" w14:paraId="0124857F" w14:textId="77777777">
            <w:pPr>
              <w:spacing w:before="0" w:after="160"/>
              <w:jc w:val="left"/>
              <w:rPr>
                <w:rFonts w:ascii="Arial" w:hAnsi="Arial" w:cs="Arial"/>
                <w:bCs/>
                <w:sz w:val="22"/>
                <w:szCs w:val="20"/>
                <w:lang w:val="en-US"/>
              </w:rPr>
            </w:pPr>
            <w:r w:rsidRPr="00C47A6A">
              <w:rPr>
                <w:rFonts w:ascii="Arial" w:hAnsi="Arial" w:cs="Arial"/>
                <w:bCs/>
                <w:sz w:val="22"/>
                <w:szCs w:val="20"/>
                <w:lang w:val="en-US"/>
              </w:rPr>
              <w:t>Pricing behaviour / recent trajectory</w:t>
            </w:r>
          </w:p>
        </w:tc>
      </w:tr>
      <w:tr w:rsidRPr="00963BC4" w:rsidR="00C47A6A" w:rsidTr="00C47A6A" w14:paraId="52F54DA1" w14:textId="77777777">
        <w:tc>
          <w:tcPr>
            <w:tcW w:w="1155" w:type="dxa"/>
            <w:hideMark/>
          </w:tcPr>
          <w:p w:rsidRPr="00C47A6A" w:rsidR="00C47A6A" w:rsidP="00C47A6A" w:rsidRDefault="00C47A6A" w14:paraId="4275D2C5" w14:textId="77777777">
            <w:pPr>
              <w:spacing w:before="0" w:after="160"/>
              <w:jc w:val="left"/>
              <w:rPr>
                <w:rFonts w:ascii="Arial" w:hAnsi="Arial" w:cs="Arial"/>
                <w:sz w:val="22"/>
                <w:szCs w:val="20"/>
                <w:lang w:val="en-US"/>
              </w:rPr>
            </w:pPr>
            <w:r w:rsidRPr="00C47A6A">
              <w:rPr>
                <w:rFonts w:ascii="Arial" w:hAnsi="Arial" w:cs="Arial"/>
                <w:sz w:val="22"/>
                <w:szCs w:val="20"/>
                <w:lang w:val="en-US"/>
              </w:rPr>
              <w:t>BYD</w:t>
            </w:r>
          </w:p>
        </w:tc>
        <w:tc>
          <w:tcPr>
            <w:tcW w:w="1260" w:type="dxa"/>
            <w:hideMark/>
          </w:tcPr>
          <w:p w:rsidRPr="00C47A6A" w:rsidR="00C47A6A" w:rsidP="00C47A6A" w:rsidRDefault="00C47A6A" w14:paraId="3D239D1E" w14:textId="77777777">
            <w:pPr>
              <w:spacing w:before="0" w:after="160"/>
              <w:jc w:val="left"/>
              <w:rPr>
                <w:rFonts w:ascii="Arial" w:hAnsi="Arial" w:cs="Arial"/>
                <w:sz w:val="22"/>
                <w:szCs w:val="20"/>
                <w:lang w:val="en-US"/>
              </w:rPr>
            </w:pPr>
            <w:r w:rsidRPr="00C47A6A">
              <w:rPr>
                <w:rFonts w:ascii="Arial" w:hAnsi="Arial" w:cs="Arial"/>
                <w:sz w:val="22"/>
                <w:szCs w:val="20"/>
                <w:lang w:val="en-US"/>
              </w:rPr>
              <w:t>Mass to upper-mid market</w:t>
            </w:r>
          </w:p>
        </w:tc>
        <w:tc>
          <w:tcPr>
            <w:tcW w:w="1080" w:type="dxa"/>
            <w:hideMark/>
          </w:tcPr>
          <w:p w:rsidRPr="00C47A6A" w:rsidR="00C47A6A" w:rsidP="00C47A6A" w:rsidRDefault="00C47A6A" w14:paraId="1A4F61AA" w14:textId="77777777">
            <w:pPr>
              <w:spacing w:before="0" w:after="160"/>
              <w:jc w:val="left"/>
              <w:rPr>
                <w:rFonts w:ascii="Arial" w:hAnsi="Arial" w:cs="Arial"/>
                <w:sz w:val="22"/>
                <w:szCs w:val="20"/>
                <w:lang w:val="en-US"/>
              </w:rPr>
            </w:pPr>
            <w:r w:rsidRPr="00C47A6A">
              <w:rPr>
                <w:rFonts w:ascii="Arial" w:hAnsi="Arial" w:cs="Arial"/>
                <w:sz w:val="22"/>
                <w:szCs w:val="20"/>
                <w:lang w:val="en-US"/>
              </w:rPr>
              <w:t>Strong</w:t>
            </w:r>
          </w:p>
        </w:tc>
        <w:tc>
          <w:tcPr>
            <w:tcW w:w="1440" w:type="dxa"/>
            <w:hideMark/>
          </w:tcPr>
          <w:p w:rsidRPr="00C47A6A" w:rsidR="00C47A6A" w:rsidP="00C47A6A" w:rsidRDefault="00C47A6A" w14:paraId="72628175" w14:textId="77777777">
            <w:pPr>
              <w:spacing w:before="0" w:after="160"/>
              <w:jc w:val="left"/>
              <w:rPr>
                <w:rFonts w:ascii="Arial" w:hAnsi="Arial" w:cs="Arial"/>
                <w:sz w:val="22"/>
                <w:szCs w:val="20"/>
                <w:lang w:val="en-US"/>
              </w:rPr>
            </w:pPr>
            <w:r w:rsidRPr="00C47A6A">
              <w:rPr>
                <w:rFonts w:ascii="Arial" w:hAnsi="Arial" w:cs="Arial"/>
                <w:sz w:val="22"/>
                <w:szCs w:val="20"/>
                <w:lang w:val="en-US"/>
              </w:rPr>
              <w:t>Very high, especially batteries</w:t>
            </w:r>
          </w:p>
        </w:tc>
        <w:tc>
          <w:tcPr>
            <w:tcW w:w="1530" w:type="dxa"/>
            <w:hideMark/>
          </w:tcPr>
          <w:p w:rsidRPr="00C47A6A" w:rsidR="00C47A6A" w:rsidP="00C47A6A" w:rsidRDefault="00C47A6A" w14:paraId="480D6961" w14:textId="77777777">
            <w:pPr>
              <w:spacing w:before="0" w:after="160"/>
              <w:jc w:val="left"/>
              <w:rPr>
                <w:rFonts w:ascii="Arial" w:hAnsi="Arial" w:cs="Arial"/>
                <w:sz w:val="22"/>
                <w:szCs w:val="20"/>
                <w:lang w:val="en-US"/>
              </w:rPr>
            </w:pPr>
            <w:r w:rsidRPr="00C47A6A">
              <w:rPr>
                <w:rFonts w:ascii="Arial" w:hAnsi="Arial" w:cs="Arial"/>
                <w:sz w:val="22"/>
                <w:szCs w:val="20"/>
                <w:lang w:val="en-US"/>
              </w:rPr>
              <w:t>Moderate to strong</w:t>
            </w:r>
          </w:p>
        </w:tc>
        <w:tc>
          <w:tcPr>
            <w:tcW w:w="2531" w:type="dxa"/>
            <w:hideMark/>
          </w:tcPr>
          <w:p w:rsidRPr="00C47A6A" w:rsidR="00C47A6A" w:rsidP="00C47A6A" w:rsidRDefault="00C47A6A" w14:paraId="45907C17" w14:textId="77777777">
            <w:pPr>
              <w:spacing w:before="0" w:after="160"/>
              <w:jc w:val="left"/>
              <w:rPr>
                <w:rFonts w:ascii="Arial" w:hAnsi="Arial" w:cs="Arial"/>
                <w:sz w:val="22"/>
                <w:szCs w:val="20"/>
                <w:lang w:val="en-US"/>
              </w:rPr>
            </w:pPr>
            <w:r w:rsidRPr="00C47A6A">
              <w:rPr>
                <w:rFonts w:ascii="Arial" w:hAnsi="Arial" w:cs="Arial"/>
                <w:sz w:val="22"/>
                <w:szCs w:val="20"/>
                <w:lang w:val="en-US"/>
              </w:rPr>
              <w:t>Aggressive pricing; gaining share (</w:t>
            </w:r>
            <w:proofErr w:type="spellStart"/>
            <w:r w:rsidRPr="00C47A6A">
              <w:rPr>
                <w:rFonts w:ascii="Arial" w:hAnsi="Arial" w:cs="Arial"/>
                <w:sz w:val="22"/>
                <w:szCs w:val="20"/>
                <w:lang w:val="en-US"/>
              </w:rPr>
              <w:t>Aranca</w:t>
            </w:r>
            <w:proofErr w:type="spellEnd"/>
            <w:r w:rsidRPr="00C47A6A">
              <w:rPr>
                <w:rFonts w:ascii="Arial" w:hAnsi="Arial" w:cs="Arial"/>
                <w:sz w:val="22"/>
                <w:szCs w:val="20"/>
                <w:lang w:val="en-US"/>
              </w:rPr>
              <w:t>, 2025; Arthur D. Little, 2024)</w:t>
            </w:r>
          </w:p>
        </w:tc>
      </w:tr>
      <w:tr w:rsidRPr="00963BC4" w:rsidR="00C47A6A" w:rsidTr="00C47A6A" w14:paraId="21A5995A" w14:textId="77777777">
        <w:tc>
          <w:tcPr>
            <w:tcW w:w="1155" w:type="dxa"/>
            <w:hideMark/>
          </w:tcPr>
          <w:p w:rsidRPr="00C47A6A" w:rsidR="00C47A6A" w:rsidP="00C47A6A" w:rsidRDefault="00C47A6A" w14:paraId="27AFFA13" w14:textId="77777777">
            <w:pPr>
              <w:spacing w:before="0" w:after="160"/>
              <w:jc w:val="left"/>
              <w:rPr>
                <w:rFonts w:ascii="Arial" w:hAnsi="Arial" w:cs="Arial"/>
                <w:sz w:val="22"/>
                <w:szCs w:val="20"/>
                <w:lang w:val="en-US"/>
              </w:rPr>
            </w:pPr>
            <w:r w:rsidRPr="00C47A6A">
              <w:rPr>
                <w:rFonts w:ascii="Arial" w:hAnsi="Arial" w:cs="Arial"/>
                <w:sz w:val="22"/>
                <w:szCs w:val="20"/>
                <w:lang w:val="en-US"/>
              </w:rPr>
              <w:t>NIO / XPeng / Li Auto</w:t>
            </w:r>
          </w:p>
        </w:tc>
        <w:tc>
          <w:tcPr>
            <w:tcW w:w="1260" w:type="dxa"/>
            <w:hideMark/>
          </w:tcPr>
          <w:p w:rsidRPr="00C47A6A" w:rsidR="00C47A6A" w:rsidP="00C47A6A" w:rsidRDefault="00C47A6A" w14:paraId="2519638D" w14:textId="77777777">
            <w:pPr>
              <w:spacing w:before="0" w:after="160"/>
              <w:jc w:val="left"/>
              <w:rPr>
                <w:rFonts w:ascii="Arial" w:hAnsi="Arial" w:cs="Arial"/>
                <w:sz w:val="22"/>
                <w:szCs w:val="20"/>
                <w:lang w:val="en-US"/>
              </w:rPr>
            </w:pPr>
            <w:r w:rsidRPr="00C47A6A">
              <w:rPr>
                <w:rFonts w:ascii="Arial" w:hAnsi="Arial" w:cs="Arial"/>
                <w:sz w:val="22"/>
                <w:szCs w:val="20"/>
                <w:lang w:val="en-US"/>
              </w:rPr>
              <w:t>Premium / tech-oriented</w:t>
            </w:r>
          </w:p>
        </w:tc>
        <w:tc>
          <w:tcPr>
            <w:tcW w:w="1080" w:type="dxa"/>
            <w:hideMark/>
          </w:tcPr>
          <w:p w:rsidRPr="00C47A6A" w:rsidR="00C47A6A" w:rsidP="00C47A6A" w:rsidRDefault="00C47A6A" w14:paraId="5A0CD7FC" w14:textId="77777777">
            <w:pPr>
              <w:spacing w:before="0" w:after="160"/>
              <w:jc w:val="left"/>
              <w:rPr>
                <w:rFonts w:ascii="Arial" w:hAnsi="Arial" w:cs="Arial"/>
                <w:sz w:val="22"/>
                <w:szCs w:val="20"/>
                <w:lang w:val="en-US"/>
              </w:rPr>
            </w:pPr>
            <w:r w:rsidRPr="00C47A6A">
              <w:rPr>
                <w:rFonts w:ascii="Arial" w:hAnsi="Arial" w:cs="Arial"/>
                <w:sz w:val="22"/>
                <w:szCs w:val="20"/>
                <w:lang w:val="en-US"/>
              </w:rPr>
              <w:t>Weaker than BYD</w:t>
            </w:r>
          </w:p>
        </w:tc>
        <w:tc>
          <w:tcPr>
            <w:tcW w:w="1440" w:type="dxa"/>
            <w:hideMark/>
          </w:tcPr>
          <w:p w:rsidRPr="00C47A6A" w:rsidR="00C47A6A" w:rsidP="00C47A6A" w:rsidRDefault="00C47A6A" w14:paraId="39C6CE7E" w14:textId="77777777">
            <w:pPr>
              <w:spacing w:before="0" w:after="160"/>
              <w:jc w:val="left"/>
              <w:rPr>
                <w:rFonts w:ascii="Arial" w:hAnsi="Arial" w:cs="Arial"/>
                <w:sz w:val="22"/>
                <w:szCs w:val="20"/>
                <w:lang w:val="en-US"/>
              </w:rPr>
            </w:pPr>
            <w:r w:rsidRPr="00C47A6A">
              <w:rPr>
                <w:rFonts w:ascii="Arial" w:hAnsi="Arial" w:cs="Arial"/>
                <w:sz w:val="22"/>
                <w:szCs w:val="20"/>
                <w:lang w:val="en-US"/>
              </w:rPr>
              <w:t>Lower to moderate</w:t>
            </w:r>
          </w:p>
        </w:tc>
        <w:tc>
          <w:tcPr>
            <w:tcW w:w="1530" w:type="dxa"/>
            <w:hideMark/>
          </w:tcPr>
          <w:p w:rsidRPr="00C47A6A" w:rsidR="00C47A6A" w:rsidP="00C47A6A" w:rsidRDefault="00C47A6A" w14:paraId="1AEC797D" w14:textId="77777777">
            <w:pPr>
              <w:spacing w:before="0" w:after="160"/>
              <w:jc w:val="left"/>
              <w:rPr>
                <w:rFonts w:ascii="Arial" w:hAnsi="Arial" w:cs="Arial"/>
                <w:sz w:val="22"/>
                <w:szCs w:val="20"/>
                <w:lang w:val="en-US"/>
              </w:rPr>
            </w:pPr>
            <w:r w:rsidRPr="00C47A6A">
              <w:rPr>
                <w:rFonts w:ascii="Arial" w:hAnsi="Arial" w:cs="Arial"/>
                <w:sz w:val="22"/>
                <w:szCs w:val="20"/>
                <w:lang w:val="en-US"/>
              </w:rPr>
              <w:t>Strong local digital features</w:t>
            </w:r>
          </w:p>
        </w:tc>
        <w:tc>
          <w:tcPr>
            <w:tcW w:w="2531" w:type="dxa"/>
            <w:hideMark/>
          </w:tcPr>
          <w:p w:rsidRPr="00C47A6A" w:rsidR="00C47A6A" w:rsidP="00C47A6A" w:rsidRDefault="00C47A6A" w14:paraId="7CFD6F59" w14:textId="77777777">
            <w:pPr>
              <w:spacing w:before="0" w:after="160"/>
              <w:jc w:val="left"/>
              <w:rPr>
                <w:rFonts w:ascii="Arial" w:hAnsi="Arial" w:cs="Arial"/>
                <w:sz w:val="22"/>
                <w:szCs w:val="20"/>
                <w:lang w:val="en-US"/>
              </w:rPr>
            </w:pPr>
            <w:r w:rsidRPr="00C47A6A">
              <w:rPr>
                <w:rFonts w:ascii="Arial" w:hAnsi="Arial" w:cs="Arial"/>
                <w:sz w:val="22"/>
                <w:szCs w:val="20"/>
                <w:lang w:val="en-US"/>
              </w:rPr>
              <w:t>Compete through differentiation and innovation (Arthur D. Little, 2024; Chen, 2024)</w:t>
            </w:r>
          </w:p>
        </w:tc>
      </w:tr>
      <w:tr w:rsidRPr="00963BC4" w:rsidR="00C47A6A" w:rsidTr="00C47A6A" w14:paraId="17361548" w14:textId="77777777">
        <w:tc>
          <w:tcPr>
            <w:tcW w:w="1155" w:type="dxa"/>
            <w:hideMark/>
          </w:tcPr>
          <w:p w:rsidRPr="00C47A6A" w:rsidR="00C47A6A" w:rsidP="00C47A6A" w:rsidRDefault="00C47A6A" w14:paraId="68F8DA73" w14:textId="77777777">
            <w:pPr>
              <w:spacing w:before="0" w:after="160"/>
              <w:jc w:val="left"/>
              <w:rPr>
                <w:rFonts w:ascii="Arial" w:hAnsi="Arial" w:cs="Arial"/>
                <w:sz w:val="22"/>
                <w:szCs w:val="20"/>
                <w:lang w:val="en-US"/>
              </w:rPr>
            </w:pPr>
            <w:r w:rsidRPr="00C47A6A">
              <w:rPr>
                <w:rFonts w:ascii="Arial" w:hAnsi="Arial" w:cs="Arial"/>
                <w:sz w:val="22"/>
                <w:szCs w:val="20"/>
                <w:lang w:val="en-US"/>
              </w:rPr>
              <w:t>Tesla</w:t>
            </w:r>
          </w:p>
        </w:tc>
        <w:tc>
          <w:tcPr>
            <w:tcW w:w="1260" w:type="dxa"/>
            <w:hideMark/>
          </w:tcPr>
          <w:p w:rsidRPr="00C47A6A" w:rsidR="00C47A6A" w:rsidP="00C47A6A" w:rsidRDefault="00C47A6A" w14:paraId="2DE155EE" w14:textId="77777777">
            <w:pPr>
              <w:spacing w:before="0" w:after="160"/>
              <w:jc w:val="left"/>
              <w:rPr>
                <w:rFonts w:ascii="Arial" w:hAnsi="Arial" w:cs="Arial"/>
                <w:sz w:val="22"/>
                <w:szCs w:val="20"/>
                <w:lang w:val="en-US"/>
              </w:rPr>
            </w:pPr>
            <w:r w:rsidRPr="00C47A6A">
              <w:rPr>
                <w:rFonts w:ascii="Arial" w:hAnsi="Arial" w:cs="Arial"/>
                <w:sz w:val="22"/>
                <w:szCs w:val="20"/>
                <w:lang w:val="en-US"/>
              </w:rPr>
              <w:t>Mid- to premium BEV</w:t>
            </w:r>
          </w:p>
        </w:tc>
        <w:tc>
          <w:tcPr>
            <w:tcW w:w="1080" w:type="dxa"/>
            <w:hideMark/>
          </w:tcPr>
          <w:p w:rsidRPr="00C47A6A" w:rsidR="00C47A6A" w:rsidP="00C47A6A" w:rsidRDefault="00C47A6A" w14:paraId="38AA515F" w14:textId="77777777">
            <w:pPr>
              <w:spacing w:before="0" w:after="160"/>
              <w:jc w:val="left"/>
              <w:rPr>
                <w:rFonts w:ascii="Arial" w:hAnsi="Arial" w:cs="Arial"/>
                <w:sz w:val="22"/>
                <w:szCs w:val="20"/>
                <w:lang w:val="en-US"/>
              </w:rPr>
            </w:pPr>
            <w:r w:rsidRPr="00C47A6A">
              <w:rPr>
                <w:rFonts w:ascii="Arial" w:hAnsi="Arial" w:cs="Arial"/>
                <w:sz w:val="22"/>
                <w:szCs w:val="20"/>
                <w:lang w:val="en-US"/>
              </w:rPr>
              <w:t>Competitive but under pressure</w:t>
            </w:r>
          </w:p>
        </w:tc>
        <w:tc>
          <w:tcPr>
            <w:tcW w:w="1440" w:type="dxa"/>
            <w:hideMark/>
          </w:tcPr>
          <w:p w:rsidRPr="00C47A6A" w:rsidR="00C47A6A" w:rsidP="00C47A6A" w:rsidRDefault="00C47A6A" w14:paraId="79006F0B" w14:textId="77777777">
            <w:pPr>
              <w:spacing w:before="0" w:after="160"/>
              <w:jc w:val="left"/>
              <w:rPr>
                <w:rFonts w:ascii="Arial" w:hAnsi="Arial" w:cs="Arial"/>
                <w:sz w:val="22"/>
                <w:szCs w:val="20"/>
                <w:lang w:val="en-US"/>
              </w:rPr>
            </w:pPr>
            <w:r w:rsidRPr="00C47A6A">
              <w:rPr>
                <w:rFonts w:ascii="Arial" w:hAnsi="Arial" w:cs="Arial"/>
                <w:sz w:val="22"/>
                <w:szCs w:val="20"/>
                <w:lang w:val="en-US"/>
              </w:rPr>
              <w:t>Moderate</w:t>
            </w:r>
          </w:p>
        </w:tc>
        <w:tc>
          <w:tcPr>
            <w:tcW w:w="1530" w:type="dxa"/>
            <w:hideMark/>
          </w:tcPr>
          <w:p w:rsidRPr="00C47A6A" w:rsidR="00C47A6A" w:rsidP="00C47A6A" w:rsidRDefault="00C47A6A" w14:paraId="20B0E86B" w14:textId="77777777">
            <w:pPr>
              <w:spacing w:before="0" w:after="160"/>
              <w:jc w:val="left"/>
              <w:rPr>
                <w:rFonts w:ascii="Arial" w:hAnsi="Arial" w:cs="Arial"/>
                <w:sz w:val="22"/>
                <w:szCs w:val="20"/>
                <w:lang w:val="en-US"/>
              </w:rPr>
            </w:pPr>
            <w:r w:rsidRPr="00C47A6A">
              <w:rPr>
                <w:rFonts w:ascii="Arial" w:hAnsi="Arial" w:cs="Arial"/>
                <w:sz w:val="22"/>
                <w:szCs w:val="20"/>
                <w:lang w:val="en-US"/>
              </w:rPr>
              <w:t>Strong global software brand, but less locally embedded</w:t>
            </w:r>
          </w:p>
        </w:tc>
        <w:tc>
          <w:tcPr>
            <w:tcW w:w="2531" w:type="dxa"/>
            <w:hideMark/>
          </w:tcPr>
          <w:p w:rsidRPr="00C47A6A" w:rsidR="00C47A6A" w:rsidP="00C47A6A" w:rsidRDefault="00C47A6A" w14:paraId="3DD1083E" w14:textId="77777777">
            <w:pPr>
              <w:spacing w:before="0" w:after="160"/>
              <w:jc w:val="left"/>
              <w:rPr>
                <w:rFonts w:ascii="Arial" w:hAnsi="Arial" w:cs="Arial"/>
                <w:sz w:val="22"/>
                <w:szCs w:val="20"/>
                <w:lang w:val="en-US"/>
              </w:rPr>
            </w:pPr>
            <w:r w:rsidRPr="00C47A6A">
              <w:rPr>
                <w:rFonts w:ascii="Arial" w:hAnsi="Arial" w:cs="Arial"/>
                <w:sz w:val="22"/>
                <w:szCs w:val="20"/>
                <w:lang w:val="en-US"/>
              </w:rPr>
              <w:t>Strong volumes, but relative share pressure and price cuts (</w:t>
            </w:r>
            <w:proofErr w:type="spellStart"/>
            <w:r w:rsidRPr="00C47A6A">
              <w:rPr>
                <w:rFonts w:ascii="Arial" w:hAnsi="Arial" w:cs="Arial"/>
                <w:sz w:val="22"/>
                <w:szCs w:val="20"/>
                <w:lang w:val="en-US"/>
              </w:rPr>
              <w:t>Daxue</w:t>
            </w:r>
            <w:proofErr w:type="spellEnd"/>
            <w:r w:rsidRPr="00C47A6A">
              <w:rPr>
                <w:rFonts w:ascii="Arial" w:hAnsi="Arial" w:cs="Arial"/>
                <w:sz w:val="22"/>
                <w:szCs w:val="20"/>
                <w:lang w:val="en-US"/>
              </w:rPr>
              <w:t xml:space="preserve"> Consulting, 2024; Henry, 2026)</w:t>
            </w:r>
          </w:p>
        </w:tc>
      </w:tr>
      <w:tr w:rsidRPr="00963BC4" w:rsidR="00C47A6A" w:rsidTr="00C47A6A" w14:paraId="66F945E2" w14:textId="77777777">
        <w:tc>
          <w:tcPr>
            <w:tcW w:w="1155" w:type="dxa"/>
            <w:hideMark/>
          </w:tcPr>
          <w:p w:rsidRPr="00C47A6A" w:rsidR="00C47A6A" w:rsidP="00C47A6A" w:rsidRDefault="00C47A6A" w14:paraId="10DB2E12" w14:textId="77777777">
            <w:pPr>
              <w:spacing w:before="0" w:after="160"/>
              <w:jc w:val="left"/>
              <w:rPr>
                <w:rFonts w:ascii="Arial" w:hAnsi="Arial" w:cs="Arial"/>
                <w:sz w:val="22"/>
                <w:szCs w:val="20"/>
                <w:lang w:val="en-US"/>
              </w:rPr>
            </w:pPr>
            <w:r w:rsidRPr="00C47A6A">
              <w:rPr>
                <w:rFonts w:ascii="Arial" w:hAnsi="Arial" w:cs="Arial"/>
                <w:sz w:val="22"/>
                <w:szCs w:val="20"/>
                <w:lang w:val="en-US"/>
              </w:rPr>
              <w:t>Volkswagen / BMW</w:t>
            </w:r>
          </w:p>
        </w:tc>
        <w:tc>
          <w:tcPr>
            <w:tcW w:w="1260" w:type="dxa"/>
            <w:hideMark/>
          </w:tcPr>
          <w:p w:rsidRPr="00C47A6A" w:rsidR="00C47A6A" w:rsidP="00C47A6A" w:rsidRDefault="00C47A6A" w14:paraId="438323E2" w14:textId="77777777">
            <w:pPr>
              <w:spacing w:before="0" w:after="160"/>
              <w:jc w:val="left"/>
              <w:rPr>
                <w:rFonts w:ascii="Arial" w:hAnsi="Arial" w:cs="Arial"/>
                <w:sz w:val="22"/>
                <w:szCs w:val="20"/>
                <w:lang w:val="en-US"/>
              </w:rPr>
            </w:pPr>
            <w:r w:rsidRPr="00C47A6A">
              <w:rPr>
                <w:rFonts w:ascii="Arial" w:hAnsi="Arial" w:cs="Arial"/>
                <w:sz w:val="22"/>
                <w:szCs w:val="20"/>
                <w:lang w:val="en-US"/>
              </w:rPr>
              <w:t>Broad portfolio, transitioning to EVs</w:t>
            </w:r>
          </w:p>
        </w:tc>
        <w:tc>
          <w:tcPr>
            <w:tcW w:w="1080" w:type="dxa"/>
            <w:hideMark/>
          </w:tcPr>
          <w:p w:rsidRPr="00C47A6A" w:rsidR="00C47A6A" w:rsidP="00C47A6A" w:rsidRDefault="00C47A6A" w14:paraId="1904698C" w14:textId="77777777">
            <w:pPr>
              <w:spacing w:before="0" w:after="160"/>
              <w:jc w:val="left"/>
              <w:rPr>
                <w:rFonts w:ascii="Arial" w:hAnsi="Arial" w:cs="Arial"/>
                <w:sz w:val="22"/>
                <w:szCs w:val="20"/>
                <w:lang w:val="en-US"/>
              </w:rPr>
            </w:pPr>
            <w:r w:rsidRPr="00C47A6A">
              <w:rPr>
                <w:rFonts w:ascii="Arial" w:hAnsi="Arial" w:cs="Arial"/>
                <w:sz w:val="22"/>
                <w:szCs w:val="20"/>
                <w:lang w:val="en-US"/>
              </w:rPr>
              <w:t>Mixed</w:t>
            </w:r>
          </w:p>
        </w:tc>
        <w:tc>
          <w:tcPr>
            <w:tcW w:w="1440" w:type="dxa"/>
            <w:hideMark/>
          </w:tcPr>
          <w:p w:rsidRPr="00C47A6A" w:rsidR="00C47A6A" w:rsidP="00C47A6A" w:rsidRDefault="00C47A6A" w14:paraId="5951EE88" w14:textId="77777777">
            <w:pPr>
              <w:spacing w:before="0" w:after="160"/>
              <w:jc w:val="left"/>
              <w:rPr>
                <w:rFonts w:ascii="Arial" w:hAnsi="Arial" w:cs="Arial"/>
                <w:sz w:val="22"/>
                <w:szCs w:val="20"/>
                <w:lang w:val="en-US"/>
              </w:rPr>
            </w:pPr>
            <w:r w:rsidRPr="00C47A6A">
              <w:rPr>
                <w:rFonts w:ascii="Arial" w:hAnsi="Arial" w:cs="Arial"/>
                <w:sz w:val="22"/>
                <w:szCs w:val="20"/>
                <w:lang w:val="en-US"/>
              </w:rPr>
              <w:t>Lower in EV-specific integration</w:t>
            </w:r>
          </w:p>
        </w:tc>
        <w:tc>
          <w:tcPr>
            <w:tcW w:w="1530" w:type="dxa"/>
            <w:hideMark/>
          </w:tcPr>
          <w:p w:rsidRPr="00C47A6A" w:rsidR="00C47A6A" w:rsidP="00C47A6A" w:rsidRDefault="00C47A6A" w14:paraId="3738CCF8" w14:textId="77777777">
            <w:pPr>
              <w:spacing w:before="0" w:after="160"/>
              <w:jc w:val="left"/>
              <w:rPr>
                <w:rFonts w:ascii="Arial" w:hAnsi="Arial" w:cs="Arial"/>
                <w:sz w:val="22"/>
                <w:szCs w:val="20"/>
                <w:lang w:val="en-US"/>
              </w:rPr>
            </w:pPr>
            <w:r w:rsidRPr="00C47A6A">
              <w:rPr>
                <w:rFonts w:ascii="Arial" w:hAnsi="Arial" w:cs="Arial"/>
                <w:sz w:val="22"/>
                <w:szCs w:val="20"/>
                <w:lang w:val="en-US"/>
              </w:rPr>
              <w:t>Mixed</w:t>
            </w:r>
          </w:p>
        </w:tc>
        <w:tc>
          <w:tcPr>
            <w:tcW w:w="2531" w:type="dxa"/>
            <w:hideMark/>
          </w:tcPr>
          <w:p w:rsidRPr="00C47A6A" w:rsidR="00C47A6A" w:rsidP="00C47A6A" w:rsidRDefault="00C47A6A" w14:paraId="191C1FB6" w14:textId="77777777">
            <w:pPr>
              <w:spacing w:before="0" w:after="160"/>
              <w:jc w:val="left"/>
              <w:rPr>
                <w:rFonts w:ascii="Arial" w:hAnsi="Arial" w:cs="Arial"/>
                <w:sz w:val="22"/>
                <w:szCs w:val="20"/>
                <w:lang w:val="en-US"/>
              </w:rPr>
            </w:pPr>
            <w:r w:rsidRPr="00C47A6A">
              <w:rPr>
                <w:rFonts w:ascii="Arial" w:hAnsi="Arial" w:cs="Arial"/>
                <w:sz w:val="22"/>
                <w:szCs w:val="20"/>
                <w:lang w:val="en-US"/>
              </w:rPr>
              <w:t>Strong legacy brands, but slower EV repositioning (Henry, 2026)</w:t>
            </w:r>
          </w:p>
        </w:tc>
      </w:tr>
    </w:tbl>
    <w:p w:rsidRPr="00963BC4" w:rsidR="00C47A6A" w:rsidP="009F40AA" w:rsidRDefault="00C47A6A" w14:paraId="0A93E573" w14:textId="77777777">
      <w:pPr>
        <w:spacing w:before="0" w:after="160"/>
        <w:jc w:val="left"/>
        <w:rPr>
          <w:rFonts w:ascii="Arial" w:hAnsi="Arial" w:cs="Arial"/>
          <w:lang w:val="en-US"/>
        </w:rPr>
      </w:pPr>
    </w:p>
    <w:p w:rsidRPr="00963BC4" w:rsidR="004F5B4B" w:rsidP="5CA6A91A" w:rsidRDefault="00C47A6A" w14:paraId="742797C5" w14:textId="3D83C799">
      <w:pPr>
        <w:rPr>
          <w:rFonts w:ascii="Arial" w:hAnsi="Arial" w:cs="Arial"/>
          <w:color w:val="000000" w:themeColor="text1" w:themeTint="FF" w:themeShade="FF"/>
          <w:lang w:val="en-US"/>
        </w:rPr>
      </w:pPr>
      <w:r w:rsidRPr="5CA6A91A" w:rsidR="00C47A6A">
        <w:rPr>
          <w:rFonts w:ascii="Arial" w:hAnsi="Arial" w:cs="Arial"/>
          <w:color w:val="000000" w:themeColor="text1" w:themeTint="FF" w:themeShade="FF"/>
          <w:lang w:val="en-US"/>
        </w:rPr>
        <w:t>Tesla is one of the best-positioned MNCs among the foreign firms due to its Shanghai Gigafactory, which provides it with the scale that enables production efficiency and the exportation of the product, but its comparative market position has been strained as its regional rivals have enhanced the quality of their features and increased their price competition (</w:t>
      </w:r>
      <w:r w:rsidRPr="5CA6A91A" w:rsidR="00C47A6A">
        <w:rPr>
          <w:rFonts w:ascii="Arial" w:hAnsi="Arial" w:cs="Arial"/>
          <w:color w:val="000000" w:themeColor="text1" w:themeTint="FF" w:themeShade="FF"/>
          <w:lang w:val="en-US"/>
        </w:rPr>
        <w:t>Daxue</w:t>
      </w:r>
      <w:r w:rsidRPr="5CA6A91A" w:rsidR="00C47A6A">
        <w:rPr>
          <w:rFonts w:ascii="Arial" w:hAnsi="Arial" w:cs="Arial"/>
          <w:color w:val="000000" w:themeColor="text1" w:themeTint="FF" w:themeShade="FF"/>
          <w:lang w:val="en-US"/>
        </w:rPr>
        <w:t xml:space="preserve"> Consulting, 2024; Henry, 2026). Established foreign car makers like Volkswagen and BMW still have brand equity, but most have been </w:t>
      </w:r>
      <w:r w:rsidRPr="5CA6A91A" w:rsidR="00C47A6A">
        <w:rPr>
          <w:rFonts w:ascii="Arial" w:hAnsi="Arial" w:cs="Arial"/>
          <w:color w:val="000000" w:themeColor="text1" w:themeTint="FF" w:themeShade="FF"/>
          <w:lang w:val="en-US"/>
        </w:rPr>
        <w:t>lagging behind</w:t>
      </w:r>
      <w:r w:rsidRPr="5CA6A91A" w:rsidR="00C47A6A">
        <w:rPr>
          <w:rFonts w:ascii="Arial" w:hAnsi="Arial" w:cs="Arial"/>
          <w:color w:val="000000" w:themeColor="text1" w:themeTint="FF" w:themeShade="FF"/>
          <w:lang w:val="en-US"/>
        </w:rPr>
        <w:t xml:space="preserve"> in gaining the same agility EV-specific agility of committed Chinese competitors (Henry, 2026). Local procurement support, infrastructure coordination, production incentives and faster scaling via built-in supplier networks (that can somehow be converted into sharper pricing, faster model rollout and better local market access) are also policy instruments that domestic companies tend to benefit more sharply in terms of competitive results (Chen et al., 2024; Hu et al., 2022).</w:t>
      </w:r>
      <w:r w:rsidRPr="5CA6A91A">
        <w:rPr>
          <w:rFonts w:ascii="Arial" w:hAnsi="Arial" w:cs="Arial"/>
          <w:color w:val="000000" w:themeColor="text1" w:themeTint="FF" w:themeShade="FF"/>
          <w:lang w:val="en-US"/>
        </w:rPr>
        <w:br w:type="page"/>
      </w:r>
    </w:p>
    <w:p w:rsidRPr="00963BC4" w:rsidR="00D43875" w:rsidP="5CA6A91A" w:rsidRDefault="00D43875" w14:paraId="5B950A3D" w14:textId="4B3CBCE6">
      <w:pPr>
        <w:pStyle w:val="Heading1"/>
        <w:rPr>
          <w:rFonts w:ascii="Arial" w:hAnsi="Arial" w:cs="Arial"/>
          <w:color w:val="000000" w:themeColor="text1" w:themeTint="FF" w:themeShade="FF"/>
        </w:rPr>
      </w:pPr>
      <w:bookmarkStart w:name="_Toc224702558" w:id="8"/>
      <w:r w:rsidRPr="5CA6A91A" w:rsidR="00D43875">
        <w:rPr>
          <w:rFonts w:ascii="Arial" w:hAnsi="Arial" w:cs="Arial"/>
          <w:color w:val="000000" w:themeColor="text1" w:themeTint="FF" w:themeShade="FF"/>
        </w:rPr>
        <w:t>3.0 Porter’s Diamond Analysis of the Competitiveness of China’s EV Segment</w:t>
      </w:r>
      <w:bookmarkEnd w:id="8"/>
    </w:p>
    <w:p w:rsidRPr="00963BC4" w:rsidR="00D43875" w:rsidP="5CA6A91A" w:rsidRDefault="00C47A6A" w14:paraId="7FB6A53E" w14:textId="626E9CBD">
      <w:pPr>
        <w:rPr>
          <w:rFonts w:ascii="Arial" w:hAnsi="Arial" w:cs="Arial"/>
          <w:color w:val="000000" w:themeColor="text1" w:themeTint="FF" w:themeShade="FF"/>
          <w:lang w:val="en-US"/>
        </w:rPr>
      </w:pPr>
      <w:r w:rsidRPr="5CA6A91A" w:rsidR="00C47A6A">
        <w:rPr>
          <w:rFonts w:ascii="Arial" w:hAnsi="Arial" w:cs="Arial"/>
          <w:color w:val="000000" w:themeColor="text1" w:themeTint="FF" w:themeShade="FF"/>
          <w:lang w:val="en-US"/>
        </w:rPr>
        <w:t xml:space="preserve">Porter’s Diamond serves as an effective model not only to </w:t>
      </w:r>
      <w:r w:rsidRPr="5CA6A91A" w:rsidR="00C47A6A">
        <w:rPr>
          <w:rFonts w:ascii="Arial" w:hAnsi="Arial" w:cs="Arial"/>
          <w:color w:val="000000" w:themeColor="text1" w:themeTint="FF" w:themeShade="FF"/>
          <w:lang w:val="en-US"/>
        </w:rPr>
        <w:t>determine</w:t>
      </w:r>
      <w:r w:rsidRPr="5CA6A91A" w:rsidR="00C47A6A">
        <w:rPr>
          <w:rFonts w:ascii="Arial" w:hAnsi="Arial" w:cs="Arial"/>
          <w:color w:val="000000" w:themeColor="text1" w:themeTint="FF" w:themeShade="FF"/>
          <w:lang w:val="en-US"/>
        </w:rPr>
        <w:t xml:space="preserve"> the origin of national competitive advantage but also to </w:t>
      </w:r>
      <w:r w:rsidRPr="5CA6A91A" w:rsidR="00C47A6A">
        <w:rPr>
          <w:rFonts w:ascii="Arial" w:hAnsi="Arial" w:cs="Arial"/>
          <w:color w:val="000000" w:themeColor="text1" w:themeTint="FF" w:themeShade="FF"/>
          <w:lang w:val="en-US"/>
        </w:rPr>
        <w:t>determine</w:t>
      </w:r>
      <w:r w:rsidRPr="5CA6A91A" w:rsidR="00C47A6A">
        <w:rPr>
          <w:rFonts w:ascii="Arial" w:hAnsi="Arial" w:cs="Arial"/>
          <w:color w:val="000000" w:themeColor="text1" w:themeTint="FF" w:themeShade="FF"/>
          <w:lang w:val="en-US"/>
        </w:rPr>
        <w:t xml:space="preserve"> whether this advantage is structurally embedded or still dependent on the support of the policy and the fleeting nature of the market circumstances (Vlados, 2019). The model when applied to the EV segment of China proposes that the intensity of rivalry, combined with strong production capacity, high and sophisticated demand at home, expansive and well-developed supporting industries, and high intensity of rivalry, are the sources of competitiveness.</w:t>
      </w:r>
    </w:p>
    <w:p w:rsidRPr="00963BC4" w:rsidR="00D43875" w:rsidP="5CA6A91A" w:rsidRDefault="00D43875" w14:paraId="1CEE289F" w14:textId="4CABAAE9">
      <w:pPr>
        <w:pStyle w:val="Heading2"/>
        <w:rPr>
          <w:rFonts w:ascii="Arial" w:hAnsi="Arial" w:cs="Arial"/>
          <w:color w:val="000000" w:themeColor="text1" w:themeTint="FF" w:themeShade="FF"/>
        </w:rPr>
      </w:pPr>
      <w:bookmarkStart w:name="_Toc224702559" w:id="9"/>
      <w:r w:rsidRPr="5CA6A91A" w:rsidR="00D43875">
        <w:rPr>
          <w:rFonts w:ascii="Arial" w:hAnsi="Arial" w:cs="Arial"/>
          <w:color w:val="000000" w:themeColor="text1" w:themeTint="FF" w:themeShade="FF"/>
        </w:rPr>
        <w:t xml:space="preserve">3.1 Factor </w:t>
      </w:r>
      <w:r w:rsidRPr="5CA6A91A" w:rsidR="004F5B4B">
        <w:rPr>
          <w:rFonts w:ascii="Arial" w:hAnsi="Arial" w:cs="Arial"/>
          <w:color w:val="000000" w:themeColor="text1" w:themeTint="FF" w:themeShade="FF"/>
        </w:rPr>
        <w:t>C</w:t>
      </w:r>
      <w:r w:rsidRPr="5CA6A91A" w:rsidR="00D43875">
        <w:rPr>
          <w:rFonts w:ascii="Arial" w:hAnsi="Arial" w:cs="Arial"/>
          <w:color w:val="000000" w:themeColor="text1" w:themeTint="FF" w:themeShade="FF"/>
        </w:rPr>
        <w:t>onditions</w:t>
      </w:r>
      <w:bookmarkEnd w:id="9"/>
    </w:p>
    <w:p w:rsidRPr="00963BC4" w:rsidR="00C47A6A" w:rsidP="5CA6A91A" w:rsidRDefault="00C47A6A" w14:paraId="4F9A6124" w14:textId="77777777">
      <w:pPr>
        <w:rPr>
          <w:rFonts w:ascii="Arial" w:hAnsi="Arial" w:cs="Arial"/>
          <w:color w:val="000000" w:themeColor="text1" w:themeTint="FF" w:themeShade="FF"/>
        </w:rPr>
      </w:pPr>
      <w:r w:rsidRPr="5CA6A91A" w:rsidR="00C47A6A">
        <w:rPr>
          <w:rFonts w:ascii="Arial" w:hAnsi="Arial" w:cs="Arial"/>
          <w:color w:val="000000" w:themeColor="text1" w:themeTint="FF" w:themeShade="FF"/>
        </w:rPr>
        <w:t xml:space="preserve">Factor conditions in the EV industry of China are </w:t>
      </w:r>
      <w:r w:rsidRPr="5CA6A91A" w:rsidR="00C47A6A">
        <w:rPr>
          <w:rFonts w:ascii="Arial" w:hAnsi="Arial" w:cs="Arial"/>
          <w:color w:val="000000" w:themeColor="text1" w:themeTint="FF" w:themeShade="FF"/>
        </w:rPr>
        <w:t>not only becoming</w:t>
      </w:r>
      <w:r w:rsidRPr="5CA6A91A" w:rsidR="00C47A6A">
        <w:rPr>
          <w:rFonts w:ascii="Arial" w:hAnsi="Arial" w:cs="Arial"/>
          <w:color w:val="000000" w:themeColor="text1" w:themeTint="FF" w:themeShade="FF"/>
        </w:rPr>
        <w:t xml:space="preserve"> more sophisticated, as opposed to being primitive. These comprise the presence of a high number of engineers and technicians attached to producing automotive, batteries, electronics, and software, and manufacturing clusters in the provinces including Shanghai and Guangdong that drop the coordination expenses and enhance speed to scale (Chen et al., 2024; Oxford Institute for Energy Studies, 2024). The strength of China in the lithium-ion battery production is particularly critical since batteries are the most strategically </w:t>
      </w:r>
      <w:r w:rsidRPr="5CA6A91A" w:rsidR="00C47A6A">
        <w:rPr>
          <w:rFonts w:ascii="Arial" w:hAnsi="Arial" w:cs="Arial"/>
          <w:color w:val="000000" w:themeColor="text1" w:themeTint="FF" w:themeShade="FF"/>
        </w:rPr>
        <w:t>important element</w:t>
      </w:r>
      <w:r w:rsidRPr="5CA6A91A" w:rsidR="00C47A6A">
        <w:rPr>
          <w:rFonts w:ascii="Arial" w:hAnsi="Arial" w:cs="Arial"/>
          <w:color w:val="000000" w:themeColor="text1" w:themeTint="FF" w:themeShade="FF"/>
        </w:rPr>
        <w:t xml:space="preserve"> in EV cost and performance. Battery manufacturing and processing of essential materials have been led at the domestic level, which has helped to reduce costs, ensure supply security, and achieve learning effects throughout the industry (Hu et al., 2022).</w:t>
      </w:r>
    </w:p>
    <w:p w:rsidRPr="00963BC4" w:rsidR="002A30AA" w:rsidP="009F40AA" w:rsidRDefault="00C47A6A" w14:paraId="7E518296" w14:textId="7FCEECEB">
      <w:pPr>
        <w:rPr>
          <w:rFonts w:ascii="Arial" w:hAnsi="Arial" w:cs="Arial"/>
          <w:color w:val="EE0000"/>
        </w:rPr>
      </w:pPr>
      <w:r w:rsidRPr="5CA6A91A" w:rsidR="00C47A6A">
        <w:rPr>
          <w:rFonts w:ascii="Arial" w:hAnsi="Arial" w:cs="Arial"/>
          <w:color w:val="000000" w:themeColor="text1" w:themeTint="FF" w:themeShade="FF"/>
        </w:rPr>
        <w:t xml:space="preserve">These factor conditions are strategically important because they make the EV advantage of China more difficult to replicate compared to a low cost of labour advantage (Electricity Lawyer, 2025). Cumulative benefit can be generated by battery capacity, supplier concentration and </w:t>
      </w:r>
      <w:r w:rsidRPr="5CA6A91A" w:rsidR="00C47A6A">
        <w:rPr>
          <w:rFonts w:ascii="Arial" w:hAnsi="Arial" w:cs="Arial"/>
          <w:color w:val="000000" w:themeColor="text1" w:themeTint="FF" w:themeShade="FF"/>
        </w:rPr>
        <w:t>accrued</w:t>
      </w:r>
      <w:r w:rsidRPr="5CA6A91A" w:rsidR="00C47A6A">
        <w:rPr>
          <w:rFonts w:ascii="Arial" w:hAnsi="Arial" w:cs="Arial"/>
          <w:color w:val="000000" w:themeColor="text1" w:themeTint="FF" w:themeShade="FF"/>
        </w:rPr>
        <w:t xml:space="preserve"> manufacturing experience which favours life cycle (Chen et al., 2024). Meanwhile, there are still certain weaknesses especially when the supply chains of raw materials are open to geopolitical stress or worldwide pricing fluctuations. Still, the factor conditions in China can be regarded as one of the most persistent factors in EV competitiveness since it involves the ability to form capabilities over time as opposed to cost arbitrage</w:t>
      </w:r>
      <w:r w:rsidRPr="5CA6A91A" w:rsidR="00C47A6A">
        <w:rPr>
          <w:rFonts w:ascii="Arial" w:hAnsi="Arial" w:cs="Arial"/>
          <w:color w:val="EE0000"/>
        </w:rPr>
        <w:t xml:space="preserve"> </w:t>
      </w:r>
      <w:r w:rsidRPr="5CA6A91A" w:rsidR="00C47A6A">
        <w:rPr>
          <w:rFonts w:ascii="Arial" w:hAnsi="Arial" w:cs="Arial"/>
          <w:color w:val="000000" w:themeColor="text1" w:themeTint="FF" w:themeShade="FF"/>
        </w:rPr>
        <w:t>(Hu et al., 2022).</w:t>
      </w:r>
      <w:r w:rsidRPr="5CA6A91A" w:rsidR="00962E54">
        <w:rPr>
          <w:rFonts w:ascii="Arial" w:hAnsi="Arial" w:cs="Arial"/>
          <w:color w:val="000000" w:themeColor="text1" w:themeTint="FF" w:themeShade="FF"/>
        </w:rPr>
        <w:t xml:space="preserve"> </w:t>
      </w:r>
    </w:p>
    <w:p w:rsidRPr="00963BC4" w:rsidR="00D43875" w:rsidP="009F40AA" w:rsidRDefault="00D43875" w14:paraId="4C200E81" w14:textId="66E43B4C">
      <w:pPr>
        <w:pStyle w:val="Heading2"/>
        <w:rPr>
          <w:rFonts w:ascii="Arial" w:hAnsi="Arial" w:cs="Arial"/>
          <w:color w:val="auto"/>
        </w:rPr>
      </w:pPr>
      <w:bookmarkStart w:name="_Toc224702560" w:id="10"/>
      <w:r w:rsidRPr="00963BC4">
        <w:rPr>
          <w:rFonts w:ascii="Arial" w:hAnsi="Arial" w:cs="Arial"/>
          <w:color w:val="auto"/>
        </w:rPr>
        <w:t xml:space="preserve">3.2 Demand </w:t>
      </w:r>
      <w:r w:rsidRPr="00963BC4" w:rsidR="002A30AA">
        <w:rPr>
          <w:rFonts w:ascii="Arial" w:hAnsi="Arial" w:cs="Arial"/>
          <w:color w:val="auto"/>
        </w:rPr>
        <w:t>C</w:t>
      </w:r>
      <w:r w:rsidRPr="00963BC4">
        <w:rPr>
          <w:rFonts w:ascii="Arial" w:hAnsi="Arial" w:cs="Arial"/>
          <w:color w:val="auto"/>
        </w:rPr>
        <w:t>onditions</w:t>
      </w:r>
      <w:bookmarkEnd w:id="10"/>
    </w:p>
    <w:p w:rsidRPr="00963BC4" w:rsidR="00C47A6A" w:rsidP="5CA6A91A" w:rsidRDefault="00C47A6A" w14:paraId="6E67B13E" w14:textId="77777777">
      <w:pPr>
        <w:rPr>
          <w:rFonts w:ascii="Arial" w:hAnsi="Arial" w:cs="Arial"/>
          <w:color w:val="000000" w:themeColor="text1" w:themeTint="FF" w:themeShade="FF"/>
        </w:rPr>
      </w:pPr>
      <w:r w:rsidRPr="5CA6A91A" w:rsidR="00C47A6A">
        <w:rPr>
          <w:rFonts w:ascii="Arial" w:hAnsi="Arial" w:cs="Arial"/>
          <w:color w:val="000000" w:themeColor="text1" w:themeTint="FF" w:themeShade="FF"/>
        </w:rPr>
        <w:t>The Chinese market has an abnormally strong demand conditions as the local market is massive in size and quality intensive. The largest electric-car market in the world is China, and the policy, including purchase subsidies, licence-plate quotas of internal combustion vehicles in large cities, and sponsorship of charging infrastructure stimulated the car adoption pace (ICCT, 2020; IEA, 2025). Nevertheless, the nature of demand is equal to its quantity. The Chinese are becoming more demanding in their requirements in terms of the advanced state of infotainment, over-the-air updates, integration of apps, and digitally connected mobility experiences, compelling companies to compete on the functionality of software and ecosystems, not just on price and range (Arthur D. Little, 2024).</w:t>
      </w:r>
    </w:p>
    <w:p w:rsidRPr="00963BC4" w:rsidR="00D0308D" w:rsidP="5CA6A91A" w:rsidRDefault="00C47A6A" w14:paraId="487D2E90" w14:textId="0D406D27">
      <w:pPr>
        <w:rPr>
          <w:rFonts w:ascii="Arial" w:hAnsi="Arial" w:cs="Arial"/>
          <w:color w:val="000000" w:themeColor="text1" w:themeTint="FF" w:themeShade="FF"/>
        </w:rPr>
      </w:pPr>
      <w:r w:rsidRPr="5CA6A91A" w:rsidR="00C47A6A">
        <w:rPr>
          <w:rFonts w:ascii="Arial" w:hAnsi="Arial" w:cs="Arial"/>
          <w:color w:val="000000" w:themeColor="text1" w:themeTint="FF" w:themeShade="FF"/>
        </w:rPr>
        <w:t xml:space="preserve">Such conditions of demand have served to make the Chinese market a test market in terms of products rapid iteration and feature competition (Henry, 2026). This </w:t>
      </w:r>
      <w:r w:rsidRPr="5CA6A91A" w:rsidR="00C47A6A">
        <w:rPr>
          <w:rFonts w:ascii="Arial" w:hAnsi="Arial" w:cs="Arial"/>
          <w:color w:val="000000" w:themeColor="text1" w:themeTint="FF" w:themeShade="FF"/>
        </w:rPr>
        <w:t>facilitates</w:t>
      </w:r>
      <w:r w:rsidRPr="5CA6A91A" w:rsidR="00C47A6A">
        <w:rPr>
          <w:rFonts w:ascii="Arial" w:hAnsi="Arial" w:cs="Arial"/>
          <w:color w:val="000000" w:themeColor="text1" w:themeTint="FF" w:themeShade="FF"/>
        </w:rPr>
        <w:t xml:space="preserve"> innovativeness and enhances global competitiveness. However, the state does not have a complete autonomy over the demand conditions. Policy support helped shape the domestic market, and the gradual disappearance of direct subsidies provokes the question of whether the EV demand will be equally high without the support of the administration and local policy benefits (Chen et al., 2024). </w:t>
      </w:r>
    </w:p>
    <w:p w:rsidRPr="00963BC4" w:rsidR="00D43875" w:rsidP="5CA6A91A" w:rsidRDefault="00D43875" w14:paraId="7DBD58E3" w14:textId="037E28F7">
      <w:pPr>
        <w:pStyle w:val="Heading2"/>
        <w:rPr>
          <w:rFonts w:ascii="Arial" w:hAnsi="Arial" w:cs="Arial"/>
          <w:color w:val="000000" w:themeColor="text1" w:themeTint="FF" w:themeShade="FF"/>
        </w:rPr>
      </w:pPr>
      <w:bookmarkStart w:name="_Toc224702561" w:id="11"/>
      <w:r w:rsidRPr="5CA6A91A" w:rsidR="00D43875">
        <w:rPr>
          <w:rFonts w:ascii="Arial" w:hAnsi="Arial" w:cs="Arial"/>
          <w:color w:val="000000" w:themeColor="text1" w:themeTint="FF" w:themeShade="FF"/>
        </w:rPr>
        <w:t xml:space="preserve">3.3 Related and </w:t>
      </w:r>
      <w:r w:rsidRPr="5CA6A91A" w:rsidR="002A30AA">
        <w:rPr>
          <w:rFonts w:ascii="Arial" w:hAnsi="Arial" w:cs="Arial"/>
          <w:color w:val="000000" w:themeColor="text1" w:themeTint="FF" w:themeShade="FF"/>
        </w:rPr>
        <w:t>S</w:t>
      </w:r>
      <w:r w:rsidRPr="5CA6A91A" w:rsidR="00D43875">
        <w:rPr>
          <w:rFonts w:ascii="Arial" w:hAnsi="Arial" w:cs="Arial"/>
          <w:color w:val="000000" w:themeColor="text1" w:themeTint="FF" w:themeShade="FF"/>
        </w:rPr>
        <w:t xml:space="preserve">upporting </w:t>
      </w:r>
      <w:r w:rsidRPr="5CA6A91A" w:rsidR="002A30AA">
        <w:rPr>
          <w:rFonts w:ascii="Arial" w:hAnsi="Arial" w:cs="Arial"/>
          <w:color w:val="000000" w:themeColor="text1" w:themeTint="FF" w:themeShade="FF"/>
        </w:rPr>
        <w:t>I</w:t>
      </w:r>
      <w:r w:rsidRPr="5CA6A91A" w:rsidR="00D43875">
        <w:rPr>
          <w:rFonts w:ascii="Arial" w:hAnsi="Arial" w:cs="Arial"/>
          <w:color w:val="000000" w:themeColor="text1" w:themeTint="FF" w:themeShade="FF"/>
        </w:rPr>
        <w:t>ndustries</w:t>
      </w:r>
      <w:bookmarkEnd w:id="11"/>
    </w:p>
    <w:p w:rsidRPr="00963BC4" w:rsidR="00C47A6A" w:rsidP="5CA6A91A" w:rsidRDefault="00C47A6A" w14:paraId="23524F0B" w14:textId="77777777">
      <w:pPr>
        <w:rPr>
          <w:rFonts w:ascii="Arial" w:hAnsi="Arial" w:cs="Arial"/>
          <w:color w:val="000000" w:themeColor="text1" w:themeTint="FF" w:themeShade="FF"/>
        </w:rPr>
      </w:pPr>
      <w:r w:rsidRPr="5CA6A91A" w:rsidR="00C47A6A">
        <w:rPr>
          <w:rFonts w:ascii="Arial" w:hAnsi="Arial" w:cs="Arial"/>
          <w:color w:val="000000" w:themeColor="text1" w:themeTint="FF" w:themeShade="FF"/>
        </w:rPr>
        <w:t xml:space="preserve">The related and supporting industries in China are exceptionally strong to strengthen the strength of the EV. China is home to global battery giants, including CATL and BYD, but also important suppliers of electric motors, inverters, semiconductors, power </w:t>
      </w:r>
      <w:r w:rsidRPr="5CA6A91A" w:rsidR="00C47A6A">
        <w:rPr>
          <w:rFonts w:ascii="Arial" w:hAnsi="Arial" w:cs="Arial"/>
          <w:color w:val="000000" w:themeColor="text1" w:themeTint="FF" w:themeShade="FF"/>
        </w:rPr>
        <w:t>electronics</w:t>
      </w:r>
      <w:r w:rsidRPr="5CA6A91A" w:rsidR="00C47A6A">
        <w:rPr>
          <w:rFonts w:ascii="Arial" w:hAnsi="Arial" w:cs="Arial"/>
          <w:color w:val="000000" w:themeColor="text1" w:themeTint="FF" w:themeShade="FF"/>
        </w:rPr>
        <w:t xml:space="preserve"> and other fundamental electric vehicle parts (Hu et al., 2022). Moreover, the telecommunications and digital services sector promote connected-vehicle systems and the vast ports and </w:t>
      </w:r>
      <w:r w:rsidRPr="5CA6A91A" w:rsidR="00C47A6A">
        <w:rPr>
          <w:rFonts w:ascii="Arial" w:hAnsi="Arial" w:cs="Arial"/>
          <w:color w:val="000000" w:themeColor="text1" w:themeTint="FF" w:themeShade="FF"/>
        </w:rPr>
        <w:t>logistics</w:t>
      </w:r>
      <w:r w:rsidRPr="5CA6A91A" w:rsidR="00C47A6A">
        <w:rPr>
          <w:rFonts w:ascii="Arial" w:hAnsi="Arial" w:cs="Arial"/>
          <w:color w:val="000000" w:themeColor="text1" w:themeTint="FF" w:themeShade="FF"/>
        </w:rPr>
        <w:t xml:space="preserve"> network in China makes it easy to export in large volumes to other markets worldwide (Oxford Institute for Energy Studies, 2024).</w:t>
      </w:r>
    </w:p>
    <w:p w:rsidRPr="00963BC4" w:rsidR="006328BD" w:rsidP="5CA6A91A" w:rsidRDefault="00C47A6A" w14:paraId="38539974" w14:textId="27AF29EC">
      <w:pPr>
        <w:rPr>
          <w:rFonts w:ascii="Arial" w:hAnsi="Arial" w:cs="Arial"/>
          <w:color w:val="000000" w:themeColor="text1" w:themeTint="FF" w:themeShade="FF"/>
        </w:rPr>
      </w:pPr>
      <w:r w:rsidRPr="5CA6A91A" w:rsidR="00C47A6A">
        <w:rPr>
          <w:rFonts w:ascii="Arial" w:hAnsi="Arial" w:cs="Arial"/>
          <w:color w:val="000000" w:themeColor="text1" w:themeTint="FF" w:themeShade="FF"/>
        </w:rPr>
        <w:t xml:space="preserve">Much more than that supporting industries do exist is that they are in such a state of being that they are tightly coupled with vehicle manufacturers in an industrial ecology (Electricity Lawyer, 2025). This lowers transaction costs, decreases the time taken in innovation, </w:t>
      </w:r>
      <w:r w:rsidRPr="5CA6A91A" w:rsidR="00C47A6A">
        <w:rPr>
          <w:rFonts w:ascii="Arial" w:hAnsi="Arial" w:cs="Arial"/>
          <w:color w:val="000000" w:themeColor="text1" w:themeTint="FF" w:themeShade="FF"/>
        </w:rPr>
        <w:t>and also</w:t>
      </w:r>
      <w:r w:rsidRPr="5CA6A91A" w:rsidR="00C47A6A">
        <w:rPr>
          <w:rFonts w:ascii="Arial" w:hAnsi="Arial" w:cs="Arial"/>
          <w:color w:val="000000" w:themeColor="text1" w:themeTint="FF" w:themeShade="FF"/>
        </w:rPr>
        <w:t xml:space="preserve"> </w:t>
      </w:r>
      <w:r w:rsidRPr="5CA6A91A" w:rsidR="00C47A6A">
        <w:rPr>
          <w:rFonts w:ascii="Arial" w:hAnsi="Arial" w:cs="Arial"/>
          <w:color w:val="000000" w:themeColor="text1" w:themeTint="FF" w:themeShade="FF"/>
        </w:rPr>
        <w:t>facilitates</w:t>
      </w:r>
      <w:r w:rsidRPr="5CA6A91A" w:rsidR="00C47A6A">
        <w:rPr>
          <w:rFonts w:ascii="Arial" w:hAnsi="Arial" w:cs="Arial"/>
          <w:color w:val="000000" w:themeColor="text1" w:themeTint="FF" w:themeShade="FF"/>
        </w:rPr>
        <w:t xml:space="preserve"> a quicker dissemination of </w:t>
      </w:r>
      <w:r w:rsidRPr="5CA6A91A" w:rsidR="00C47A6A">
        <w:rPr>
          <w:rFonts w:ascii="Arial" w:hAnsi="Arial" w:cs="Arial"/>
          <w:color w:val="000000" w:themeColor="text1" w:themeTint="FF" w:themeShade="FF"/>
        </w:rPr>
        <w:t>new designs</w:t>
      </w:r>
      <w:r w:rsidRPr="5CA6A91A" w:rsidR="00C47A6A">
        <w:rPr>
          <w:rFonts w:ascii="Arial" w:hAnsi="Arial" w:cs="Arial"/>
          <w:color w:val="000000" w:themeColor="text1" w:themeTint="FF" w:themeShade="FF"/>
        </w:rPr>
        <w:t xml:space="preserve"> and production practises among the firms. According to Porter, this is among the most obvious sources of long-term national benefit since competitiveness is not sustained by individual firms, but through networks and clusters of firms (Vlados, 2019).</w:t>
      </w:r>
    </w:p>
    <w:p w:rsidRPr="00963BC4" w:rsidR="00036F72" w:rsidP="009F40AA" w:rsidRDefault="00036F72" w14:paraId="3914A191" w14:textId="2C36582A">
      <w:pPr>
        <w:jc w:val="center"/>
        <w:rPr>
          <w:rFonts w:ascii="Arial" w:hAnsi="Arial" w:cs="Arial"/>
          <w:lang w:val="en-US"/>
        </w:rPr>
      </w:pPr>
      <w:r w:rsidRPr="00963BC4">
        <w:rPr>
          <w:rFonts w:ascii="Arial" w:hAnsi="Arial" w:cs="Arial"/>
          <w:noProof/>
          <w:lang w:val="en-US" w:eastAsia="en-US"/>
        </w:rPr>
        <w:drawing>
          <wp:inline distT="0" distB="0" distL="0" distR="0" wp14:anchorId="40A709EE" wp14:editId="76CDCEEE">
            <wp:extent cx="5531146" cy="5502939"/>
            <wp:effectExtent l="19050" t="19050" r="12700" b="21590"/>
            <wp:docPr id="13994873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46791" cy="5518504"/>
                    </a:xfrm>
                    <a:prstGeom prst="rect">
                      <a:avLst/>
                    </a:prstGeom>
                    <a:noFill/>
                    <a:ln>
                      <a:solidFill>
                        <a:schemeClr val="accent1"/>
                      </a:solidFill>
                    </a:ln>
                  </pic:spPr>
                </pic:pic>
              </a:graphicData>
            </a:graphic>
          </wp:inline>
        </w:drawing>
      </w:r>
    </w:p>
    <w:p w:rsidRPr="00963BC4" w:rsidR="00D43875" w:rsidP="009F40AA" w:rsidRDefault="00FC62FD" w14:paraId="3417E286" w14:textId="2B849228">
      <w:pPr>
        <w:pStyle w:val="Caption"/>
        <w:rPr>
          <w:rFonts w:ascii="Arial" w:hAnsi="Arial" w:cs="Arial"/>
          <w:lang w:val="en-US"/>
        </w:rPr>
      </w:pPr>
      <w:r w:rsidRPr="00963BC4">
        <w:rPr>
          <w:rFonts w:ascii="Arial" w:hAnsi="Arial" w:cs="Arial"/>
          <w:lang w:val="en-US"/>
        </w:rPr>
        <w:t xml:space="preserve"> </w:t>
      </w:r>
      <w:bookmarkStart w:name="_Toc223184437" w:id="12"/>
      <w:r w:rsidRPr="00963BC4">
        <w:rPr>
          <w:rFonts w:ascii="Arial" w:hAnsi="Arial" w:cs="Arial"/>
        </w:rPr>
        <w:t xml:space="preserve">Figure </w:t>
      </w:r>
      <w:r w:rsidRPr="00963BC4">
        <w:rPr>
          <w:rFonts w:ascii="Arial" w:hAnsi="Arial" w:cs="Arial"/>
        </w:rPr>
        <w:fldChar w:fldCharType="begin"/>
      </w:r>
      <w:r w:rsidRPr="00963BC4">
        <w:rPr>
          <w:rFonts w:ascii="Arial" w:hAnsi="Arial" w:cs="Arial"/>
        </w:rPr>
        <w:instrText xml:space="preserve"> SEQ Figure \* ARABIC </w:instrText>
      </w:r>
      <w:r w:rsidRPr="00963BC4">
        <w:rPr>
          <w:rFonts w:ascii="Arial" w:hAnsi="Arial" w:cs="Arial"/>
        </w:rPr>
        <w:fldChar w:fldCharType="separate"/>
      </w:r>
      <w:r w:rsidRPr="00963BC4" w:rsidR="007C3E83">
        <w:rPr>
          <w:rFonts w:ascii="Arial" w:hAnsi="Arial" w:cs="Arial"/>
        </w:rPr>
        <w:t>2</w:t>
      </w:r>
      <w:r w:rsidRPr="00963BC4">
        <w:rPr>
          <w:rFonts w:ascii="Arial" w:hAnsi="Arial" w:cs="Arial"/>
        </w:rPr>
        <w:fldChar w:fldCharType="end"/>
      </w:r>
      <w:r w:rsidRPr="00963BC4">
        <w:rPr>
          <w:rFonts w:ascii="Arial" w:hAnsi="Arial" w:cs="Arial"/>
        </w:rPr>
        <w:t>: Conceptual cluster map of China’s EV ecosystem</w:t>
      </w:r>
      <w:r w:rsidRPr="00963BC4" w:rsidR="0066354A">
        <w:rPr>
          <w:rFonts w:ascii="Arial" w:hAnsi="Arial" w:cs="Arial"/>
        </w:rPr>
        <w:t xml:space="preserve"> (Self-Designed</w:t>
      </w:r>
      <w:r w:rsidRPr="00963BC4" w:rsidR="00963BC4">
        <w:rPr>
          <w:rFonts w:ascii="Arial" w:hAnsi="Arial" w:cs="Arial"/>
        </w:rPr>
        <w:t xml:space="preserve"> based on Chen et al., 2024; Vlados, 2019; Hu et al., 2022</w:t>
      </w:r>
      <w:r w:rsidRPr="00963BC4" w:rsidR="0066354A">
        <w:rPr>
          <w:rFonts w:ascii="Arial" w:hAnsi="Arial" w:cs="Arial"/>
        </w:rPr>
        <w:t>)</w:t>
      </w:r>
      <w:bookmarkEnd w:id="12"/>
    </w:p>
    <w:p w:rsidRPr="00963BC4" w:rsidR="00BE737C" w:rsidP="009F40AA" w:rsidRDefault="00BE737C" w14:paraId="3079DAD7" w14:textId="51787073">
      <w:pPr>
        <w:rPr>
          <w:rFonts w:ascii="Arial" w:hAnsi="Arial" w:cs="Arial"/>
        </w:rPr>
      </w:pPr>
      <w:r w:rsidRPr="00963BC4">
        <w:rPr>
          <w:rFonts w:ascii="Arial" w:hAnsi="Arial" w:cs="Arial"/>
        </w:rPr>
        <w:t xml:space="preserve">Figure 2 illustrates vehicle manufacturers located </w:t>
      </w:r>
      <w:r w:rsidRPr="00963BC4" w:rsidR="0021349A">
        <w:rPr>
          <w:rFonts w:ascii="Arial" w:hAnsi="Arial" w:cs="Arial"/>
        </w:rPr>
        <w:t>i</w:t>
      </w:r>
      <w:r w:rsidRPr="00963BC4">
        <w:rPr>
          <w:rFonts w:ascii="Arial" w:hAnsi="Arial" w:cs="Arial"/>
        </w:rPr>
        <w:t xml:space="preserve">n the centre linked with battery and components suppliers, digital services providers, charging infrastructure operators and export logistics. Feedback loops indicate the way knowledge and innovation spread across the cluster in accordance with </w:t>
      </w:r>
      <w:r w:rsidRPr="00963BC4" w:rsidR="0021349A">
        <w:rPr>
          <w:rFonts w:ascii="Arial" w:hAnsi="Arial" w:cs="Arial"/>
        </w:rPr>
        <w:t>Porter'</w:t>
      </w:r>
      <w:r w:rsidRPr="00963BC4">
        <w:rPr>
          <w:rFonts w:ascii="Arial" w:hAnsi="Arial" w:cs="Arial"/>
        </w:rPr>
        <w:t>s view that innovation and competitive advantage w</w:t>
      </w:r>
      <w:r w:rsidRPr="00963BC4" w:rsidR="0021349A">
        <w:rPr>
          <w:rFonts w:ascii="Arial" w:hAnsi="Arial" w:cs="Arial"/>
        </w:rPr>
        <w:t>ere</w:t>
      </w:r>
      <w:r w:rsidRPr="00963BC4">
        <w:rPr>
          <w:rFonts w:ascii="Arial" w:hAnsi="Arial" w:cs="Arial"/>
        </w:rPr>
        <w:t xml:space="preserve"> frequently generated by them in geographically displaced and networked structures (Vlados, 2019; Hu et al., 2022).</w:t>
      </w:r>
    </w:p>
    <w:p w:rsidRPr="00963BC4" w:rsidR="00D43875" w:rsidP="009F40AA" w:rsidRDefault="00D43875" w14:paraId="7EB2773F" w14:textId="1793F78F">
      <w:pPr>
        <w:pStyle w:val="Heading2"/>
        <w:rPr>
          <w:rFonts w:ascii="Arial" w:hAnsi="Arial" w:cs="Arial"/>
          <w:color w:val="auto"/>
        </w:rPr>
      </w:pPr>
      <w:bookmarkStart w:name="_Toc224702562" w:id="13"/>
      <w:r w:rsidRPr="00963BC4">
        <w:rPr>
          <w:rFonts w:ascii="Arial" w:hAnsi="Arial" w:cs="Arial"/>
          <w:color w:val="auto"/>
        </w:rPr>
        <w:t xml:space="preserve">3.4 Firm </w:t>
      </w:r>
      <w:r w:rsidRPr="00963BC4" w:rsidR="00FC62FD">
        <w:rPr>
          <w:rFonts w:ascii="Arial" w:hAnsi="Arial" w:cs="Arial"/>
          <w:color w:val="auto"/>
        </w:rPr>
        <w:t>Strategy</w:t>
      </w:r>
      <w:r w:rsidRPr="00963BC4">
        <w:rPr>
          <w:rFonts w:ascii="Arial" w:hAnsi="Arial" w:cs="Arial"/>
          <w:color w:val="auto"/>
        </w:rPr>
        <w:t xml:space="preserve">, </w:t>
      </w:r>
      <w:r w:rsidRPr="00963BC4" w:rsidR="00FC62FD">
        <w:rPr>
          <w:rFonts w:ascii="Arial" w:hAnsi="Arial" w:cs="Arial"/>
          <w:color w:val="auto"/>
        </w:rPr>
        <w:t xml:space="preserve">Structure </w:t>
      </w:r>
      <w:r w:rsidRPr="00963BC4">
        <w:rPr>
          <w:rFonts w:ascii="Arial" w:hAnsi="Arial" w:cs="Arial"/>
          <w:color w:val="auto"/>
        </w:rPr>
        <w:t xml:space="preserve">and </w:t>
      </w:r>
      <w:r w:rsidRPr="00963BC4" w:rsidR="00FC62FD">
        <w:rPr>
          <w:rFonts w:ascii="Arial" w:hAnsi="Arial" w:cs="Arial"/>
          <w:color w:val="auto"/>
        </w:rPr>
        <w:t>Rivalry</w:t>
      </w:r>
      <w:bookmarkEnd w:id="13"/>
    </w:p>
    <w:p w:rsidRPr="00963BC4" w:rsidR="00C47A6A" w:rsidP="5CA6A91A" w:rsidRDefault="00C47A6A" w14:paraId="6A1902D9" w14:textId="77777777">
      <w:pPr>
        <w:rPr>
          <w:rFonts w:ascii="Arial" w:hAnsi="Arial" w:cs="Arial"/>
          <w:color w:val="000000" w:themeColor="text1" w:themeTint="FF" w:themeShade="FF"/>
        </w:rPr>
      </w:pPr>
      <w:r w:rsidRPr="5CA6A91A" w:rsidR="00C47A6A">
        <w:rPr>
          <w:rFonts w:ascii="Arial" w:hAnsi="Arial" w:cs="Arial"/>
          <w:color w:val="000000" w:themeColor="text1" w:themeTint="FF" w:themeShade="FF"/>
        </w:rPr>
        <w:t>The competition within the Chinese EV market is tough and has turned into one of the key sources of rivalry (</w:t>
      </w:r>
      <w:r w:rsidRPr="5CA6A91A" w:rsidR="00C47A6A">
        <w:rPr>
          <w:rFonts w:ascii="Arial" w:hAnsi="Arial" w:cs="Arial"/>
          <w:color w:val="000000" w:themeColor="text1" w:themeTint="FF" w:themeShade="FF"/>
        </w:rPr>
        <w:t>Tsiligiris</w:t>
      </w:r>
      <w:r w:rsidRPr="5CA6A91A" w:rsidR="00C47A6A">
        <w:rPr>
          <w:rFonts w:ascii="Arial" w:hAnsi="Arial" w:cs="Arial"/>
          <w:color w:val="000000" w:themeColor="text1" w:themeTint="FF" w:themeShade="FF"/>
        </w:rPr>
        <w:t xml:space="preserve">, 2018). The abundance of NEV entrants, as well as local government backing of regional champions, resulted in </w:t>
      </w:r>
      <w:r w:rsidRPr="5CA6A91A" w:rsidR="00C47A6A">
        <w:rPr>
          <w:rFonts w:ascii="Arial" w:hAnsi="Arial" w:cs="Arial"/>
          <w:color w:val="000000" w:themeColor="text1" w:themeTint="FF" w:themeShade="FF"/>
        </w:rPr>
        <w:t>a very competitive</w:t>
      </w:r>
      <w:r w:rsidRPr="5CA6A91A" w:rsidR="00C47A6A">
        <w:rPr>
          <w:rFonts w:ascii="Arial" w:hAnsi="Arial" w:cs="Arial"/>
          <w:color w:val="000000" w:themeColor="text1" w:themeTint="FF" w:themeShade="FF"/>
        </w:rPr>
        <w:t xml:space="preserve"> domestic market with companies competing fiercely on price, features, speed of models on the market and by digital innovation (Arthur D. Little, 2024; Henry, 2026). It has compelled companies to innovate fast, and to cut costs quickly, but it has also compelled international companies to go as fast as possible to localise and specific strategic reactions (Chen, 2024).</w:t>
      </w:r>
    </w:p>
    <w:p w:rsidRPr="00963BC4" w:rsidR="003D3F6F" w:rsidP="5CA6A91A" w:rsidRDefault="00C47A6A" w14:paraId="4CF86907" w14:textId="0404952F">
      <w:pPr>
        <w:rPr>
          <w:rFonts w:ascii="Arial" w:hAnsi="Arial" w:cs="Arial"/>
          <w:color w:val="000000" w:themeColor="text1" w:themeTint="FF" w:themeShade="FF"/>
        </w:rPr>
      </w:pPr>
      <w:r w:rsidRPr="5CA6A91A" w:rsidR="00C47A6A">
        <w:rPr>
          <w:rFonts w:ascii="Arial" w:hAnsi="Arial" w:cs="Arial"/>
          <w:color w:val="000000" w:themeColor="text1" w:themeTint="FF" w:themeShade="FF"/>
        </w:rPr>
        <w:t>Regarding</w:t>
      </w:r>
      <w:r w:rsidRPr="5CA6A91A" w:rsidR="00C47A6A">
        <w:rPr>
          <w:rFonts w:ascii="Arial" w:hAnsi="Arial" w:cs="Arial"/>
          <w:color w:val="000000" w:themeColor="text1" w:themeTint="FF" w:themeShade="FF"/>
        </w:rPr>
        <w:t xml:space="preserve"> the Porter’s framework, high domestic competition </w:t>
      </w:r>
      <w:r w:rsidRPr="5CA6A91A" w:rsidR="00C47A6A">
        <w:rPr>
          <w:rFonts w:ascii="Arial" w:hAnsi="Arial" w:cs="Arial"/>
          <w:color w:val="000000" w:themeColor="text1" w:themeTint="FF" w:themeShade="FF"/>
        </w:rPr>
        <w:t>is capable of enhancing</w:t>
      </w:r>
      <w:r w:rsidRPr="5CA6A91A" w:rsidR="00C47A6A">
        <w:rPr>
          <w:rFonts w:ascii="Arial" w:hAnsi="Arial" w:cs="Arial"/>
          <w:color w:val="000000" w:themeColor="text1" w:themeTint="FF" w:themeShade="FF"/>
        </w:rPr>
        <w:t xml:space="preserve"> efficiency and innovation </w:t>
      </w:r>
      <w:r w:rsidRPr="5CA6A91A" w:rsidR="00C47A6A">
        <w:rPr>
          <w:rFonts w:ascii="Arial" w:hAnsi="Arial" w:cs="Arial"/>
          <w:color w:val="000000" w:themeColor="text1" w:themeTint="FF" w:themeShade="FF"/>
        </w:rPr>
        <w:t>provided that</w:t>
      </w:r>
      <w:r w:rsidRPr="5CA6A91A" w:rsidR="00C47A6A">
        <w:rPr>
          <w:rFonts w:ascii="Arial" w:hAnsi="Arial" w:cs="Arial"/>
          <w:color w:val="000000" w:themeColor="text1" w:themeTint="FF" w:themeShade="FF"/>
        </w:rPr>
        <w:t xml:space="preserve"> it is coupled with challenging customers and suppliers who can respond to the challenge (Collinson et al., 2020; Vlados, 2019). The same trend can be clearly </w:t>
      </w:r>
      <w:r w:rsidRPr="5CA6A91A" w:rsidR="00C47A6A">
        <w:rPr>
          <w:rFonts w:ascii="Arial" w:hAnsi="Arial" w:cs="Arial"/>
          <w:color w:val="000000" w:themeColor="text1" w:themeTint="FF" w:themeShade="FF"/>
        </w:rPr>
        <w:t>observed</w:t>
      </w:r>
      <w:r w:rsidRPr="5CA6A91A" w:rsidR="00C47A6A">
        <w:rPr>
          <w:rFonts w:ascii="Arial" w:hAnsi="Arial" w:cs="Arial"/>
          <w:color w:val="000000" w:themeColor="text1" w:themeTint="FF" w:themeShade="FF"/>
        </w:rPr>
        <w:t xml:space="preserve"> in EV segment in China. But there is also an insightful weakness that is shown through rivalry. In case market leadership relies more on ferocious price reductions, compression of margins, and accepting low-profitability, then certain competitive power will be an expression of scale with or without long-term pay-off (Arthur D. Little, 2024).</w:t>
      </w:r>
    </w:p>
    <w:p w:rsidRPr="00963BC4" w:rsidR="00D43875" w:rsidP="5CA6A91A" w:rsidRDefault="00D43875" w14:paraId="6342609B" w14:textId="58D86D4F">
      <w:pPr>
        <w:pStyle w:val="Heading2"/>
        <w:rPr>
          <w:rFonts w:ascii="Arial" w:hAnsi="Arial" w:cs="Arial"/>
          <w:color w:val="000000" w:themeColor="text1" w:themeTint="FF" w:themeShade="FF"/>
        </w:rPr>
      </w:pPr>
      <w:bookmarkStart w:name="_Toc224702563" w:id="14"/>
      <w:r w:rsidRPr="5CA6A91A" w:rsidR="00D43875">
        <w:rPr>
          <w:rFonts w:ascii="Arial" w:hAnsi="Arial" w:cs="Arial"/>
          <w:color w:val="000000" w:themeColor="text1" w:themeTint="FF" w:themeShade="FF"/>
        </w:rPr>
        <w:t xml:space="preserve">3.5 Role of </w:t>
      </w:r>
      <w:r w:rsidRPr="5CA6A91A" w:rsidR="00FC62FD">
        <w:rPr>
          <w:rFonts w:ascii="Arial" w:hAnsi="Arial" w:cs="Arial"/>
          <w:color w:val="000000" w:themeColor="text1" w:themeTint="FF" w:themeShade="FF"/>
        </w:rPr>
        <w:t xml:space="preserve">Government </w:t>
      </w:r>
      <w:r w:rsidRPr="5CA6A91A" w:rsidR="00D43875">
        <w:rPr>
          <w:rFonts w:ascii="Arial" w:hAnsi="Arial" w:cs="Arial"/>
          <w:color w:val="000000" w:themeColor="text1" w:themeTint="FF" w:themeShade="FF"/>
        </w:rPr>
        <w:t xml:space="preserve">and </w:t>
      </w:r>
      <w:r w:rsidRPr="5CA6A91A" w:rsidR="00FC62FD">
        <w:rPr>
          <w:rFonts w:ascii="Arial" w:hAnsi="Arial" w:cs="Arial"/>
          <w:color w:val="000000" w:themeColor="text1" w:themeTint="FF" w:themeShade="FF"/>
        </w:rPr>
        <w:t>Chance</w:t>
      </w:r>
      <w:bookmarkEnd w:id="14"/>
    </w:p>
    <w:p w:rsidRPr="00963BC4" w:rsidR="00C47A6A" w:rsidP="5CA6A91A" w:rsidRDefault="00C47A6A" w14:paraId="54FD4FA9" w14:textId="77777777">
      <w:pPr>
        <w:rPr>
          <w:rFonts w:ascii="Arial" w:hAnsi="Arial" w:cs="Arial"/>
          <w:color w:val="000000" w:themeColor="text1" w:themeTint="FF" w:themeShade="FF"/>
        </w:rPr>
      </w:pPr>
      <w:r w:rsidRPr="5CA6A91A" w:rsidR="00C47A6A">
        <w:rPr>
          <w:rFonts w:ascii="Arial" w:hAnsi="Arial" w:cs="Arial"/>
          <w:color w:val="000000" w:themeColor="text1" w:themeTint="FF" w:themeShade="FF"/>
        </w:rPr>
        <w:t xml:space="preserve">The emergence of the EV industry in China has been spurred by the government instead of being accidental. Subsidies, tax-free treatment, procurement facilitation, industrial planning, infrastructure deployment, and regulatory encouragement were combined in the strategy of Central and local authorities to hasten adoption and </w:t>
      </w:r>
      <w:r w:rsidRPr="5CA6A91A" w:rsidR="00C47A6A">
        <w:rPr>
          <w:rFonts w:ascii="Arial" w:hAnsi="Arial" w:cs="Arial"/>
          <w:color w:val="000000" w:themeColor="text1" w:themeTint="FF" w:themeShade="FF"/>
        </w:rPr>
        <w:t>establish</w:t>
      </w:r>
      <w:r w:rsidRPr="5CA6A91A" w:rsidR="00C47A6A">
        <w:rPr>
          <w:rFonts w:ascii="Arial" w:hAnsi="Arial" w:cs="Arial"/>
          <w:color w:val="000000" w:themeColor="text1" w:themeTint="FF" w:themeShade="FF"/>
        </w:rPr>
        <w:t xml:space="preserve"> local production capacity (ICCT, 2020; Chen et al., 2024). All these measures reinforced the various sections of the Diamond at once by boosting demand, stimulating </w:t>
      </w:r>
      <w:r w:rsidRPr="5CA6A91A" w:rsidR="00C47A6A">
        <w:rPr>
          <w:rFonts w:ascii="Arial" w:hAnsi="Arial" w:cs="Arial"/>
          <w:color w:val="000000" w:themeColor="text1" w:themeTint="FF" w:themeShade="FF"/>
        </w:rPr>
        <w:t>investment</w:t>
      </w:r>
      <w:r w:rsidRPr="5CA6A91A" w:rsidR="00C47A6A">
        <w:rPr>
          <w:rFonts w:ascii="Arial" w:hAnsi="Arial" w:cs="Arial"/>
          <w:color w:val="000000" w:themeColor="text1" w:themeTint="FF" w:themeShade="FF"/>
        </w:rPr>
        <w:t xml:space="preserve"> and making clusters possible. </w:t>
      </w:r>
    </w:p>
    <w:p w:rsidRPr="00963BC4" w:rsidR="00C47A6A" w:rsidP="5CA6A91A" w:rsidRDefault="00C47A6A" w14:paraId="14E5E27C" w14:textId="279C73BF">
      <w:pPr>
        <w:rPr>
          <w:rFonts w:ascii="Arial" w:hAnsi="Arial" w:cs="Arial"/>
          <w:color w:val="000000" w:themeColor="text1" w:themeTint="FF" w:themeShade="FF"/>
        </w:rPr>
      </w:pPr>
      <w:r w:rsidRPr="5CA6A91A" w:rsidR="00C47A6A">
        <w:rPr>
          <w:rFonts w:ascii="Arial" w:hAnsi="Arial" w:cs="Arial"/>
          <w:color w:val="000000" w:themeColor="text1" w:themeTint="FF" w:themeShade="FF"/>
        </w:rPr>
        <w:t xml:space="preserve">This also implies that a </w:t>
      </w:r>
      <w:r w:rsidRPr="5CA6A91A" w:rsidR="00C47A6A">
        <w:rPr>
          <w:rFonts w:ascii="Arial" w:hAnsi="Arial" w:cs="Arial"/>
          <w:color w:val="000000" w:themeColor="text1" w:themeTint="FF" w:themeShade="FF"/>
        </w:rPr>
        <w:t>portion</w:t>
      </w:r>
      <w:r w:rsidRPr="5CA6A91A" w:rsidR="00C47A6A">
        <w:rPr>
          <w:rFonts w:ascii="Arial" w:hAnsi="Arial" w:cs="Arial"/>
          <w:color w:val="000000" w:themeColor="text1" w:themeTint="FF" w:themeShade="FF"/>
        </w:rPr>
        <w:t xml:space="preserve"> of the EV advantage of China is conditional. The progressive removal of the direct subsidies is a serious challenge of how competitiveness can be </w:t>
      </w:r>
      <w:r w:rsidRPr="5CA6A91A" w:rsidR="00C47A6A">
        <w:rPr>
          <w:rFonts w:ascii="Arial" w:hAnsi="Arial" w:cs="Arial"/>
          <w:color w:val="000000" w:themeColor="text1" w:themeTint="FF" w:themeShade="FF"/>
        </w:rPr>
        <w:t>maintained</w:t>
      </w:r>
      <w:r w:rsidRPr="5CA6A91A" w:rsidR="00C47A6A">
        <w:rPr>
          <w:rFonts w:ascii="Arial" w:hAnsi="Arial" w:cs="Arial"/>
          <w:color w:val="000000" w:themeColor="text1" w:themeTint="FF" w:themeShade="FF"/>
        </w:rPr>
        <w:t xml:space="preserve"> by the firms with the help of productivity, the quality of products, and the power of the ecosystem only. When the leadership in the market is </w:t>
      </w:r>
      <w:r w:rsidRPr="5CA6A91A" w:rsidR="00C47A6A">
        <w:rPr>
          <w:rFonts w:ascii="Arial" w:hAnsi="Arial" w:cs="Arial"/>
          <w:color w:val="000000" w:themeColor="text1" w:themeTint="FF" w:themeShade="FF"/>
        </w:rPr>
        <w:t>maintained</w:t>
      </w:r>
      <w:r w:rsidRPr="5CA6A91A" w:rsidR="00C47A6A">
        <w:rPr>
          <w:rFonts w:ascii="Arial" w:hAnsi="Arial" w:cs="Arial"/>
          <w:color w:val="000000" w:themeColor="text1" w:themeTint="FF" w:themeShade="FF"/>
        </w:rPr>
        <w:t xml:space="preserve"> even without the direct state support, the advantage of China may be evaluated as more resilient. When the profitability suffers in a steep decline, then not only part of the benefit can be more policy-conditional than the size of the scale now </w:t>
      </w:r>
      <w:r w:rsidRPr="5CA6A91A" w:rsidR="00C47A6A">
        <w:rPr>
          <w:rFonts w:ascii="Arial" w:hAnsi="Arial" w:cs="Arial"/>
          <w:color w:val="000000" w:themeColor="text1" w:themeTint="FF" w:themeShade="FF"/>
        </w:rPr>
        <w:t>demonstrates</w:t>
      </w:r>
      <w:r w:rsidRPr="5CA6A91A" w:rsidR="00C47A6A">
        <w:rPr>
          <w:rFonts w:ascii="Arial" w:hAnsi="Arial" w:cs="Arial"/>
          <w:color w:val="000000" w:themeColor="text1" w:themeTint="FF" w:themeShade="FF"/>
        </w:rPr>
        <w:t xml:space="preserve"> (Hu et al., 2022; Chen et al., 2024).</w:t>
      </w:r>
    </w:p>
    <w:p w:rsidRPr="00963BC4" w:rsidR="00644914" w:rsidP="5CA6A91A" w:rsidRDefault="00C47A6A" w14:paraId="35E433D2" w14:textId="522E6B97">
      <w:pPr>
        <w:rPr>
          <w:rFonts w:ascii="Arial" w:hAnsi="Arial" w:cs="Arial"/>
          <w:color w:val="000000" w:themeColor="text1" w:themeTint="FF" w:themeShade="FF"/>
        </w:rPr>
      </w:pPr>
      <w:r w:rsidRPr="5CA6A91A" w:rsidR="00C47A6A">
        <w:rPr>
          <w:rFonts w:ascii="Arial" w:hAnsi="Arial" w:cs="Arial"/>
          <w:color w:val="000000" w:themeColor="text1" w:themeTint="FF" w:themeShade="FF"/>
        </w:rPr>
        <w:t xml:space="preserve">Regarding the chance variable outlined by Porter, the most pertinent ones are not generic historical shocks but EV-specific disruptions in the form of the Covid-19 pandemic, semiconductor shortages, and battery-material supply chain volatility, and increased trade barriers to the export of Chinese EVs (Henry, 2026; </w:t>
      </w:r>
      <w:r w:rsidRPr="5CA6A91A" w:rsidR="00C47A6A">
        <w:rPr>
          <w:rFonts w:ascii="Arial" w:hAnsi="Arial" w:cs="Arial"/>
          <w:color w:val="000000" w:themeColor="text1" w:themeTint="FF" w:themeShade="FF"/>
        </w:rPr>
        <w:t>Bonanomi</w:t>
      </w:r>
      <w:r w:rsidRPr="5CA6A91A" w:rsidR="00C47A6A">
        <w:rPr>
          <w:rFonts w:ascii="Arial" w:hAnsi="Arial" w:cs="Arial"/>
          <w:color w:val="000000" w:themeColor="text1" w:themeTint="FF" w:themeShade="FF"/>
        </w:rPr>
        <w:t xml:space="preserve">, 2026). These happenings are important as they would put the Chinese EV model to the test, to </w:t>
      </w:r>
      <w:r w:rsidRPr="5CA6A91A" w:rsidR="00C47A6A">
        <w:rPr>
          <w:rFonts w:ascii="Arial" w:hAnsi="Arial" w:cs="Arial"/>
          <w:color w:val="000000" w:themeColor="text1" w:themeTint="FF" w:themeShade="FF"/>
        </w:rPr>
        <w:t>determine</w:t>
      </w:r>
      <w:r w:rsidRPr="5CA6A91A" w:rsidR="00C47A6A">
        <w:rPr>
          <w:rFonts w:ascii="Arial" w:hAnsi="Arial" w:cs="Arial"/>
          <w:color w:val="000000" w:themeColor="text1" w:themeTint="FF" w:themeShade="FF"/>
        </w:rPr>
        <w:t xml:space="preserve"> its external pressure.</w:t>
      </w:r>
    </w:p>
    <w:p w:rsidRPr="00963BC4" w:rsidR="00C47A6A" w:rsidP="5CA6A91A" w:rsidRDefault="00C47A6A" w14:paraId="67FCD352" w14:textId="77777777">
      <w:pPr>
        <w:spacing w:before="0" w:after="160" w:line="259" w:lineRule="auto"/>
        <w:jc w:val="left"/>
        <w:rPr>
          <w:rFonts w:ascii="Arial" w:hAnsi="Arial" w:cs="Arial"/>
          <w:b w:val="1"/>
          <w:bCs w:val="1"/>
          <w:color w:val="000000" w:themeColor="text1" w:themeTint="FF" w:themeShade="FF"/>
          <w:sz w:val="32"/>
          <w:szCs w:val="32"/>
          <w:lang w:val="en-US"/>
        </w:rPr>
      </w:pPr>
      <w:r w:rsidRPr="5CA6A91A">
        <w:rPr>
          <w:rFonts w:ascii="Arial" w:hAnsi="Arial" w:cs="Arial"/>
          <w:color w:val="000000" w:themeColor="text1" w:themeTint="FF" w:themeShade="FF"/>
        </w:rPr>
        <w:br w:type="page"/>
      </w:r>
    </w:p>
    <w:p w:rsidRPr="00963BC4" w:rsidR="00D43875" w:rsidP="009F40AA" w:rsidRDefault="00D43875" w14:paraId="2FABAED5" w14:textId="0B160CFC">
      <w:pPr>
        <w:pStyle w:val="Heading1"/>
        <w:rPr>
          <w:rFonts w:ascii="Arial" w:hAnsi="Arial" w:cs="Arial"/>
          <w:color w:val="auto"/>
        </w:rPr>
      </w:pPr>
      <w:bookmarkStart w:name="_Toc224702564" w:id="15"/>
      <w:r w:rsidRPr="5CA6A91A" w:rsidR="00D43875">
        <w:rPr>
          <w:rFonts w:ascii="Arial" w:hAnsi="Arial" w:cs="Arial"/>
          <w:color w:val="000000" w:themeColor="text1" w:themeTint="FF" w:themeShade="FF"/>
        </w:rPr>
        <w:t>4.0 Evaluation of Tesla as a Foreign MNC in China’s EV</w:t>
      </w:r>
      <w:r w:rsidRPr="5CA6A91A" w:rsidR="00D43875">
        <w:rPr>
          <w:rFonts w:ascii="Arial" w:hAnsi="Arial" w:cs="Arial"/>
          <w:color w:val="auto"/>
        </w:rPr>
        <w:t xml:space="preserve"> Segment</w:t>
      </w:r>
      <w:bookmarkEnd w:id="15"/>
    </w:p>
    <w:p w:rsidRPr="00963BC4" w:rsidR="00D43875" w:rsidP="009F40AA" w:rsidRDefault="00D43875" w14:paraId="685EF5AC" w14:textId="2453BCEB">
      <w:pPr>
        <w:pStyle w:val="Heading2"/>
        <w:rPr>
          <w:rFonts w:ascii="Arial" w:hAnsi="Arial" w:cs="Arial"/>
          <w:color w:val="auto"/>
        </w:rPr>
      </w:pPr>
      <w:bookmarkStart w:name="_Toc224702565" w:id="16"/>
      <w:r w:rsidRPr="00963BC4">
        <w:rPr>
          <w:rFonts w:ascii="Arial" w:hAnsi="Arial" w:cs="Arial"/>
          <w:color w:val="auto"/>
        </w:rPr>
        <w:t xml:space="preserve">4.1 Tesla’s </w:t>
      </w:r>
      <w:r w:rsidRPr="00963BC4" w:rsidR="00FC62FD">
        <w:rPr>
          <w:rFonts w:ascii="Arial" w:hAnsi="Arial" w:cs="Arial"/>
          <w:color w:val="auto"/>
        </w:rPr>
        <w:t xml:space="preserve">Entry Mode </w:t>
      </w:r>
      <w:r w:rsidRPr="00963BC4">
        <w:rPr>
          <w:rFonts w:ascii="Arial" w:hAnsi="Arial" w:cs="Arial"/>
          <w:color w:val="auto"/>
        </w:rPr>
        <w:t xml:space="preserve">and </w:t>
      </w:r>
      <w:r w:rsidRPr="00963BC4" w:rsidR="00FC62FD">
        <w:rPr>
          <w:rFonts w:ascii="Arial" w:hAnsi="Arial" w:cs="Arial"/>
          <w:color w:val="auto"/>
        </w:rPr>
        <w:t xml:space="preserve">Strategic Role </w:t>
      </w:r>
      <w:r w:rsidRPr="00963BC4">
        <w:rPr>
          <w:rFonts w:ascii="Arial" w:hAnsi="Arial" w:cs="Arial"/>
          <w:color w:val="auto"/>
        </w:rPr>
        <w:t xml:space="preserve">of </w:t>
      </w:r>
      <w:r w:rsidRPr="00963BC4" w:rsidR="00FC62FD">
        <w:rPr>
          <w:rFonts w:ascii="Arial" w:hAnsi="Arial" w:cs="Arial"/>
          <w:color w:val="auto"/>
        </w:rPr>
        <w:t>China</w:t>
      </w:r>
      <w:bookmarkEnd w:id="16"/>
    </w:p>
    <w:p w:rsidRPr="00963BC4" w:rsidR="00DA6F12" w:rsidP="009F40AA" w:rsidRDefault="00DA6F12" w14:paraId="44729271" w14:textId="3B0BCCFC">
      <w:pPr>
        <w:rPr>
          <w:rFonts w:ascii="Arial" w:hAnsi="Arial" w:cs="Arial"/>
        </w:rPr>
      </w:pPr>
      <w:r w:rsidRPr="00963BC4">
        <w:rPr>
          <w:rFonts w:ascii="Arial" w:hAnsi="Arial" w:cs="Arial"/>
        </w:rPr>
        <w:t xml:space="preserve">The case of Tesla Gigafactory Shanghai has been a pivotal move in both Tesla and </w:t>
      </w:r>
      <w:r w:rsidRPr="00963BC4" w:rsidR="0021349A">
        <w:rPr>
          <w:rFonts w:ascii="Arial" w:hAnsi="Arial" w:cs="Arial"/>
        </w:rPr>
        <w:t xml:space="preserve">the </w:t>
      </w:r>
      <w:r w:rsidRPr="00963BC4">
        <w:rPr>
          <w:rFonts w:ascii="Arial" w:hAnsi="Arial" w:cs="Arial"/>
        </w:rPr>
        <w:t xml:space="preserve">Chinese automotive FDI regime. Compared to most former foreign producers, who had to enter </w:t>
      </w:r>
      <w:r w:rsidRPr="00963BC4" w:rsidR="0021349A">
        <w:rPr>
          <w:rFonts w:ascii="Arial" w:hAnsi="Arial" w:cs="Arial"/>
        </w:rPr>
        <w:t xml:space="preserve">into joint </w:t>
      </w:r>
      <w:r w:rsidRPr="00963BC4">
        <w:rPr>
          <w:rFonts w:ascii="Arial" w:hAnsi="Arial" w:cs="Arial"/>
        </w:rPr>
        <w:t>ventures, Tesla was allowed to establish a fully foreign</w:t>
      </w:r>
      <w:r w:rsidRPr="00963BC4" w:rsidR="0021349A">
        <w:rPr>
          <w:rFonts w:ascii="Arial" w:hAnsi="Arial" w:cs="Arial"/>
        </w:rPr>
        <w:t>-</w:t>
      </w:r>
      <w:r w:rsidRPr="00963BC4">
        <w:rPr>
          <w:rFonts w:ascii="Arial" w:hAnsi="Arial" w:cs="Arial"/>
        </w:rPr>
        <w:t>owned enterprise, which was not only indicative of regulatory liberalisation but of China seeking to attract high</w:t>
      </w:r>
      <w:r w:rsidRPr="00963BC4" w:rsidR="0021349A">
        <w:rPr>
          <w:rFonts w:ascii="Arial" w:hAnsi="Arial" w:cs="Arial"/>
        </w:rPr>
        <w:t>-</w:t>
      </w:r>
      <w:r w:rsidRPr="00963BC4">
        <w:rPr>
          <w:rFonts w:ascii="Arial" w:hAnsi="Arial" w:cs="Arial"/>
        </w:rPr>
        <w:t>profile investment in high</w:t>
      </w:r>
      <w:r w:rsidRPr="00963BC4" w:rsidR="0021349A">
        <w:rPr>
          <w:rFonts w:ascii="Arial" w:hAnsi="Arial" w:cs="Arial"/>
        </w:rPr>
        <w:t>-</w:t>
      </w:r>
      <w:r w:rsidRPr="00963BC4">
        <w:rPr>
          <w:rFonts w:ascii="Arial" w:hAnsi="Arial" w:cs="Arial"/>
        </w:rPr>
        <w:t>tech manufacturing (</w:t>
      </w:r>
      <w:proofErr w:type="spellStart"/>
      <w:r w:rsidRPr="00963BC4">
        <w:rPr>
          <w:rFonts w:ascii="Arial" w:hAnsi="Arial" w:cs="Arial"/>
        </w:rPr>
        <w:t>Daxue</w:t>
      </w:r>
      <w:proofErr w:type="spellEnd"/>
      <w:r w:rsidRPr="00963BC4">
        <w:rPr>
          <w:rFonts w:ascii="Arial" w:hAnsi="Arial" w:cs="Arial"/>
        </w:rPr>
        <w:t xml:space="preserve"> Consulting, 2024; Cooke, 2020). In the context of the OLI (ownership- location- internalisation) paradigm, Tesla has used the ownership benefits in brand, technology and software, location benefits in the large Chinese market and efficient supply chain and internalisation benefits in terms of retaining proprietary technology and quality in </w:t>
      </w:r>
      <w:r w:rsidRPr="00963BC4" w:rsidR="0021349A">
        <w:rPr>
          <w:rFonts w:ascii="Arial" w:hAnsi="Arial" w:cs="Arial"/>
        </w:rPr>
        <w:t xml:space="preserve">a </w:t>
      </w:r>
      <w:r w:rsidRPr="00963BC4">
        <w:rPr>
          <w:rFonts w:ascii="Arial" w:hAnsi="Arial" w:cs="Arial"/>
        </w:rPr>
        <w:t>wholly owned structure (Dunning, 2003; Collinson</w:t>
      </w:r>
      <w:r w:rsidRPr="00963BC4" w:rsidR="00BB6EC9">
        <w:rPr>
          <w:rFonts w:ascii="Arial" w:hAnsi="Arial" w:cs="Arial"/>
        </w:rPr>
        <w:t xml:space="preserve"> et al.</w:t>
      </w:r>
      <w:r w:rsidRPr="00963BC4">
        <w:rPr>
          <w:rFonts w:ascii="Arial" w:hAnsi="Arial" w:cs="Arial"/>
        </w:rPr>
        <w:t>, 2020).</w:t>
      </w:r>
    </w:p>
    <w:p w:rsidRPr="00963BC4" w:rsidR="00DA6F12" w:rsidP="009F40AA" w:rsidRDefault="00DA6F12" w14:paraId="7A68D3F0" w14:textId="25ED3BBA">
      <w:pPr>
        <w:rPr>
          <w:rFonts w:ascii="Arial" w:hAnsi="Arial" w:cs="Arial"/>
        </w:rPr>
      </w:pPr>
      <w:r w:rsidRPr="00963BC4">
        <w:rPr>
          <w:rFonts w:ascii="Arial" w:hAnsi="Arial" w:cs="Arial"/>
        </w:rPr>
        <w:t>Gigafactory Shanghai has become the largest manufacturing plant within the company in the world and a major export point as it provides vehicles to its markets in Asia and Europe. According to the reports, record China sales of approximately 83,000 vehicles in December 2025 explain partly why the market matters, yet competition has decreased Tesla's share of the overall Chinese EV market (Kindig, 2023; Reuters</w:t>
      </w:r>
      <w:r w:rsidRPr="00963BC4" w:rsidR="0021349A">
        <w:rPr>
          <w:rFonts w:ascii="Arial" w:hAnsi="Arial" w:cs="Arial"/>
        </w:rPr>
        <w:t>,</w:t>
      </w:r>
      <w:r w:rsidRPr="00963BC4">
        <w:rPr>
          <w:rFonts w:ascii="Arial" w:hAnsi="Arial" w:cs="Arial"/>
        </w:rPr>
        <w:t xml:space="preserve"> 2025). Therefore, China is also a key growth engine, a cheaper production foundation and </w:t>
      </w:r>
      <w:r w:rsidRPr="00963BC4" w:rsidR="0021349A">
        <w:rPr>
          <w:rFonts w:ascii="Arial" w:hAnsi="Arial" w:cs="Arial"/>
        </w:rPr>
        <w:t xml:space="preserve">a </w:t>
      </w:r>
      <w:r w:rsidRPr="00963BC4">
        <w:rPr>
          <w:rFonts w:ascii="Arial" w:hAnsi="Arial" w:cs="Arial"/>
        </w:rPr>
        <w:t xml:space="preserve">testing ground </w:t>
      </w:r>
      <w:r w:rsidRPr="00963BC4" w:rsidR="0021349A">
        <w:rPr>
          <w:rFonts w:ascii="Arial" w:hAnsi="Arial" w:cs="Arial"/>
        </w:rPr>
        <w:t>for</w:t>
      </w:r>
      <w:r w:rsidRPr="00963BC4">
        <w:rPr>
          <w:rFonts w:ascii="Arial" w:hAnsi="Arial" w:cs="Arial"/>
        </w:rPr>
        <w:t xml:space="preserve"> Tesla technologies. Table 4 provides an overview of the reasons why Tesla has internationalised into China through the Dunning model.</w:t>
      </w:r>
    </w:p>
    <w:p w:rsidRPr="00963BC4" w:rsidR="00D43875" w:rsidP="009F40AA" w:rsidRDefault="00FC62FD" w14:paraId="6574AE1C" w14:textId="6FBCA1C8">
      <w:pPr>
        <w:pStyle w:val="Caption"/>
        <w:rPr>
          <w:rFonts w:ascii="Arial" w:hAnsi="Arial" w:cs="Arial"/>
          <w:lang w:val="en-US"/>
        </w:rPr>
      </w:pPr>
      <w:r w:rsidRPr="00963BC4">
        <w:rPr>
          <w:rFonts w:ascii="Arial" w:hAnsi="Arial" w:cs="Arial"/>
          <w:b w:val="0"/>
          <w:bCs/>
          <w:lang w:val="en-US"/>
        </w:rPr>
        <w:t xml:space="preserve"> </w:t>
      </w:r>
      <w:bookmarkStart w:name="_Toc223184444" w:id="17"/>
      <w:r w:rsidRPr="00963BC4">
        <w:rPr>
          <w:rFonts w:ascii="Arial" w:hAnsi="Arial" w:cs="Arial"/>
        </w:rPr>
        <w:t xml:space="preserve">Table </w:t>
      </w:r>
      <w:r w:rsidRPr="00963BC4">
        <w:rPr>
          <w:rFonts w:ascii="Arial" w:hAnsi="Arial" w:cs="Arial"/>
        </w:rPr>
        <w:fldChar w:fldCharType="begin"/>
      </w:r>
      <w:r w:rsidRPr="00963BC4">
        <w:rPr>
          <w:rFonts w:ascii="Arial" w:hAnsi="Arial" w:cs="Arial"/>
        </w:rPr>
        <w:instrText xml:space="preserve"> SEQ Table \* ARABIC </w:instrText>
      </w:r>
      <w:r w:rsidRPr="00963BC4">
        <w:rPr>
          <w:rFonts w:ascii="Arial" w:hAnsi="Arial" w:cs="Arial"/>
        </w:rPr>
        <w:fldChar w:fldCharType="separate"/>
      </w:r>
      <w:r w:rsidRPr="00963BC4" w:rsidR="00963BC4">
        <w:rPr>
          <w:rFonts w:ascii="Arial" w:hAnsi="Arial" w:cs="Arial"/>
        </w:rPr>
        <w:t>3</w:t>
      </w:r>
      <w:r w:rsidRPr="00963BC4">
        <w:rPr>
          <w:rFonts w:ascii="Arial" w:hAnsi="Arial" w:cs="Arial"/>
        </w:rPr>
        <w:fldChar w:fldCharType="end"/>
      </w:r>
      <w:r w:rsidRPr="00963BC4">
        <w:rPr>
          <w:rFonts w:ascii="Arial" w:hAnsi="Arial" w:cs="Arial"/>
        </w:rPr>
        <w:t>: Tesla’s internationalisation into China through the OLI lens</w:t>
      </w:r>
      <w:bookmarkEnd w:id="17"/>
    </w:p>
    <w:tbl>
      <w:tblPr>
        <w:tblStyle w:val="TableGrid1"/>
        <w:tblW w:w="0" w:type="auto"/>
        <w:tblLook w:val="04A0" w:firstRow="1" w:lastRow="0" w:firstColumn="1" w:lastColumn="0" w:noHBand="0" w:noVBand="1"/>
      </w:tblPr>
      <w:tblGrid>
        <w:gridCol w:w="1711"/>
        <w:gridCol w:w="7285"/>
      </w:tblGrid>
      <w:tr w:rsidRPr="00963BC4" w:rsidR="00975AF5" w:rsidTr="00FC62FD" w14:paraId="1AB914B1" w14:textId="77777777">
        <w:trPr>
          <w:cnfStyle w:val="100000000000" w:firstRow="1" w:lastRow="0" w:firstColumn="0" w:lastColumn="0" w:oddVBand="0" w:evenVBand="0" w:oddHBand="0" w:evenHBand="0" w:firstRowFirstColumn="0" w:firstRowLastColumn="0" w:lastRowFirstColumn="0" w:lastRowLastColumn="0"/>
        </w:trPr>
        <w:tc>
          <w:tcPr>
            <w:tcW w:w="0" w:type="auto"/>
            <w:hideMark/>
          </w:tcPr>
          <w:p w:rsidRPr="00963BC4" w:rsidR="00D43875" w:rsidP="009F40AA" w:rsidRDefault="00D43875" w14:paraId="484850C6" w14:textId="77777777">
            <w:pPr>
              <w:rPr>
                <w:rFonts w:ascii="Arial" w:hAnsi="Arial" w:cs="Arial"/>
                <w:bCs/>
                <w:lang w:val="en-US"/>
              </w:rPr>
            </w:pPr>
            <w:r w:rsidRPr="00963BC4">
              <w:rPr>
                <w:rFonts w:ascii="Arial" w:hAnsi="Arial" w:cs="Arial"/>
                <w:bCs/>
                <w:lang w:val="en-US"/>
              </w:rPr>
              <w:t>OLI element</w:t>
            </w:r>
          </w:p>
        </w:tc>
        <w:tc>
          <w:tcPr>
            <w:tcW w:w="0" w:type="auto"/>
            <w:hideMark/>
          </w:tcPr>
          <w:p w:rsidRPr="00963BC4" w:rsidR="00D43875" w:rsidP="009F40AA" w:rsidRDefault="00D43875" w14:paraId="194F854A" w14:textId="77777777">
            <w:pPr>
              <w:rPr>
                <w:rFonts w:ascii="Arial" w:hAnsi="Arial" w:cs="Arial"/>
                <w:bCs/>
                <w:lang w:val="en-US"/>
              </w:rPr>
            </w:pPr>
            <w:r w:rsidRPr="00963BC4">
              <w:rPr>
                <w:rFonts w:ascii="Arial" w:hAnsi="Arial" w:cs="Arial"/>
                <w:bCs/>
                <w:lang w:val="en-US"/>
              </w:rPr>
              <w:t>Tesla’s advantages and motives in China</w:t>
            </w:r>
          </w:p>
        </w:tc>
      </w:tr>
      <w:tr w:rsidRPr="00963BC4" w:rsidR="00975AF5" w:rsidTr="00FC62FD" w14:paraId="3076C25A" w14:textId="77777777">
        <w:tc>
          <w:tcPr>
            <w:tcW w:w="0" w:type="auto"/>
            <w:hideMark/>
          </w:tcPr>
          <w:p w:rsidRPr="00963BC4" w:rsidR="00D43875" w:rsidP="009F40AA" w:rsidRDefault="00D43875" w14:paraId="495B959A" w14:textId="77777777">
            <w:pPr>
              <w:rPr>
                <w:rFonts w:ascii="Arial" w:hAnsi="Arial" w:cs="Arial"/>
                <w:lang w:val="en-US"/>
              </w:rPr>
            </w:pPr>
            <w:r w:rsidRPr="00963BC4">
              <w:rPr>
                <w:rFonts w:ascii="Arial" w:hAnsi="Arial" w:cs="Arial"/>
                <w:lang w:val="en-US"/>
              </w:rPr>
              <w:t>Ownership</w:t>
            </w:r>
          </w:p>
        </w:tc>
        <w:tc>
          <w:tcPr>
            <w:tcW w:w="0" w:type="auto"/>
            <w:hideMark/>
          </w:tcPr>
          <w:p w:rsidRPr="00963BC4" w:rsidR="00D43875" w:rsidP="009F40AA" w:rsidRDefault="00D43875" w14:paraId="598723D7" w14:textId="77777777">
            <w:pPr>
              <w:rPr>
                <w:rFonts w:ascii="Arial" w:hAnsi="Arial" w:cs="Arial"/>
                <w:lang w:val="en-US"/>
              </w:rPr>
            </w:pPr>
            <w:r w:rsidRPr="00963BC4">
              <w:rPr>
                <w:rFonts w:ascii="Arial" w:hAnsi="Arial" w:cs="Arial"/>
                <w:lang w:val="en-US"/>
              </w:rPr>
              <w:t xml:space="preserve">Strong global brand, proprietary battery and software technology, first-mover EV reputation (Hill, 2023; </w:t>
            </w:r>
            <w:proofErr w:type="spellStart"/>
            <w:r w:rsidRPr="00963BC4">
              <w:rPr>
                <w:rFonts w:ascii="Arial" w:hAnsi="Arial" w:cs="Arial"/>
                <w:lang w:val="en-US"/>
              </w:rPr>
              <w:t>Daxue</w:t>
            </w:r>
            <w:proofErr w:type="spellEnd"/>
            <w:r w:rsidRPr="00963BC4">
              <w:rPr>
                <w:rFonts w:ascii="Arial" w:hAnsi="Arial" w:cs="Arial"/>
                <w:lang w:val="en-US"/>
              </w:rPr>
              <w:t xml:space="preserve"> Consulting, 2024)</w:t>
            </w:r>
          </w:p>
        </w:tc>
      </w:tr>
      <w:tr w:rsidRPr="00963BC4" w:rsidR="00975AF5" w:rsidTr="00FC62FD" w14:paraId="6AB6A67B" w14:textId="77777777">
        <w:tc>
          <w:tcPr>
            <w:tcW w:w="0" w:type="auto"/>
            <w:hideMark/>
          </w:tcPr>
          <w:p w:rsidRPr="00963BC4" w:rsidR="00D43875" w:rsidP="009F40AA" w:rsidRDefault="00D43875" w14:paraId="570AC8F7" w14:textId="77777777">
            <w:pPr>
              <w:rPr>
                <w:rFonts w:ascii="Arial" w:hAnsi="Arial" w:cs="Arial"/>
                <w:lang w:val="en-US"/>
              </w:rPr>
            </w:pPr>
            <w:r w:rsidRPr="00963BC4">
              <w:rPr>
                <w:rFonts w:ascii="Arial" w:hAnsi="Arial" w:cs="Arial"/>
                <w:lang w:val="en-US"/>
              </w:rPr>
              <w:t>Location</w:t>
            </w:r>
          </w:p>
        </w:tc>
        <w:tc>
          <w:tcPr>
            <w:tcW w:w="0" w:type="auto"/>
            <w:hideMark/>
          </w:tcPr>
          <w:p w:rsidRPr="00963BC4" w:rsidR="00D43875" w:rsidP="009F40AA" w:rsidRDefault="00D43875" w14:paraId="53CC9681" w14:textId="77777777">
            <w:pPr>
              <w:rPr>
                <w:rFonts w:ascii="Arial" w:hAnsi="Arial" w:cs="Arial"/>
                <w:lang w:val="en-US"/>
              </w:rPr>
            </w:pPr>
            <w:r w:rsidRPr="00963BC4">
              <w:rPr>
                <w:rFonts w:ascii="Arial" w:hAnsi="Arial" w:cs="Arial"/>
                <w:lang w:val="en-US"/>
              </w:rPr>
              <w:t xml:space="preserve">Large and growing EV market, dense supplier network, competitive </w:t>
            </w:r>
            <w:proofErr w:type="spellStart"/>
            <w:r w:rsidRPr="00963BC4">
              <w:rPr>
                <w:rFonts w:ascii="Arial" w:hAnsi="Arial" w:cs="Arial"/>
                <w:lang w:val="en-US"/>
              </w:rPr>
              <w:t>labour</w:t>
            </w:r>
            <w:proofErr w:type="spellEnd"/>
            <w:r w:rsidRPr="00963BC4">
              <w:rPr>
                <w:rFonts w:ascii="Arial" w:hAnsi="Arial" w:cs="Arial"/>
                <w:lang w:val="en-US"/>
              </w:rPr>
              <w:t xml:space="preserve"> costs, supportive industrial policy (Chen et al., 2024; Arthur D. Little, 2024)</w:t>
            </w:r>
          </w:p>
        </w:tc>
      </w:tr>
      <w:tr w:rsidRPr="00963BC4" w:rsidR="00975AF5" w:rsidTr="00FC62FD" w14:paraId="59493A6F" w14:textId="77777777">
        <w:tc>
          <w:tcPr>
            <w:tcW w:w="0" w:type="auto"/>
            <w:hideMark/>
          </w:tcPr>
          <w:p w:rsidRPr="00963BC4" w:rsidR="00D43875" w:rsidP="009F40AA" w:rsidRDefault="00D43875" w14:paraId="7C1DB1CB" w14:textId="77777777">
            <w:pPr>
              <w:rPr>
                <w:rFonts w:ascii="Arial" w:hAnsi="Arial" w:cs="Arial"/>
                <w:lang w:val="en-US"/>
              </w:rPr>
            </w:pPr>
            <w:proofErr w:type="spellStart"/>
            <w:r w:rsidRPr="00963BC4">
              <w:rPr>
                <w:rFonts w:ascii="Arial" w:hAnsi="Arial" w:cs="Arial"/>
                <w:lang w:val="en-US"/>
              </w:rPr>
              <w:t>Internalisation</w:t>
            </w:r>
            <w:proofErr w:type="spellEnd"/>
          </w:p>
        </w:tc>
        <w:tc>
          <w:tcPr>
            <w:tcW w:w="0" w:type="auto"/>
            <w:hideMark/>
          </w:tcPr>
          <w:p w:rsidRPr="00963BC4" w:rsidR="00D43875" w:rsidP="009F40AA" w:rsidRDefault="00D43875" w14:paraId="1A3AB548" w14:textId="49EFF656">
            <w:pPr>
              <w:rPr>
                <w:rFonts w:ascii="Arial" w:hAnsi="Arial" w:cs="Arial"/>
                <w:lang w:val="en-US"/>
              </w:rPr>
            </w:pPr>
            <w:r w:rsidRPr="00963BC4">
              <w:rPr>
                <w:rFonts w:ascii="Arial" w:hAnsi="Arial" w:cs="Arial"/>
                <w:lang w:val="en-US"/>
              </w:rPr>
              <w:t xml:space="preserve">Desire to protect intellectual property, maintain quality and integrate manufacturing, </w:t>
            </w:r>
            <w:proofErr w:type="spellStart"/>
            <w:r w:rsidRPr="00963BC4">
              <w:rPr>
                <w:rFonts w:ascii="Arial" w:hAnsi="Arial" w:cs="Arial"/>
                <w:lang w:val="en-US"/>
              </w:rPr>
              <w:t>R</w:t>
            </w:r>
            <w:r w:rsidRPr="00963BC4" w:rsidR="00424DF6">
              <w:rPr>
                <w:rFonts w:ascii="Arial" w:hAnsi="Arial" w:cs="Arial"/>
                <w:lang w:val="en-US"/>
              </w:rPr>
              <w:t>and</w:t>
            </w:r>
            <w:r w:rsidRPr="00963BC4">
              <w:rPr>
                <w:rFonts w:ascii="Arial" w:hAnsi="Arial" w:cs="Arial"/>
                <w:lang w:val="en-US"/>
              </w:rPr>
              <w:t>D</w:t>
            </w:r>
            <w:proofErr w:type="spellEnd"/>
            <w:r w:rsidRPr="00963BC4">
              <w:rPr>
                <w:rFonts w:ascii="Arial" w:hAnsi="Arial" w:cs="Arial"/>
                <w:lang w:val="en-US"/>
              </w:rPr>
              <w:t xml:space="preserve"> and software within a unified global system (Dunning, 2003; Cooke, 2020)</w:t>
            </w:r>
          </w:p>
        </w:tc>
      </w:tr>
    </w:tbl>
    <w:p w:rsidRPr="00963BC4" w:rsidR="00963BC4" w:rsidP="00963BC4" w:rsidRDefault="00963BC4" w14:paraId="3CFFAFC2" w14:textId="77777777">
      <w:pPr>
        <w:rPr>
          <w:rFonts w:ascii="Arial" w:hAnsi="Arial" w:cs="Arial"/>
          <w:b/>
          <w:bCs/>
          <w:lang w:val="en-US"/>
        </w:rPr>
      </w:pPr>
    </w:p>
    <w:p w:rsidRPr="00963BC4" w:rsidR="00963BC4" w:rsidP="5CA6A91A" w:rsidRDefault="00963BC4" w14:paraId="22200CC4" w14:textId="0FBC11B3">
      <w:pPr>
        <w:pStyle w:val="Heading2"/>
        <w:rPr>
          <w:rFonts w:ascii="Arial" w:hAnsi="Arial" w:cs="Arial"/>
          <w:color w:val="000000" w:themeColor="text1" w:themeTint="FF" w:themeShade="FF"/>
        </w:rPr>
      </w:pPr>
      <w:bookmarkStart w:name="_Toc224702566" w:id="18"/>
      <w:r w:rsidRPr="5CA6A91A" w:rsidR="00963BC4">
        <w:rPr>
          <w:rFonts w:ascii="Arial" w:hAnsi="Arial" w:cs="Arial"/>
          <w:color w:val="000000" w:themeColor="text1" w:themeTint="FF" w:themeShade="FF"/>
        </w:rPr>
        <w:t>4.2 Political and Legal Factors: Opportunities and Constraints</w:t>
      </w:r>
      <w:bookmarkEnd w:id="18"/>
    </w:p>
    <w:p w:rsidRPr="00963BC4" w:rsidR="00963BC4" w:rsidP="5CA6A91A" w:rsidRDefault="00963BC4" w14:paraId="4296792B" w14:textId="77777777">
      <w:pPr>
        <w:rPr>
          <w:rFonts w:ascii="Arial" w:hAnsi="Arial" w:cs="Arial"/>
          <w:color w:val="000000" w:themeColor="text1" w:themeTint="FF" w:themeShade="FF"/>
          <w:shd w:val="clear" w:color="auto" w:fill="FFFFFF"/>
        </w:rPr>
      </w:pPr>
      <w:r w:rsidRPr="5CA6A91A" w:rsidR="00963BC4">
        <w:rPr>
          <w:rFonts w:ascii="Arial" w:hAnsi="Arial" w:cs="Arial"/>
          <w:color w:val="000000" w:themeColor="text1" w:themeTint="FF" w:themeShade="FF"/>
          <w:shd w:val="clear" w:color="auto" w:fill="FFFFFF"/>
        </w:rPr>
        <w:t xml:space="preserve">The political and legal situation in China does not solely influence the Tesla strategy but through decisions on the ownership, localisation, </w:t>
      </w:r>
      <w:r w:rsidRPr="5CA6A91A" w:rsidR="00963BC4">
        <w:rPr>
          <w:rFonts w:ascii="Arial" w:hAnsi="Arial" w:cs="Arial"/>
          <w:color w:val="000000" w:themeColor="text1" w:themeTint="FF" w:themeShade="FF"/>
          <w:shd w:val="clear" w:color="auto" w:fill="FFFFFF"/>
        </w:rPr>
        <w:t xml:space="preserve">compliance</w:t>
      </w:r>
      <w:r w:rsidRPr="5CA6A91A" w:rsidR="00963BC4">
        <w:rPr>
          <w:rFonts w:ascii="Arial" w:hAnsi="Arial" w:cs="Arial"/>
          <w:color w:val="000000" w:themeColor="text1" w:themeTint="FF" w:themeShade="FF"/>
          <w:shd w:val="clear" w:color="auto" w:fill="FFFFFF"/>
        </w:rPr>
        <w:t xml:space="preserve"> and operational control. The favourable environment of the pro-NEV policy in China </w:t>
      </w:r>
      <w:r w:rsidRPr="5CA6A91A" w:rsidR="00963BC4">
        <w:rPr>
          <w:rFonts w:ascii="Arial" w:hAnsi="Arial" w:cs="Arial"/>
          <w:color w:val="000000" w:themeColor="text1" w:themeTint="FF" w:themeShade="FF"/>
          <w:shd w:val="clear" w:color="auto" w:fill="FFFFFF"/>
        </w:rPr>
        <w:t xml:space="preserve">facilitated</w:t>
      </w:r>
      <w:r w:rsidRPr="5CA6A91A" w:rsidR="00963BC4">
        <w:rPr>
          <w:rFonts w:ascii="Arial" w:hAnsi="Arial" w:cs="Arial"/>
          <w:color w:val="000000" w:themeColor="text1" w:themeTint="FF" w:themeShade="FF"/>
          <w:shd w:val="clear" w:color="auto" w:fill="FFFFFF"/>
        </w:rPr>
        <w:t xml:space="preserve"> the growth of Tesla politically by promoting the demand of EVs via tax exemptions, the implementation of charging infrastructure, and the general policy of industrial upgrading (ICCT, 2020; IEA, 2025). The strategy of Tesla in reaction was to invest in local massive production with Gigafactory Shanghai, where it could control production, technological assimilation, and quality control instead of </w:t>
      </w:r>
      <w:r w:rsidRPr="5CA6A91A" w:rsidR="00963BC4">
        <w:rPr>
          <w:rFonts w:ascii="Arial" w:hAnsi="Arial" w:cs="Arial"/>
          <w:color w:val="000000" w:themeColor="text1" w:themeTint="FF" w:themeShade="FF"/>
          <w:shd w:val="clear" w:color="auto" w:fill="FFFFFF"/>
        </w:rPr>
        <w:t xml:space="preserve">leveraging</w:t>
      </w:r>
      <w:r w:rsidRPr="5CA6A91A" w:rsidR="00963BC4">
        <w:rPr>
          <w:rFonts w:ascii="Arial" w:hAnsi="Arial" w:cs="Arial"/>
          <w:color w:val="000000" w:themeColor="text1" w:themeTint="FF" w:themeShade="FF"/>
          <w:shd w:val="clear" w:color="auto" w:fill="FFFFFF"/>
        </w:rPr>
        <w:t xml:space="preserve"> a traditional joint venture (Cooke, 2020; </w:t>
      </w:r>
      <w:r w:rsidRPr="5CA6A91A" w:rsidR="00963BC4">
        <w:rPr>
          <w:rFonts w:ascii="Arial" w:hAnsi="Arial" w:cs="Arial"/>
          <w:color w:val="000000" w:themeColor="text1" w:themeTint="FF" w:themeShade="FF"/>
          <w:shd w:val="clear" w:color="auto" w:fill="FFFFFF"/>
        </w:rPr>
        <w:t>Daxue</w:t>
      </w:r>
      <w:r w:rsidRPr="5CA6A91A" w:rsidR="00963BC4">
        <w:rPr>
          <w:rFonts w:ascii="Arial" w:hAnsi="Arial" w:cs="Arial"/>
          <w:color w:val="000000" w:themeColor="text1" w:themeTint="FF" w:themeShade="FF"/>
          <w:shd w:val="clear" w:color="auto" w:fill="FFFFFF"/>
        </w:rPr>
        <w:t xml:space="preserve"> Consulting, 2024). The quantifiable result was that Shanghai became not only a primary production hub of the Chinese market but also an export centre, which tightened the cost leadership of Tesla and made it reliant less on production hubs in the US (Cooke, 2020; Reuters, 2025).</w:t>
      </w:r>
    </w:p>
    <w:p w:rsidRPr="00963BC4" w:rsidR="00963BC4" w:rsidP="5CA6A91A" w:rsidRDefault="00963BC4" w14:paraId="21B348C8" w14:textId="58EAA2E4">
      <w:pPr>
        <w:rPr>
          <w:rFonts w:ascii="Arial" w:hAnsi="Arial" w:cs="Arial"/>
          <w:color w:val="000000" w:themeColor="text1" w:themeTint="FF" w:themeShade="FF"/>
          <w:shd w:val="clear" w:color="auto" w:fill="FFFFFF"/>
        </w:rPr>
      </w:pPr>
      <w:r w:rsidRPr="5CA6A91A" w:rsidR="00963BC4">
        <w:rPr>
          <w:rFonts w:ascii="Arial" w:hAnsi="Arial" w:cs="Arial"/>
          <w:color w:val="000000" w:themeColor="text1" w:themeTint="FF" w:themeShade="FF"/>
          <w:shd w:val="clear" w:color="auto" w:fill="FFFFFF"/>
        </w:rPr>
        <w:t xml:space="preserve">Nonetheless, the legal environment puts a limit on which Tesla is directly hindered in its business model. The governmental control of data security, autonomous vehicles, mapping, and data flows across the border is especially significant due to the fact that the competitive edge of Tesla is partially attributed to the integration of software and data-driven features of a vehicle (Chen et al., 2024; Hill, 2023). To ensure compliance arrangements such as localised data governance and better alignment with Chinese regulatory expectations have </w:t>
      </w:r>
      <w:r w:rsidRPr="5CA6A91A" w:rsidR="00963BC4">
        <w:rPr>
          <w:rFonts w:ascii="Arial" w:hAnsi="Arial" w:cs="Arial"/>
          <w:color w:val="000000" w:themeColor="text1" w:themeTint="FF" w:themeShade="FF"/>
          <w:shd w:val="clear" w:color="auto" w:fill="FFFFFF"/>
        </w:rPr>
        <w:t xml:space="preserve">been required</w:t>
      </w:r>
      <w:r w:rsidRPr="5CA6A91A" w:rsidR="00963BC4">
        <w:rPr>
          <w:rFonts w:ascii="Arial" w:hAnsi="Arial" w:cs="Arial"/>
          <w:color w:val="000000" w:themeColor="text1" w:themeTint="FF" w:themeShade="FF"/>
          <w:shd w:val="clear" w:color="auto" w:fill="FFFFFF"/>
        </w:rPr>
        <w:t xml:space="preserve"> to enable Tesla to avoid being derailed in its connected-vehicle operations. The strategic implication of this is that the software-based ownership benefits of Tesla cannot be transferred into China as is. Compliance increases the complexity of operations and can restrict the standardisation of global systems at Tesla. </w:t>
      </w:r>
    </w:p>
    <w:p w:rsidRPr="00AC7C3A" w:rsidR="00963BC4" w:rsidP="00963BC4" w:rsidRDefault="00963BC4" w14:paraId="75FBD22E" w14:textId="5123B24D">
      <w:pPr>
        <w:pStyle w:val="Caption"/>
        <w:rPr>
          <w:rFonts w:ascii="Arial" w:hAnsi="Arial" w:cs="Arial"/>
          <w:bCs/>
          <w:lang w:val="en-US"/>
        </w:rPr>
      </w:pPr>
      <w:r w:rsidRPr="00963BC4">
        <w:rPr>
          <w:rFonts w:ascii="Arial" w:hAnsi="Arial" w:cs="Arial"/>
          <w:b w:val="0"/>
          <w:bCs/>
          <w:lang w:val="en-US"/>
        </w:rPr>
        <w:t xml:space="preserve"> </w:t>
      </w:r>
      <w:r w:rsidRPr="00963BC4">
        <w:rPr>
          <w:rFonts w:ascii="Arial" w:hAnsi="Arial" w:cs="Arial"/>
        </w:rPr>
        <w:t xml:space="preserve">Table </w:t>
      </w:r>
      <w:r w:rsidRPr="00963BC4">
        <w:rPr>
          <w:rFonts w:ascii="Arial" w:hAnsi="Arial" w:cs="Arial"/>
        </w:rPr>
        <w:fldChar w:fldCharType="begin"/>
      </w:r>
      <w:r w:rsidRPr="00963BC4">
        <w:rPr>
          <w:rFonts w:ascii="Arial" w:hAnsi="Arial" w:cs="Arial"/>
        </w:rPr>
        <w:instrText xml:space="preserve"> SEQ Table \* ARABIC </w:instrText>
      </w:r>
      <w:r w:rsidRPr="00963BC4">
        <w:rPr>
          <w:rFonts w:ascii="Arial" w:hAnsi="Arial" w:cs="Arial"/>
        </w:rPr>
        <w:fldChar w:fldCharType="separate"/>
      </w:r>
      <w:r w:rsidRPr="00963BC4">
        <w:rPr>
          <w:rFonts w:ascii="Arial" w:hAnsi="Arial" w:cs="Arial"/>
        </w:rPr>
        <w:t>4</w:t>
      </w:r>
      <w:r w:rsidRPr="00963BC4">
        <w:rPr>
          <w:rFonts w:ascii="Arial" w:hAnsi="Arial" w:cs="Arial"/>
        </w:rPr>
        <w:fldChar w:fldCharType="end"/>
      </w:r>
      <w:r w:rsidRPr="00963BC4">
        <w:rPr>
          <w:rFonts w:ascii="Arial" w:hAnsi="Arial" w:cs="Arial"/>
        </w:rPr>
        <w:t>. Political and legal conditions: Tesla-specific mechanisms and outcomes in China</w:t>
      </w:r>
    </w:p>
    <w:tbl>
      <w:tblPr>
        <w:tblStyle w:val="TableGrid1"/>
        <w:tblW w:w="0" w:type="auto"/>
        <w:tblLook w:val="04A0" w:firstRow="1" w:lastRow="0" w:firstColumn="1" w:lastColumn="0" w:noHBand="0" w:noVBand="1"/>
      </w:tblPr>
      <w:tblGrid>
        <w:gridCol w:w="3060"/>
        <w:gridCol w:w="2524"/>
        <w:gridCol w:w="3412"/>
      </w:tblGrid>
      <w:tr w:rsidRPr="00AC7C3A" w:rsidR="00963BC4" w:rsidTr="00963BC4" w14:paraId="5E304CDC" w14:textId="77777777">
        <w:trPr>
          <w:cnfStyle w:val="100000000000" w:firstRow="1" w:lastRow="0" w:firstColumn="0" w:lastColumn="0" w:oddVBand="0" w:evenVBand="0" w:oddHBand="0" w:evenHBand="0" w:firstRowFirstColumn="0" w:firstRowLastColumn="0" w:lastRowFirstColumn="0" w:lastRowLastColumn="0"/>
        </w:trPr>
        <w:tc>
          <w:tcPr>
            <w:tcW w:w="0" w:type="auto"/>
            <w:hideMark/>
          </w:tcPr>
          <w:p w:rsidRPr="00AC7C3A" w:rsidR="00963BC4" w:rsidP="00842269" w:rsidRDefault="00963BC4" w14:paraId="58BB3162" w14:textId="77777777">
            <w:pPr>
              <w:rPr>
                <w:rFonts w:ascii="Arial" w:hAnsi="Arial" w:cs="Arial"/>
                <w:bCs/>
                <w:lang w:val="en-US"/>
              </w:rPr>
            </w:pPr>
            <w:r w:rsidRPr="00AC7C3A">
              <w:rPr>
                <w:rFonts w:ascii="Arial" w:hAnsi="Arial" w:cs="Arial"/>
                <w:bCs/>
                <w:lang w:val="en-US"/>
              </w:rPr>
              <w:t>Condition</w:t>
            </w:r>
          </w:p>
        </w:tc>
        <w:tc>
          <w:tcPr>
            <w:tcW w:w="0" w:type="auto"/>
            <w:hideMark/>
          </w:tcPr>
          <w:p w:rsidRPr="00AC7C3A" w:rsidR="00963BC4" w:rsidP="00842269" w:rsidRDefault="00963BC4" w14:paraId="2062746A" w14:textId="77777777">
            <w:pPr>
              <w:rPr>
                <w:rFonts w:ascii="Arial" w:hAnsi="Arial" w:cs="Arial"/>
                <w:bCs/>
                <w:lang w:val="en-US"/>
              </w:rPr>
            </w:pPr>
            <w:r w:rsidRPr="00AC7C3A">
              <w:rPr>
                <w:rFonts w:ascii="Arial" w:hAnsi="Arial" w:cs="Arial"/>
                <w:bCs/>
                <w:lang w:val="en-US"/>
              </w:rPr>
              <w:t>Tesla’s strategic response</w:t>
            </w:r>
          </w:p>
        </w:tc>
        <w:tc>
          <w:tcPr>
            <w:tcW w:w="0" w:type="auto"/>
            <w:hideMark/>
          </w:tcPr>
          <w:p w:rsidRPr="00AC7C3A" w:rsidR="00963BC4" w:rsidP="00842269" w:rsidRDefault="00963BC4" w14:paraId="7C18CAFD" w14:textId="77777777">
            <w:pPr>
              <w:rPr>
                <w:rFonts w:ascii="Arial" w:hAnsi="Arial" w:cs="Arial"/>
                <w:bCs/>
                <w:lang w:val="en-US"/>
              </w:rPr>
            </w:pPr>
            <w:r w:rsidRPr="00AC7C3A">
              <w:rPr>
                <w:rFonts w:ascii="Arial" w:hAnsi="Arial" w:cs="Arial"/>
                <w:bCs/>
                <w:lang w:val="en-US"/>
              </w:rPr>
              <w:t>Measurable outcome / implication</w:t>
            </w:r>
          </w:p>
        </w:tc>
      </w:tr>
      <w:tr w:rsidRPr="00AC7C3A" w:rsidR="00963BC4" w:rsidTr="00963BC4" w14:paraId="0416D745" w14:textId="77777777">
        <w:tc>
          <w:tcPr>
            <w:tcW w:w="0" w:type="auto"/>
            <w:hideMark/>
          </w:tcPr>
          <w:p w:rsidRPr="00AC7C3A" w:rsidR="00963BC4" w:rsidP="00842269" w:rsidRDefault="00963BC4" w14:paraId="7E0184FC" w14:textId="77777777">
            <w:pPr>
              <w:rPr>
                <w:rFonts w:ascii="Arial" w:hAnsi="Arial" w:cs="Arial"/>
                <w:lang w:val="en-US"/>
              </w:rPr>
            </w:pPr>
            <w:r w:rsidRPr="00AC7C3A">
              <w:rPr>
                <w:rFonts w:ascii="Arial" w:hAnsi="Arial" w:cs="Arial"/>
                <w:lang w:val="en-US"/>
              </w:rPr>
              <w:t>Pro-NEV industrial policy and local government support (ICCT, 2020; Chen et al., 2024)</w:t>
            </w:r>
          </w:p>
        </w:tc>
        <w:tc>
          <w:tcPr>
            <w:tcW w:w="0" w:type="auto"/>
            <w:hideMark/>
          </w:tcPr>
          <w:p w:rsidRPr="00AC7C3A" w:rsidR="00963BC4" w:rsidP="00842269" w:rsidRDefault="00963BC4" w14:paraId="1B57BB6C" w14:textId="77777777">
            <w:pPr>
              <w:rPr>
                <w:rFonts w:ascii="Arial" w:hAnsi="Arial" w:cs="Arial"/>
                <w:lang w:val="en-US"/>
              </w:rPr>
            </w:pPr>
            <w:r w:rsidRPr="00AC7C3A">
              <w:rPr>
                <w:rFonts w:ascii="Arial" w:hAnsi="Arial" w:cs="Arial"/>
                <w:lang w:val="en-US"/>
              </w:rPr>
              <w:t>Built and scaled Gigafactory Shanghai as a wholly owned plant</w:t>
            </w:r>
          </w:p>
        </w:tc>
        <w:tc>
          <w:tcPr>
            <w:tcW w:w="0" w:type="auto"/>
            <w:hideMark/>
          </w:tcPr>
          <w:p w:rsidRPr="00AC7C3A" w:rsidR="00963BC4" w:rsidP="00842269" w:rsidRDefault="00963BC4" w14:paraId="0FBDEC17" w14:textId="77777777">
            <w:pPr>
              <w:rPr>
                <w:rFonts w:ascii="Arial" w:hAnsi="Arial" w:cs="Arial"/>
                <w:lang w:val="en-US"/>
              </w:rPr>
            </w:pPr>
            <w:r w:rsidRPr="00AC7C3A">
              <w:rPr>
                <w:rFonts w:ascii="Arial" w:hAnsi="Arial" w:cs="Arial"/>
                <w:lang w:val="en-US"/>
              </w:rPr>
              <w:t xml:space="preserve">Faster production scale-up and stronger local cost position (Cooke, 2020; </w:t>
            </w:r>
            <w:proofErr w:type="spellStart"/>
            <w:r w:rsidRPr="00AC7C3A">
              <w:rPr>
                <w:rFonts w:ascii="Arial" w:hAnsi="Arial" w:cs="Arial"/>
                <w:lang w:val="en-US"/>
              </w:rPr>
              <w:t>Daxue</w:t>
            </w:r>
            <w:proofErr w:type="spellEnd"/>
            <w:r w:rsidRPr="00AC7C3A">
              <w:rPr>
                <w:rFonts w:ascii="Arial" w:hAnsi="Arial" w:cs="Arial"/>
                <w:lang w:val="en-US"/>
              </w:rPr>
              <w:t xml:space="preserve"> Consulting, 2024)</w:t>
            </w:r>
          </w:p>
        </w:tc>
      </w:tr>
      <w:tr w:rsidRPr="00AC7C3A" w:rsidR="00963BC4" w:rsidTr="00963BC4" w14:paraId="2268C191" w14:textId="77777777">
        <w:tc>
          <w:tcPr>
            <w:tcW w:w="0" w:type="auto"/>
            <w:hideMark/>
          </w:tcPr>
          <w:p w:rsidRPr="00AC7C3A" w:rsidR="00963BC4" w:rsidP="00842269" w:rsidRDefault="00963BC4" w14:paraId="7B4D2C48" w14:textId="77777777">
            <w:pPr>
              <w:rPr>
                <w:rFonts w:ascii="Arial" w:hAnsi="Arial" w:cs="Arial"/>
                <w:lang w:val="en-US"/>
              </w:rPr>
            </w:pPr>
            <w:r w:rsidRPr="00AC7C3A">
              <w:rPr>
                <w:rFonts w:ascii="Arial" w:hAnsi="Arial" w:cs="Arial"/>
                <w:lang w:val="en-US"/>
              </w:rPr>
              <w:t xml:space="preserve">Support for high-tech FDI and </w:t>
            </w:r>
            <w:proofErr w:type="spellStart"/>
            <w:r w:rsidRPr="00AC7C3A">
              <w:rPr>
                <w:rFonts w:ascii="Arial" w:hAnsi="Arial" w:cs="Arial"/>
                <w:lang w:val="en-US"/>
              </w:rPr>
              <w:t>favourable</w:t>
            </w:r>
            <w:proofErr w:type="spellEnd"/>
            <w:r w:rsidRPr="00AC7C3A">
              <w:rPr>
                <w:rFonts w:ascii="Arial" w:hAnsi="Arial" w:cs="Arial"/>
                <w:lang w:val="en-US"/>
              </w:rPr>
              <w:t xml:space="preserve"> local financing conditions</w:t>
            </w:r>
          </w:p>
        </w:tc>
        <w:tc>
          <w:tcPr>
            <w:tcW w:w="0" w:type="auto"/>
            <w:hideMark/>
          </w:tcPr>
          <w:p w:rsidRPr="00AC7C3A" w:rsidR="00963BC4" w:rsidP="00842269" w:rsidRDefault="00963BC4" w14:paraId="5AA8CB87" w14:textId="77777777">
            <w:pPr>
              <w:rPr>
                <w:rFonts w:ascii="Arial" w:hAnsi="Arial" w:cs="Arial"/>
                <w:lang w:val="en-US"/>
              </w:rPr>
            </w:pPr>
            <w:r w:rsidRPr="00AC7C3A">
              <w:rPr>
                <w:rFonts w:ascii="Arial" w:hAnsi="Arial" w:cs="Arial"/>
                <w:lang w:val="en-US"/>
              </w:rPr>
              <w:t>Retained ownership and operational control rather than entering a JV</w:t>
            </w:r>
          </w:p>
        </w:tc>
        <w:tc>
          <w:tcPr>
            <w:tcW w:w="0" w:type="auto"/>
            <w:hideMark/>
          </w:tcPr>
          <w:p w:rsidRPr="00AC7C3A" w:rsidR="00963BC4" w:rsidP="00842269" w:rsidRDefault="00963BC4" w14:paraId="1894E02C" w14:textId="77777777">
            <w:pPr>
              <w:rPr>
                <w:rFonts w:ascii="Arial" w:hAnsi="Arial" w:cs="Arial"/>
                <w:lang w:val="en-US"/>
              </w:rPr>
            </w:pPr>
            <w:r w:rsidRPr="00AC7C3A">
              <w:rPr>
                <w:rFonts w:ascii="Arial" w:hAnsi="Arial" w:cs="Arial"/>
                <w:lang w:val="en-US"/>
              </w:rPr>
              <w:t>Greater protection of process integration and brand control</w:t>
            </w:r>
          </w:p>
        </w:tc>
      </w:tr>
      <w:tr w:rsidRPr="00AC7C3A" w:rsidR="00963BC4" w:rsidTr="00963BC4" w14:paraId="31DCF1F7" w14:textId="77777777">
        <w:tc>
          <w:tcPr>
            <w:tcW w:w="0" w:type="auto"/>
            <w:hideMark/>
          </w:tcPr>
          <w:p w:rsidRPr="00AC7C3A" w:rsidR="00963BC4" w:rsidP="00842269" w:rsidRDefault="00963BC4" w14:paraId="27D69964" w14:textId="77777777">
            <w:pPr>
              <w:rPr>
                <w:rFonts w:ascii="Arial" w:hAnsi="Arial" w:cs="Arial"/>
                <w:lang w:val="en-US"/>
              </w:rPr>
            </w:pPr>
            <w:r w:rsidRPr="00AC7C3A">
              <w:rPr>
                <w:rFonts w:ascii="Arial" w:hAnsi="Arial" w:cs="Arial"/>
                <w:lang w:val="en-US"/>
              </w:rPr>
              <w:t>Tightening data, cybersecurity, and connected-vehicle regulation (Chen et al., 2024)</w:t>
            </w:r>
          </w:p>
        </w:tc>
        <w:tc>
          <w:tcPr>
            <w:tcW w:w="0" w:type="auto"/>
            <w:hideMark/>
          </w:tcPr>
          <w:p w:rsidRPr="00AC7C3A" w:rsidR="00963BC4" w:rsidP="00842269" w:rsidRDefault="00963BC4" w14:paraId="6EC75044" w14:textId="77777777">
            <w:pPr>
              <w:rPr>
                <w:rFonts w:ascii="Arial" w:hAnsi="Arial" w:cs="Arial"/>
                <w:lang w:val="en-US"/>
              </w:rPr>
            </w:pPr>
            <w:r w:rsidRPr="00AC7C3A">
              <w:rPr>
                <w:rFonts w:ascii="Arial" w:hAnsi="Arial" w:cs="Arial"/>
                <w:lang w:val="en-US"/>
              </w:rPr>
              <w:t>Adjusted compliance and local data-handling practices</w:t>
            </w:r>
          </w:p>
        </w:tc>
        <w:tc>
          <w:tcPr>
            <w:tcW w:w="0" w:type="auto"/>
            <w:hideMark/>
          </w:tcPr>
          <w:p w:rsidRPr="00AC7C3A" w:rsidR="00963BC4" w:rsidP="00842269" w:rsidRDefault="00963BC4" w14:paraId="6F5F30B8" w14:textId="77777777">
            <w:pPr>
              <w:rPr>
                <w:rFonts w:ascii="Arial" w:hAnsi="Arial" w:cs="Arial"/>
                <w:lang w:val="en-US"/>
              </w:rPr>
            </w:pPr>
            <w:r w:rsidRPr="00AC7C3A">
              <w:rPr>
                <w:rFonts w:ascii="Arial" w:hAnsi="Arial" w:cs="Arial"/>
                <w:lang w:val="en-US"/>
              </w:rPr>
              <w:t xml:space="preserve">Higher compliance costs and reduced </w:t>
            </w:r>
            <w:proofErr w:type="spellStart"/>
            <w:r w:rsidRPr="00AC7C3A">
              <w:rPr>
                <w:rFonts w:ascii="Arial" w:hAnsi="Arial" w:cs="Arial"/>
                <w:lang w:val="en-US"/>
              </w:rPr>
              <w:t>standardisation</w:t>
            </w:r>
            <w:proofErr w:type="spellEnd"/>
            <w:r w:rsidRPr="00AC7C3A">
              <w:rPr>
                <w:rFonts w:ascii="Arial" w:hAnsi="Arial" w:cs="Arial"/>
                <w:lang w:val="en-US"/>
              </w:rPr>
              <w:t xml:space="preserve"> across markets</w:t>
            </w:r>
          </w:p>
        </w:tc>
      </w:tr>
      <w:tr w:rsidRPr="00AC7C3A" w:rsidR="00963BC4" w:rsidTr="00963BC4" w14:paraId="658A1FA4" w14:textId="77777777">
        <w:tc>
          <w:tcPr>
            <w:tcW w:w="0" w:type="auto"/>
            <w:hideMark/>
          </w:tcPr>
          <w:p w:rsidRPr="00AC7C3A" w:rsidR="00963BC4" w:rsidP="00842269" w:rsidRDefault="00963BC4" w14:paraId="043B5299" w14:textId="77777777">
            <w:pPr>
              <w:rPr>
                <w:rFonts w:ascii="Arial" w:hAnsi="Arial" w:cs="Arial"/>
                <w:lang w:val="en-US"/>
              </w:rPr>
            </w:pPr>
            <w:r w:rsidRPr="00AC7C3A">
              <w:rPr>
                <w:rFonts w:ascii="Arial" w:hAnsi="Arial" w:cs="Arial"/>
                <w:lang w:val="en-US"/>
              </w:rPr>
              <w:t>Geopolitical and regulatory uncertainty</w:t>
            </w:r>
          </w:p>
        </w:tc>
        <w:tc>
          <w:tcPr>
            <w:tcW w:w="0" w:type="auto"/>
            <w:hideMark/>
          </w:tcPr>
          <w:p w:rsidRPr="00AC7C3A" w:rsidR="00963BC4" w:rsidP="00842269" w:rsidRDefault="00963BC4" w14:paraId="72DC5E18" w14:textId="77777777">
            <w:pPr>
              <w:rPr>
                <w:rFonts w:ascii="Arial" w:hAnsi="Arial" w:cs="Arial"/>
                <w:lang w:val="en-US"/>
              </w:rPr>
            </w:pPr>
            <w:r w:rsidRPr="00AC7C3A">
              <w:rPr>
                <w:rFonts w:ascii="Arial" w:hAnsi="Arial" w:cs="Arial"/>
                <w:lang w:val="en-US"/>
              </w:rPr>
              <w:t>Used China both as domestic base and export hub</w:t>
            </w:r>
          </w:p>
        </w:tc>
        <w:tc>
          <w:tcPr>
            <w:tcW w:w="0" w:type="auto"/>
            <w:hideMark/>
          </w:tcPr>
          <w:p w:rsidRPr="00AC7C3A" w:rsidR="00963BC4" w:rsidP="00842269" w:rsidRDefault="00963BC4" w14:paraId="0B12A67F" w14:textId="77777777">
            <w:pPr>
              <w:rPr>
                <w:rFonts w:ascii="Arial" w:hAnsi="Arial" w:cs="Arial"/>
                <w:lang w:val="en-US"/>
              </w:rPr>
            </w:pPr>
            <w:r w:rsidRPr="00AC7C3A">
              <w:rPr>
                <w:rFonts w:ascii="Arial" w:hAnsi="Arial" w:cs="Arial"/>
                <w:lang w:val="en-US"/>
              </w:rPr>
              <w:t>Greater scale efficiency, but higher exposure to regulatory and political risk</w:t>
            </w:r>
          </w:p>
        </w:tc>
      </w:tr>
    </w:tbl>
    <w:p w:rsidRPr="00963BC4" w:rsidR="00963BC4" w:rsidP="00963BC4" w:rsidRDefault="00963BC4" w14:paraId="7EECB7AF" w14:textId="77777777">
      <w:pPr>
        <w:rPr>
          <w:rFonts w:ascii="Arial" w:hAnsi="Arial" w:cs="Arial"/>
          <w:b/>
          <w:bCs/>
          <w:lang w:val="en-US"/>
        </w:rPr>
      </w:pPr>
    </w:p>
    <w:p w:rsidRPr="00963BC4" w:rsidR="00963BC4" w:rsidP="5CA6A91A" w:rsidRDefault="00963BC4" w14:paraId="5A4F9DFF" w14:textId="77777777">
      <w:pPr>
        <w:pStyle w:val="Heading2"/>
        <w:rPr>
          <w:rFonts w:ascii="Arial" w:hAnsi="Arial" w:cs="Arial"/>
          <w:color w:val="000000" w:themeColor="text1" w:themeTint="FF" w:themeShade="FF"/>
        </w:rPr>
      </w:pPr>
      <w:bookmarkStart w:name="_Toc224702567" w:id="19"/>
      <w:r w:rsidRPr="5CA6A91A" w:rsidR="00963BC4">
        <w:rPr>
          <w:rFonts w:ascii="Arial" w:hAnsi="Arial" w:cs="Arial"/>
          <w:color w:val="000000" w:themeColor="text1" w:themeTint="FF" w:themeShade="FF"/>
        </w:rPr>
        <w:t>4.3 Economic and Competitive Factors</w:t>
      </w:r>
      <w:bookmarkEnd w:id="19"/>
    </w:p>
    <w:p w:rsidRPr="00963BC4" w:rsidR="00963BC4" w:rsidP="5CA6A91A" w:rsidRDefault="00963BC4" w14:paraId="3B6D2F5B" w14:textId="77777777">
      <w:pPr>
        <w:rPr>
          <w:rFonts w:ascii="Arial" w:hAnsi="Arial" w:cs="Arial"/>
          <w:color w:val="000000" w:themeColor="text1" w:themeTint="FF" w:themeShade="FF"/>
          <w:shd w:val="clear" w:color="auto" w:fill="FFFFFF"/>
        </w:rPr>
      </w:pPr>
      <w:r w:rsidRPr="5CA6A91A" w:rsidR="00963BC4">
        <w:rPr>
          <w:rFonts w:ascii="Arial" w:hAnsi="Arial" w:cs="Arial"/>
          <w:color w:val="000000" w:themeColor="text1" w:themeTint="FF" w:themeShade="FF"/>
          <w:shd w:val="clear" w:color="auto" w:fill="FFFFFF"/>
        </w:rPr>
        <w:t xml:space="preserve">Tesla benefits of scale, access to suppliers, and export efficiency are the three primary advantages of economic China. To start with, the Chinese EV market is large that it can accommodate mass production that will enhance the utilisation of plants and reduce the unit cost. Second, being close to battery manufacturing companies, parts suppliers, and manufacturing </w:t>
      </w:r>
      <w:r w:rsidRPr="5CA6A91A" w:rsidR="00963BC4">
        <w:rPr>
          <w:rFonts w:ascii="Arial" w:hAnsi="Arial" w:cs="Arial"/>
          <w:color w:val="000000" w:themeColor="text1" w:themeTint="FF" w:themeShade="FF"/>
          <w:shd w:val="clear" w:color="auto" w:fill="FFFFFF"/>
        </w:rPr>
        <w:t xml:space="preserve">logistics</w:t>
      </w:r>
      <w:r w:rsidRPr="5CA6A91A" w:rsidR="00963BC4">
        <w:rPr>
          <w:rFonts w:ascii="Arial" w:hAnsi="Arial" w:cs="Arial"/>
          <w:color w:val="000000" w:themeColor="text1" w:themeTint="FF" w:themeShade="FF"/>
          <w:shd w:val="clear" w:color="auto" w:fill="FFFFFF"/>
        </w:rPr>
        <w:t xml:space="preserve"> systems, Tesla will reduce lead times and enable quicker response to regional demand (Hu et al., 2022; </w:t>
      </w:r>
      <w:r w:rsidRPr="5CA6A91A" w:rsidR="00963BC4">
        <w:rPr>
          <w:rFonts w:ascii="Arial" w:hAnsi="Arial" w:cs="Arial"/>
          <w:color w:val="000000" w:themeColor="text1" w:themeTint="FF" w:themeShade="FF"/>
          <w:shd w:val="clear" w:color="auto" w:fill="FFFFFF"/>
        </w:rPr>
        <w:t>Aranca</w:t>
      </w:r>
      <w:r w:rsidRPr="5CA6A91A" w:rsidR="00963BC4">
        <w:rPr>
          <w:rFonts w:ascii="Arial" w:hAnsi="Arial" w:cs="Arial"/>
          <w:color w:val="000000" w:themeColor="text1" w:themeTint="FF" w:themeShade="FF"/>
          <w:shd w:val="clear" w:color="auto" w:fill="FFFFFF"/>
        </w:rPr>
        <w:t xml:space="preserve">, 2025). Third, Shanghai has been used by Tesla not only to reach Chinese buyers but also to provide other markets, which is why the plant has become a strategic part of Tesla in the global manufacturing </w:t>
      </w:r>
      <w:r w:rsidRPr="5CA6A91A" w:rsidR="00963BC4">
        <w:rPr>
          <w:rFonts w:ascii="Arial" w:hAnsi="Arial" w:cs="Arial"/>
          <w:color w:val="000000" w:themeColor="text1" w:themeTint="FF" w:themeShade="FF"/>
          <w:shd w:val="clear" w:color="auto" w:fill="FFFFFF"/>
        </w:rPr>
        <w:t>footPrint</w:t>
      </w:r>
      <w:r w:rsidRPr="5CA6A91A" w:rsidR="00963BC4">
        <w:rPr>
          <w:rFonts w:ascii="Arial" w:hAnsi="Arial" w:cs="Arial"/>
          <w:color w:val="000000" w:themeColor="text1" w:themeTint="FF" w:themeShade="FF"/>
          <w:shd w:val="clear" w:color="auto" w:fill="FFFFFF"/>
        </w:rPr>
        <w:t xml:space="preserve"> (Cooke, 2020; Henry, 2026).</w:t>
      </w:r>
    </w:p>
    <w:p w:rsidRPr="00963BC4" w:rsidR="00963BC4" w:rsidP="5CA6A91A" w:rsidRDefault="00963BC4" w14:paraId="66BE893A" w14:textId="77777777">
      <w:pPr>
        <w:rPr>
          <w:rFonts w:ascii="Arial" w:hAnsi="Arial" w:cs="Arial"/>
          <w:color w:val="000000" w:themeColor="text1" w:themeTint="FF" w:themeShade="FF"/>
          <w:shd w:val="clear" w:color="auto" w:fill="FFFFFF"/>
        </w:rPr>
      </w:pPr>
      <w:r w:rsidRPr="5CA6A91A" w:rsidR="00963BC4">
        <w:rPr>
          <w:rFonts w:ascii="Arial" w:hAnsi="Arial" w:cs="Arial"/>
          <w:color w:val="000000" w:themeColor="text1" w:themeTint="FF" w:themeShade="FF"/>
          <w:shd w:val="clear" w:color="auto" w:fill="FFFFFF"/>
        </w:rPr>
        <w:t xml:space="preserve">However, such economic benefits have proved to be more difficult to transform into long-lasting competitive edge. Aggressive model-refresh, powerful digital interface, and pricing agility have helped domestic companies, in particular BYD and other smart-EV competitors, </w:t>
      </w:r>
      <w:r w:rsidRPr="5CA6A91A" w:rsidR="00963BC4">
        <w:rPr>
          <w:rFonts w:ascii="Arial" w:hAnsi="Arial" w:cs="Arial"/>
          <w:color w:val="000000" w:themeColor="text1" w:themeTint="FF" w:themeShade="FF"/>
          <w:shd w:val="clear" w:color="auto" w:fill="FFFFFF"/>
        </w:rPr>
        <w:t>consolidate</w:t>
      </w:r>
      <w:r w:rsidRPr="5CA6A91A" w:rsidR="00963BC4">
        <w:rPr>
          <w:rFonts w:ascii="Arial" w:hAnsi="Arial" w:cs="Arial"/>
          <w:color w:val="000000" w:themeColor="text1" w:themeTint="FF" w:themeShade="FF"/>
          <w:shd w:val="clear" w:color="auto" w:fill="FFFFFF"/>
        </w:rPr>
        <w:t xml:space="preserve"> their positions (Arthur D. Little, 2024; Chen, 2024). Tesla has reacted with multiple price cuts and increased localisation, but the quantitatively measurable result has been ambivalent: absolute sales in China have been stable, relative market share has been put under pressure (Kindig, 2023; Reuters, 2025). The strategic upshot of such a downturn is that Tesla becomes more vulnerable to the forces of commoditisation, feature-equity, and ecosystem disfavour in a market where local competitors can easily replicate the core EV functionality and surpass Tesla in local online integration and flexibility in pricing.</w:t>
      </w:r>
    </w:p>
    <w:p w:rsidRPr="00AC7C3A" w:rsidR="00963BC4" w:rsidP="00963BC4" w:rsidRDefault="00963BC4" w14:paraId="36A367BD" w14:textId="55CE286C">
      <w:pPr>
        <w:pStyle w:val="Caption"/>
        <w:rPr>
          <w:rFonts w:ascii="Arial" w:hAnsi="Arial" w:cs="Arial"/>
          <w:bCs/>
          <w:lang w:val="en-US"/>
        </w:rPr>
      </w:pPr>
      <w:r w:rsidRPr="00963BC4">
        <w:rPr>
          <w:rFonts w:ascii="Arial" w:hAnsi="Arial" w:cs="Arial"/>
          <w:b w:val="0"/>
          <w:bCs/>
          <w:lang w:val="en-US"/>
        </w:rPr>
        <w:t xml:space="preserve"> </w:t>
      </w:r>
      <w:r w:rsidRPr="00963BC4">
        <w:rPr>
          <w:rFonts w:ascii="Arial" w:hAnsi="Arial" w:cs="Arial"/>
        </w:rPr>
        <w:t xml:space="preserve">Table </w:t>
      </w:r>
      <w:r w:rsidRPr="00963BC4">
        <w:rPr>
          <w:rFonts w:ascii="Arial" w:hAnsi="Arial" w:cs="Arial"/>
        </w:rPr>
        <w:fldChar w:fldCharType="begin"/>
      </w:r>
      <w:r w:rsidRPr="00963BC4">
        <w:rPr>
          <w:rFonts w:ascii="Arial" w:hAnsi="Arial" w:cs="Arial"/>
        </w:rPr>
        <w:instrText xml:space="preserve"> SEQ Table \* ARABIC </w:instrText>
      </w:r>
      <w:r w:rsidRPr="00963BC4">
        <w:rPr>
          <w:rFonts w:ascii="Arial" w:hAnsi="Arial" w:cs="Arial"/>
        </w:rPr>
        <w:fldChar w:fldCharType="separate"/>
      </w:r>
      <w:r w:rsidRPr="00963BC4">
        <w:rPr>
          <w:rFonts w:ascii="Arial" w:hAnsi="Arial" w:cs="Arial"/>
        </w:rPr>
        <w:t>5</w:t>
      </w:r>
      <w:r w:rsidRPr="00963BC4">
        <w:rPr>
          <w:rFonts w:ascii="Arial" w:hAnsi="Arial" w:cs="Arial"/>
        </w:rPr>
        <w:fldChar w:fldCharType="end"/>
      </w:r>
      <w:r w:rsidRPr="00963BC4">
        <w:rPr>
          <w:rFonts w:ascii="Arial" w:hAnsi="Arial" w:cs="Arial"/>
        </w:rPr>
        <w:t>. Tesla’s economic and competitive position in China: indicators and interpretation</w:t>
      </w:r>
    </w:p>
    <w:tbl>
      <w:tblPr>
        <w:tblStyle w:val="TableGrid1"/>
        <w:tblW w:w="0" w:type="auto"/>
        <w:tblLook w:val="04A0" w:firstRow="1" w:lastRow="0" w:firstColumn="1" w:lastColumn="0" w:noHBand="0" w:noVBand="1"/>
      </w:tblPr>
      <w:tblGrid>
        <w:gridCol w:w="1785"/>
        <w:gridCol w:w="3780"/>
        <w:gridCol w:w="3431"/>
      </w:tblGrid>
      <w:tr w:rsidRPr="00AC7C3A" w:rsidR="00963BC4" w:rsidTr="00963BC4" w14:paraId="763AD268" w14:textId="77777777">
        <w:trPr>
          <w:cnfStyle w:val="100000000000" w:firstRow="1" w:lastRow="0" w:firstColumn="0" w:lastColumn="0" w:oddVBand="0" w:evenVBand="0" w:oddHBand="0" w:evenHBand="0" w:firstRowFirstColumn="0" w:firstRowLastColumn="0" w:lastRowFirstColumn="0" w:lastRowLastColumn="0"/>
        </w:trPr>
        <w:tc>
          <w:tcPr>
            <w:tcW w:w="1785" w:type="dxa"/>
            <w:hideMark/>
          </w:tcPr>
          <w:p w:rsidRPr="00AC7C3A" w:rsidR="00963BC4" w:rsidP="00842269" w:rsidRDefault="00963BC4" w14:paraId="35CF8631" w14:textId="77777777">
            <w:pPr>
              <w:rPr>
                <w:rFonts w:ascii="Arial" w:hAnsi="Arial" w:cs="Arial"/>
                <w:bCs/>
                <w:lang w:val="en-US"/>
              </w:rPr>
            </w:pPr>
            <w:r w:rsidRPr="00AC7C3A">
              <w:rPr>
                <w:rFonts w:ascii="Arial" w:hAnsi="Arial" w:cs="Arial"/>
                <w:bCs/>
                <w:lang w:val="en-US"/>
              </w:rPr>
              <w:t>Indicator</w:t>
            </w:r>
          </w:p>
        </w:tc>
        <w:tc>
          <w:tcPr>
            <w:tcW w:w="3780" w:type="dxa"/>
            <w:hideMark/>
          </w:tcPr>
          <w:p w:rsidRPr="00AC7C3A" w:rsidR="00963BC4" w:rsidP="00842269" w:rsidRDefault="00963BC4" w14:paraId="755BD90B" w14:textId="77777777">
            <w:pPr>
              <w:rPr>
                <w:rFonts w:ascii="Arial" w:hAnsi="Arial" w:cs="Arial"/>
                <w:bCs/>
                <w:lang w:val="en-US"/>
              </w:rPr>
            </w:pPr>
            <w:r w:rsidRPr="00AC7C3A">
              <w:rPr>
                <w:rFonts w:ascii="Arial" w:hAnsi="Arial" w:cs="Arial"/>
                <w:bCs/>
                <w:lang w:val="en-US"/>
              </w:rPr>
              <w:t>Evidence</w:t>
            </w:r>
          </w:p>
        </w:tc>
        <w:tc>
          <w:tcPr>
            <w:tcW w:w="3431" w:type="dxa"/>
            <w:hideMark/>
          </w:tcPr>
          <w:p w:rsidRPr="00AC7C3A" w:rsidR="00963BC4" w:rsidP="00842269" w:rsidRDefault="00963BC4" w14:paraId="5FA273A1" w14:textId="77777777">
            <w:pPr>
              <w:rPr>
                <w:rFonts w:ascii="Arial" w:hAnsi="Arial" w:cs="Arial"/>
                <w:bCs/>
                <w:lang w:val="en-US"/>
              </w:rPr>
            </w:pPr>
            <w:r w:rsidRPr="00AC7C3A">
              <w:rPr>
                <w:rFonts w:ascii="Arial" w:hAnsi="Arial" w:cs="Arial"/>
                <w:bCs/>
                <w:lang w:val="en-US"/>
              </w:rPr>
              <w:t>Strategic interpretation</w:t>
            </w:r>
          </w:p>
        </w:tc>
      </w:tr>
      <w:tr w:rsidRPr="00AC7C3A" w:rsidR="00963BC4" w:rsidTr="00963BC4" w14:paraId="42619430" w14:textId="77777777">
        <w:tc>
          <w:tcPr>
            <w:tcW w:w="1785" w:type="dxa"/>
            <w:hideMark/>
          </w:tcPr>
          <w:p w:rsidRPr="00AC7C3A" w:rsidR="00963BC4" w:rsidP="00842269" w:rsidRDefault="00963BC4" w14:paraId="49A6E7B3" w14:textId="77777777">
            <w:pPr>
              <w:rPr>
                <w:rFonts w:ascii="Arial" w:hAnsi="Arial" w:cs="Arial"/>
                <w:lang w:val="en-US"/>
              </w:rPr>
            </w:pPr>
            <w:r w:rsidRPr="00AC7C3A">
              <w:rPr>
                <w:rFonts w:ascii="Arial" w:hAnsi="Arial" w:cs="Arial"/>
                <w:lang w:val="en-US"/>
              </w:rPr>
              <w:t>Absolute sales volume</w:t>
            </w:r>
          </w:p>
        </w:tc>
        <w:tc>
          <w:tcPr>
            <w:tcW w:w="3780" w:type="dxa"/>
            <w:hideMark/>
          </w:tcPr>
          <w:p w:rsidRPr="00AC7C3A" w:rsidR="00963BC4" w:rsidP="00842269" w:rsidRDefault="00963BC4" w14:paraId="2313AB0D" w14:textId="77777777">
            <w:pPr>
              <w:rPr>
                <w:rFonts w:ascii="Arial" w:hAnsi="Arial" w:cs="Arial"/>
                <w:lang w:val="en-US"/>
              </w:rPr>
            </w:pPr>
            <w:r w:rsidRPr="00AC7C3A">
              <w:rPr>
                <w:rFonts w:ascii="Arial" w:hAnsi="Arial" w:cs="Arial"/>
                <w:lang w:val="en-US"/>
              </w:rPr>
              <w:t>Record monthly China sales of around 83,000 units in December 2025 (Reuters, 2025)</w:t>
            </w:r>
          </w:p>
        </w:tc>
        <w:tc>
          <w:tcPr>
            <w:tcW w:w="3431" w:type="dxa"/>
            <w:hideMark/>
          </w:tcPr>
          <w:p w:rsidRPr="00AC7C3A" w:rsidR="00963BC4" w:rsidP="00842269" w:rsidRDefault="00963BC4" w14:paraId="4495D037" w14:textId="77777777">
            <w:pPr>
              <w:rPr>
                <w:rFonts w:ascii="Arial" w:hAnsi="Arial" w:cs="Arial"/>
                <w:lang w:val="en-US"/>
              </w:rPr>
            </w:pPr>
            <w:r w:rsidRPr="00AC7C3A">
              <w:rPr>
                <w:rFonts w:ascii="Arial" w:hAnsi="Arial" w:cs="Arial"/>
                <w:lang w:val="en-US"/>
              </w:rPr>
              <w:t>Tesla remains commercially significant in China</w:t>
            </w:r>
          </w:p>
        </w:tc>
      </w:tr>
      <w:tr w:rsidRPr="00AC7C3A" w:rsidR="00963BC4" w:rsidTr="00963BC4" w14:paraId="67376477" w14:textId="77777777">
        <w:tc>
          <w:tcPr>
            <w:tcW w:w="1785" w:type="dxa"/>
            <w:hideMark/>
          </w:tcPr>
          <w:p w:rsidRPr="00AC7C3A" w:rsidR="00963BC4" w:rsidP="00842269" w:rsidRDefault="00963BC4" w14:paraId="347ED6D8" w14:textId="77777777">
            <w:pPr>
              <w:rPr>
                <w:rFonts w:ascii="Arial" w:hAnsi="Arial" w:cs="Arial"/>
                <w:lang w:val="en-US"/>
              </w:rPr>
            </w:pPr>
            <w:r w:rsidRPr="00AC7C3A">
              <w:rPr>
                <w:rFonts w:ascii="Arial" w:hAnsi="Arial" w:cs="Arial"/>
                <w:lang w:val="en-US"/>
              </w:rPr>
              <w:t>Market share trajectory</w:t>
            </w:r>
          </w:p>
        </w:tc>
        <w:tc>
          <w:tcPr>
            <w:tcW w:w="3780" w:type="dxa"/>
            <w:hideMark/>
          </w:tcPr>
          <w:p w:rsidRPr="00AC7C3A" w:rsidR="00963BC4" w:rsidP="00842269" w:rsidRDefault="00963BC4" w14:paraId="0104FB68" w14:textId="77777777">
            <w:pPr>
              <w:rPr>
                <w:rFonts w:ascii="Arial" w:hAnsi="Arial" w:cs="Arial"/>
                <w:lang w:val="en-US"/>
              </w:rPr>
            </w:pPr>
            <w:r w:rsidRPr="00AC7C3A">
              <w:rPr>
                <w:rFonts w:ascii="Arial" w:hAnsi="Arial" w:cs="Arial"/>
                <w:lang w:val="en-US"/>
              </w:rPr>
              <w:t>Relative share under pressure amid stronger domestic rivalry (Kindig, 2023; Arthur D. Little, 2024)</w:t>
            </w:r>
          </w:p>
        </w:tc>
        <w:tc>
          <w:tcPr>
            <w:tcW w:w="3431" w:type="dxa"/>
            <w:hideMark/>
          </w:tcPr>
          <w:p w:rsidRPr="00AC7C3A" w:rsidR="00963BC4" w:rsidP="00842269" w:rsidRDefault="00963BC4" w14:paraId="372D7D94" w14:textId="77777777">
            <w:pPr>
              <w:rPr>
                <w:rFonts w:ascii="Arial" w:hAnsi="Arial" w:cs="Arial"/>
                <w:lang w:val="en-US"/>
              </w:rPr>
            </w:pPr>
            <w:r w:rsidRPr="00AC7C3A">
              <w:rPr>
                <w:rFonts w:ascii="Arial" w:hAnsi="Arial" w:cs="Arial"/>
                <w:lang w:val="en-US"/>
              </w:rPr>
              <w:t>Suggests intensifying competition rather than simple volume failure</w:t>
            </w:r>
          </w:p>
        </w:tc>
      </w:tr>
      <w:tr w:rsidRPr="00AC7C3A" w:rsidR="00963BC4" w:rsidTr="00963BC4" w14:paraId="62993F7C" w14:textId="77777777">
        <w:tc>
          <w:tcPr>
            <w:tcW w:w="1785" w:type="dxa"/>
            <w:hideMark/>
          </w:tcPr>
          <w:p w:rsidRPr="00AC7C3A" w:rsidR="00963BC4" w:rsidP="00842269" w:rsidRDefault="00963BC4" w14:paraId="53161C65" w14:textId="77777777">
            <w:pPr>
              <w:rPr>
                <w:rFonts w:ascii="Arial" w:hAnsi="Arial" w:cs="Arial"/>
                <w:lang w:val="en-US"/>
              </w:rPr>
            </w:pPr>
            <w:r w:rsidRPr="00AC7C3A">
              <w:rPr>
                <w:rFonts w:ascii="Arial" w:hAnsi="Arial" w:cs="Arial"/>
                <w:lang w:val="en-US"/>
              </w:rPr>
              <w:t>Pricing behaviour</w:t>
            </w:r>
          </w:p>
        </w:tc>
        <w:tc>
          <w:tcPr>
            <w:tcW w:w="3780" w:type="dxa"/>
            <w:hideMark/>
          </w:tcPr>
          <w:p w:rsidRPr="00AC7C3A" w:rsidR="00963BC4" w:rsidP="00842269" w:rsidRDefault="00963BC4" w14:paraId="124C2F80" w14:textId="77777777">
            <w:pPr>
              <w:rPr>
                <w:rFonts w:ascii="Arial" w:hAnsi="Arial" w:cs="Arial"/>
                <w:lang w:val="en-US"/>
              </w:rPr>
            </w:pPr>
            <w:r w:rsidRPr="00AC7C3A">
              <w:rPr>
                <w:rFonts w:ascii="Arial" w:hAnsi="Arial" w:cs="Arial"/>
                <w:lang w:val="en-US"/>
              </w:rPr>
              <w:t>Multiple price cuts in response to rivalry (Kindig, 2023; Chen, 2024)</w:t>
            </w:r>
          </w:p>
        </w:tc>
        <w:tc>
          <w:tcPr>
            <w:tcW w:w="3431" w:type="dxa"/>
            <w:hideMark/>
          </w:tcPr>
          <w:p w:rsidRPr="00AC7C3A" w:rsidR="00963BC4" w:rsidP="00842269" w:rsidRDefault="00963BC4" w14:paraId="0FC70F0E" w14:textId="77777777">
            <w:pPr>
              <w:rPr>
                <w:rFonts w:ascii="Arial" w:hAnsi="Arial" w:cs="Arial"/>
                <w:lang w:val="en-US"/>
              </w:rPr>
            </w:pPr>
            <w:r w:rsidRPr="00AC7C3A">
              <w:rPr>
                <w:rFonts w:ascii="Arial" w:hAnsi="Arial" w:cs="Arial"/>
                <w:lang w:val="en-US"/>
              </w:rPr>
              <w:t>Indicates margin pressure and reduced pricing power</w:t>
            </w:r>
          </w:p>
        </w:tc>
      </w:tr>
      <w:tr w:rsidRPr="00AC7C3A" w:rsidR="00963BC4" w:rsidTr="00963BC4" w14:paraId="7B634BE3" w14:textId="77777777">
        <w:tc>
          <w:tcPr>
            <w:tcW w:w="1785" w:type="dxa"/>
            <w:hideMark/>
          </w:tcPr>
          <w:p w:rsidRPr="00AC7C3A" w:rsidR="00963BC4" w:rsidP="00842269" w:rsidRDefault="00963BC4" w14:paraId="2C25691D" w14:textId="77777777">
            <w:pPr>
              <w:rPr>
                <w:rFonts w:ascii="Arial" w:hAnsi="Arial" w:cs="Arial"/>
                <w:lang w:val="en-US"/>
              </w:rPr>
            </w:pPr>
            <w:r w:rsidRPr="00AC7C3A">
              <w:rPr>
                <w:rFonts w:ascii="Arial" w:hAnsi="Arial" w:cs="Arial"/>
                <w:lang w:val="en-US"/>
              </w:rPr>
              <w:t>Role of Shanghai plant</w:t>
            </w:r>
          </w:p>
        </w:tc>
        <w:tc>
          <w:tcPr>
            <w:tcW w:w="3780" w:type="dxa"/>
            <w:hideMark/>
          </w:tcPr>
          <w:p w:rsidRPr="00AC7C3A" w:rsidR="00963BC4" w:rsidP="00842269" w:rsidRDefault="00963BC4" w14:paraId="323E5B0C" w14:textId="77777777">
            <w:pPr>
              <w:rPr>
                <w:rFonts w:ascii="Arial" w:hAnsi="Arial" w:cs="Arial"/>
                <w:lang w:val="en-US"/>
              </w:rPr>
            </w:pPr>
            <w:r w:rsidRPr="00AC7C3A">
              <w:rPr>
                <w:rFonts w:ascii="Arial" w:hAnsi="Arial" w:cs="Arial"/>
                <w:lang w:val="en-US"/>
              </w:rPr>
              <w:t>Major domestic and export hub (Cooke, 2020; Henry, 2026)</w:t>
            </w:r>
          </w:p>
        </w:tc>
        <w:tc>
          <w:tcPr>
            <w:tcW w:w="3431" w:type="dxa"/>
            <w:hideMark/>
          </w:tcPr>
          <w:p w:rsidRPr="00AC7C3A" w:rsidR="00963BC4" w:rsidP="00842269" w:rsidRDefault="00963BC4" w14:paraId="1D37A936" w14:textId="77777777">
            <w:pPr>
              <w:rPr>
                <w:rFonts w:ascii="Arial" w:hAnsi="Arial" w:cs="Arial"/>
                <w:lang w:val="en-US"/>
              </w:rPr>
            </w:pPr>
            <w:r w:rsidRPr="00AC7C3A">
              <w:rPr>
                <w:rFonts w:ascii="Arial" w:hAnsi="Arial" w:cs="Arial"/>
                <w:lang w:val="en-US"/>
              </w:rPr>
              <w:t>Improves scale efficiency but increases dependence on China-based production</w:t>
            </w:r>
          </w:p>
        </w:tc>
      </w:tr>
    </w:tbl>
    <w:p w:rsidRPr="00963BC4" w:rsidR="00963BC4" w:rsidP="00963BC4" w:rsidRDefault="00963BC4" w14:paraId="2B634A6A" w14:textId="77777777">
      <w:pPr>
        <w:rPr>
          <w:rFonts w:ascii="Arial" w:hAnsi="Arial" w:cs="Arial"/>
          <w:b/>
          <w:bCs/>
          <w:lang w:val="en-US"/>
        </w:rPr>
      </w:pPr>
    </w:p>
    <w:p w:rsidRPr="00963BC4" w:rsidR="00963BC4" w:rsidP="5CA6A91A" w:rsidRDefault="00963BC4" w14:paraId="1B2A7D3B" w14:textId="77777777">
      <w:pPr>
        <w:pStyle w:val="Heading2"/>
        <w:rPr>
          <w:rFonts w:ascii="Arial" w:hAnsi="Arial" w:cs="Arial"/>
          <w:color w:val="000000" w:themeColor="text1" w:themeTint="FF" w:themeShade="FF"/>
        </w:rPr>
      </w:pPr>
      <w:bookmarkStart w:name="_Toc224702568" w:id="20"/>
      <w:r w:rsidRPr="5CA6A91A" w:rsidR="00963BC4">
        <w:rPr>
          <w:rFonts w:ascii="Arial" w:hAnsi="Arial" w:cs="Arial"/>
          <w:color w:val="000000" w:themeColor="text1" w:themeTint="FF" w:themeShade="FF"/>
        </w:rPr>
        <w:t>4.4 Cultural and Social Factors</w:t>
      </w:r>
      <w:bookmarkEnd w:id="20"/>
    </w:p>
    <w:p w:rsidRPr="00963BC4" w:rsidR="00963BC4" w:rsidP="5CA6A91A" w:rsidRDefault="00963BC4" w14:paraId="4813072A" w14:textId="77777777">
      <w:pPr>
        <w:rPr>
          <w:rFonts w:ascii="Arial" w:hAnsi="Arial" w:cs="Arial"/>
          <w:color w:val="000000" w:themeColor="text1" w:themeTint="FF" w:themeShade="FF"/>
          <w:shd w:val="clear" w:color="auto" w:fill="FFFFFF"/>
        </w:rPr>
      </w:pPr>
      <w:r w:rsidRPr="5CA6A91A" w:rsidR="00963BC4">
        <w:rPr>
          <w:rFonts w:ascii="Arial" w:hAnsi="Arial" w:cs="Arial"/>
          <w:color w:val="000000" w:themeColor="text1" w:themeTint="FF" w:themeShade="FF"/>
          <w:shd w:val="clear" w:color="auto" w:fill="FFFFFF"/>
        </w:rPr>
        <w:t xml:space="preserve">Market fit is the most significant way Tesla is influenced by cultural and social factors as opposed to the abstract national difference. The Chinese EV consumers are highly sensitive to digital functionality, smart-cabin features, quick innovation process, and price to performance ratio, which implies that competition is influenced by the ecosystem relevance and user experience as well as engineering quality (Arthur D. Little, 2024; He and Hao, 2023). The strategy Tesla has chosen to respond to is a partial localisation by domestic product production, integration of local suppliers and their adaptation to the Chinese demands in the digital markets. Nonetheless, local companies </w:t>
      </w:r>
      <w:r w:rsidRPr="5CA6A91A" w:rsidR="00963BC4">
        <w:rPr>
          <w:rFonts w:ascii="Arial" w:hAnsi="Arial" w:cs="Arial"/>
          <w:color w:val="000000" w:themeColor="text1" w:themeTint="FF" w:themeShade="FF"/>
          <w:shd w:val="clear" w:color="auto" w:fill="FFFFFF"/>
        </w:rPr>
        <w:t>frequently</w:t>
      </w:r>
      <w:r w:rsidRPr="5CA6A91A" w:rsidR="00963BC4">
        <w:rPr>
          <w:rFonts w:ascii="Arial" w:hAnsi="Arial" w:cs="Arial"/>
          <w:color w:val="000000" w:themeColor="text1" w:themeTint="FF" w:themeShade="FF"/>
          <w:shd w:val="clear" w:color="auto" w:fill="FFFFFF"/>
        </w:rPr>
        <w:t xml:space="preserve"> have a competitive edge in terms of the integration of platforms and responsiveness to consumers due to a stronger integration into the local digital ecosystems (Chen, 2024).</w:t>
      </w:r>
    </w:p>
    <w:p w:rsidRPr="00963BC4" w:rsidR="00963BC4" w:rsidP="5CA6A91A" w:rsidRDefault="00963BC4" w14:paraId="1D06C215" w14:textId="77777777">
      <w:pPr>
        <w:rPr>
          <w:rFonts w:ascii="Arial" w:hAnsi="Arial" w:cs="Arial"/>
          <w:color w:val="000000" w:themeColor="text1" w:themeTint="FF" w:themeShade="FF"/>
          <w:shd w:val="clear" w:color="auto" w:fill="FFFFFF"/>
        </w:rPr>
      </w:pPr>
      <w:r w:rsidRPr="5CA6A91A" w:rsidR="00963BC4">
        <w:rPr>
          <w:rFonts w:ascii="Arial" w:hAnsi="Arial" w:cs="Arial"/>
          <w:color w:val="000000" w:themeColor="text1" w:themeTint="FF" w:themeShade="FF"/>
          <w:shd w:val="clear" w:color="auto" w:fill="FFFFFF"/>
        </w:rPr>
        <w:t>The factual result is that Tesla still is a great global brand in China, yet brand strength is no longer adequate to ensure the market leadership. With the domestic competitors closing the technology divide and enhancing the relevance of the software, Tesla must face the challenge of selective localisation: altering the product, service, and stakeholder engagement enough to compete effectively, without sacrificing the globalisation that defines its business model internationally (Gryphon and Pustay, 2020; Hill, 2023).</w:t>
      </w:r>
    </w:p>
    <w:p w:rsidRPr="00963BC4" w:rsidR="00963BC4" w:rsidP="5CA6A91A" w:rsidRDefault="00963BC4" w14:paraId="31D47CD2" w14:textId="77777777">
      <w:pPr>
        <w:rPr>
          <w:rFonts w:ascii="Arial" w:hAnsi="Arial" w:cs="Arial"/>
          <w:color w:val="000000" w:themeColor="text1" w:themeTint="FF" w:themeShade="FF"/>
        </w:rPr>
      </w:pPr>
    </w:p>
    <w:p w:rsidR="00396855" w:rsidP="5CA6A91A" w:rsidRDefault="00396855" w14:paraId="77D6D52B" w14:textId="77777777">
      <w:pPr>
        <w:spacing w:before="0" w:after="160" w:line="259" w:lineRule="auto"/>
        <w:jc w:val="left"/>
        <w:rPr>
          <w:rFonts w:ascii="Arial" w:hAnsi="Arial" w:cs="Arial"/>
          <w:b w:val="1"/>
          <w:bCs w:val="1"/>
          <w:color w:val="000000" w:themeColor="text1" w:themeTint="FF" w:themeShade="FF"/>
          <w:sz w:val="32"/>
          <w:szCs w:val="32"/>
          <w:lang w:val="en-US"/>
        </w:rPr>
      </w:pPr>
      <w:r w:rsidRPr="5CA6A91A">
        <w:rPr>
          <w:rFonts w:ascii="Arial" w:hAnsi="Arial" w:cs="Arial"/>
          <w:color w:val="000000" w:themeColor="text1" w:themeTint="FF" w:themeShade="FF"/>
        </w:rPr>
        <w:br w:type="page"/>
      </w:r>
    </w:p>
    <w:p w:rsidRPr="00963BC4" w:rsidR="00D43875" w:rsidP="5CA6A91A" w:rsidRDefault="00D43875" w14:paraId="7B1B196F" w14:textId="433C3555">
      <w:pPr>
        <w:pStyle w:val="Heading1"/>
        <w:rPr>
          <w:rFonts w:ascii="Arial" w:hAnsi="Arial" w:cs="Arial"/>
          <w:color w:val="000000" w:themeColor="text1" w:themeTint="FF" w:themeShade="FF"/>
        </w:rPr>
      </w:pPr>
      <w:bookmarkStart w:name="_Toc224702569" w:id="21"/>
      <w:r w:rsidRPr="5CA6A91A" w:rsidR="00D43875">
        <w:rPr>
          <w:rFonts w:ascii="Arial" w:hAnsi="Arial" w:cs="Arial"/>
          <w:color w:val="000000" w:themeColor="text1" w:themeTint="FF" w:themeShade="FF"/>
        </w:rPr>
        <w:t>5.0 Conclusion to the Industry Report</w:t>
      </w:r>
      <w:bookmarkEnd w:id="21"/>
    </w:p>
    <w:p w:rsidRPr="00963BC4" w:rsidR="00963BC4" w:rsidP="5CA6A91A" w:rsidRDefault="00963BC4" w14:paraId="4EF5D832" w14:textId="5F7156A5">
      <w:pPr>
        <w:rPr>
          <w:rFonts w:ascii="Arial" w:hAnsi="Arial" w:cs="Arial"/>
          <w:color w:val="000000" w:themeColor="text1" w:themeTint="FF" w:themeShade="FF"/>
        </w:rPr>
      </w:pPr>
      <w:r w:rsidRPr="5CA6A91A" w:rsidR="00963BC4">
        <w:rPr>
          <w:rFonts w:ascii="Arial" w:hAnsi="Arial" w:cs="Arial"/>
          <w:color w:val="000000" w:themeColor="text1" w:themeTint="FF" w:themeShade="FF"/>
        </w:rPr>
        <w:t>The competitiveness of EVs in China is not so much a policy result, but a slowly gaining industrial competitive edge founded on high-end battery capacity, massive domestic markets, concentrated supplier networks, and stiff competition spurring innovation. The weakness of its binding, however, is whether these strong sides will continue to be profit-sustaining as subsidy help diminishes, overcapacity intensifies, and export growth encounters more political opposition.</w:t>
      </w:r>
    </w:p>
    <w:p w:rsidRPr="00963BC4" w:rsidR="00963BC4" w:rsidP="5CA6A91A" w:rsidRDefault="00963BC4" w14:paraId="208EEA8D" w14:textId="27BB81DA">
      <w:pPr>
        <w:rPr>
          <w:rFonts w:ascii="Arial" w:hAnsi="Arial" w:cs="Arial"/>
          <w:color w:val="000000" w:themeColor="text1" w:themeTint="FF" w:themeShade="FF"/>
        </w:rPr>
      </w:pPr>
      <w:r w:rsidRPr="5CA6A91A" w:rsidR="00963BC4">
        <w:rPr>
          <w:rFonts w:ascii="Arial" w:hAnsi="Arial" w:cs="Arial"/>
          <w:color w:val="000000" w:themeColor="text1" w:themeTint="FF" w:themeShade="FF"/>
        </w:rPr>
        <w:t xml:space="preserve">In the case of Tesla, China is strategically invaluable since it is a place where the scale of the market, manufacturing efficiency, access to supplies, and export-platform value can all be seen in one place. However, the limiting factor to long-term benefit is no longer the entry or scale of production but the capacity of Tesla to protect differentiation in a market where national competitors are gaining greater similarity on fundamental EV technology and win on the price agility, </w:t>
      </w:r>
      <w:r w:rsidRPr="5CA6A91A" w:rsidR="00963BC4">
        <w:rPr>
          <w:rFonts w:ascii="Arial" w:hAnsi="Arial" w:cs="Arial"/>
          <w:color w:val="000000" w:themeColor="text1" w:themeTint="FF" w:themeShade="FF"/>
        </w:rPr>
        <w:t>localisation</w:t>
      </w:r>
      <w:r w:rsidRPr="5CA6A91A" w:rsidR="00963BC4">
        <w:rPr>
          <w:rFonts w:ascii="Arial" w:hAnsi="Arial" w:cs="Arial"/>
          <w:color w:val="000000" w:themeColor="text1" w:themeTint="FF" w:themeShade="FF"/>
        </w:rPr>
        <w:t xml:space="preserve"> and the fit of digital ecosystems.</w:t>
      </w:r>
    </w:p>
    <w:p w:rsidRPr="00963BC4" w:rsidR="00847778" w:rsidP="5CA6A91A" w:rsidRDefault="00963BC4" w14:paraId="4FCF9BCC" w14:textId="25C8E9BB">
      <w:pPr>
        <w:rPr>
          <w:rFonts w:ascii="Arial" w:hAnsi="Arial" w:cs="Arial"/>
          <w:color w:val="000000" w:themeColor="text1" w:themeTint="FF" w:themeShade="FF"/>
        </w:rPr>
      </w:pPr>
      <w:r w:rsidRPr="5CA6A91A" w:rsidR="00963BC4">
        <w:rPr>
          <w:rFonts w:ascii="Arial" w:hAnsi="Arial" w:cs="Arial"/>
          <w:color w:val="000000" w:themeColor="text1" w:themeTint="FF" w:themeShade="FF"/>
        </w:rPr>
        <w:t>In the next three to five years, the interplay between local competition intensification and foreign constraint, in particular stricter data control, increased export barriers, and further technological progress of Chinese EV companies is likely to change the attractiveness of China to Tesla.</w:t>
      </w:r>
      <w:r w:rsidRPr="5CA6A91A" w:rsidR="00847778">
        <w:rPr>
          <w:rFonts w:ascii="Arial" w:hAnsi="Arial" w:cs="Arial"/>
          <w:color w:val="000000" w:themeColor="text1" w:themeTint="FF" w:themeShade="FF"/>
        </w:rPr>
        <w:t xml:space="preserve"> </w:t>
      </w:r>
    </w:p>
    <w:p w:rsidRPr="00963BC4" w:rsidR="00E40DC0" w:rsidP="5CA6A91A" w:rsidRDefault="00E40DC0" w14:paraId="1B2F9FA1" w14:textId="77777777">
      <w:pPr>
        <w:spacing w:before="0" w:after="160"/>
        <w:jc w:val="left"/>
        <w:rPr>
          <w:rFonts w:ascii="Arial" w:hAnsi="Arial" w:cs="Arial"/>
          <w:color w:val="000000" w:themeColor="text1" w:themeTint="FF" w:themeShade="FF"/>
          <w:lang w:val="en-US"/>
        </w:rPr>
      </w:pPr>
      <w:r w:rsidRPr="5CA6A91A">
        <w:rPr>
          <w:rFonts w:ascii="Arial" w:hAnsi="Arial" w:cs="Arial"/>
          <w:color w:val="000000" w:themeColor="text1" w:themeTint="FF" w:themeShade="FF"/>
          <w:lang w:val="en-US"/>
        </w:rPr>
        <w:br w:type="page"/>
      </w:r>
    </w:p>
    <w:p w:rsidRPr="00963BC4" w:rsidR="00D43875" w:rsidP="5CA6A91A" w:rsidRDefault="00D43875" w14:paraId="659B0DD1" w14:textId="2E5093DF">
      <w:pPr>
        <w:pStyle w:val="Heading1"/>
        <w:rPr>
          <w:rFonts w:ascii="Arial" w:hAnsi="Arial" w:cs="Arial"/>
          <w:color w:val="000000" w:themeColor="text1" w:themeTint="FF" w:themeShade="FF"/>
        </w:rPr>
      </w:pPr>
      <w:bookmarkStart w:name="_Toc224702570" w:id="22"/>
      <w:r w:rsidRPr="5CA6A91A" w:rsidR="00D43875">
        <w:rPr>
          <w:rFonts w:ascii="Arial" w:hAnsi="Arial" w:cs="Arial"/>
          <w:color w:val="000000" w:themeColor="text1" w:themeTint="FF" w:themeShade="FF"/>
        </w:rPr>
        <w:t xml:space="preserve">6.0 Reflective Account on the Research and Writing Process </w:t>
      </w:r>
      <w:bookmarkEnd w:id="22"/>
    </w:p>
    <w:p w:rsidRPr="00963BC4" w:rsidR="00D43875" w:rsidP="5CA6A91A" w:rsidRDefault="00D43875" w14:paraId="086DF939" w14:textId="77777777">
      <w:pPr>
        <w:pStyle w:val="Heading2"/>
        <w:rPr>
          <w:rFonts w:ascii="Arial" w:hAnsi="Arial" w:cs="Arial"/>
          <w:color w:val="000000" w:themeColor="text1" w:themeTint="FF" w:themeShade="FF"/>
        </w:rPr>
      </w:pPr>
      <w:bookmarkStart w:name="_Toc224702571" w:id="23"/>
      <w:r w:rsidRPr="5CA6A91A" w:rsidR="00D43875">
        <w:rPr>
          <w:rFonts w:ascii="Arial" w:hAnsi="Arial" w:cs="Arial"/>
          <w:color w:val="000000" w:themeColor="text1" w:themeTint="FF" w:themeShade="FF"/>
        </w:rPr>
        <w:t>6.1 Description</w:t>
      </w:r>
      <w:bookmarkEnd w:id="23"/>
    </w:p>
    <w:p w:rsidRPr="00963BC4" w:rsidR="000B10DF" w:rsidP="5CA6A91A" w:rsidRDefault="000B10DF" w14:paraId="349A3CB1" w14:textId="2CF40216">
      <w:pPr>
        <w:rPr>
          <w:rFonts w:ascii="Arial" w:hAnsi="Arial" w:cs="Arial"/>
          <w:color w:val="000000" w:themeColor="text1" w:themeTint="FF" w:themeShade="FF"/>
        </w:rPr>
      </w:pPr>
      <w:r w:rsidRPr="5CA6A91A" w:rsidR="000B10DF">
        <w:rPr>
          <w:rFonts w:ascii="Arial" w:hAnsi="Arial" w:cs="Arial"/>
          <w:color w:val="000000" w:themeColor="text1" w:themeTint="FF" w:themeShade="FF"/>
        </w:rPr>
        <w:t xml:space="preserve">This report writing and research began with the identification of the EV segment in China and Tesla as the country- industry- MNC combination. This has been decided on the presence of a large and recent literature and the </w:t>
      </w:r>
      <w:r w:rsidRPr="5CA6A91A" w:rsidR="000B10DF">
        <w:rPr>
          <w:rFonts w:ascii="Arial" w:hAnsi="Arial" w:cs="Arial"/>
          <w:color w:val="000000" w:themeColor="text1" w:themeTint="FF" w:themeShade="FF"/>
        </w:rPr>
        <w:t>apparent</w:t>
      </w:r>
      <w:r w:rsidRPr="5CA6A91A" w:rsidR="000B10DF">
        <w:rPr>
          <w:rFonts w:ascii="Arial" w:hAnsi="Arial" w:cs="Arial"/>
          <w:color w:val="000000" w:themeColor="text1" w:themeTint="FF" w:themeShade="FF"/>
        </w:rPr>
        <w:t xml:space="preserve"> topicality of the sector in the current international business discussions (Lorente </w:t>
      </w:r>
      <w:r w:rsidRPr="5CA6A91A" w:rsidR="000B10DF">
        <w:rPr>
          <w:rFonts w:ascii="Arial" w:hAnsi="Arial" w:cs="Arial"/>
          <w:color w:val="000000" w:themeColor="text1" w:themeTint="FF" w:themeShade="FF"/>
        </w:rPr>
        <w:t>Salaberria</w:t>
      </w:r>
      <w:r w:rsidRPr="5CA6A91A" w:rsidR="000B10DF">
        <w:rPr>
          <w:rFonts w:ascii="Arial" w:hAnsi="Arial" w:cs="Arial"/>
          <w:color w:val="000000" w:themeColor="text1" w:themeTint="FF" w:themeShade="FF"/>
        </w:rPr>
        <w:t xml:space="preserve"> </w:t>
      </w:r>
      <w:r w:rsidRPr="5CA6A91A" w:rsidR="00424DF6">
        <w:rPr>
          <w:rFonts w:ascii="Arial" w:hAnsi="Arial" w:cs="Arial"/>
          <w:color w:val="000000" w:themeColor="text1" w:themeTint="FF" w:themeShade="FF"/>
        </w:rPr>
        <w:t>and</w:t>
      </w:r>
      <w:r w:rsidRPr="5CA6A91A" w:rsidR="000B10DF">
        <w:rPr>
          <w:rFonts w:ascii="Arial" w:hAnsi="Arial" w:cs="Arial"/>
          <w:color w:val="000000" w:themeColor="text1" w:themeTint="FF" w:themeShade="FF"/>
        </w:rPr>
        <w:t xml:space="preserve"> Xia, 2023; </w:t>
      </w:r>
      <w:r w:rsidRPr="5CA6A91A" w:rsidR="00E71E1B">
        <w:rPr>
          <w:rFonts w:ascii="Arial" w:hAnsi="Arial" w:cs="Arial"/>
          <w:color w:val="000000" w:themeColor="text1" w:themeTint="FF" w:themeShade="FF"/>
        </w:rPr>
        <w:t>Wild</w:t>
      </w:r>
      <w:r w:rsidRPr="5CA6A91A" w:rsidR="00E71E1B">
        <w:rPr>
          <w:rFonts w:ascii="Arial" w:hAnsi="Arial" w:cs="Arial"/>
          <w:color w:val="000000" w:themeColor="text1" w:themeTint="FF" w:themeShade="FF"/>
        </w:rPr>
        <w:t xml:space="preserve"> </w:t>
      </w:r>
      <w:r w:rsidRPr="5CA6A91A" w:rsidR="00E71E1B">
        <w:rPr>
          <w:rFonts w:ascii="Arial" w:hAnsi="Arial" w:cs="Arial"/>
          <w:color w:val="000000" w:themeColor="text1" w:themeTint="FF" w:themeShade="FF"/>
        </w:rPr>
        <w:t>and Wild, 2023</w:t>
      </w:r>
      <w:r w:rsidRPr="5CA6A91A" w:rsidR="000B10DF">
        <w:rPr>
          <w:rFonts w:ascii="Arial" w:hAnsi="Arial" w:cs="Arial"/>
          <w:color w:val="000000" w:themeColor="text1" w:themeTint="FF" w:themeShade="FF"/>
        </w:rPr>
        <w:t xml:space="preserve">). I have then gathered scholarly material, policy reports and consultancy, as well as industry analyses, including those of the International Energy Agency, </w:t>
      </w:r>
      <w:r w:rsidRPr="5CA6A91A" w:rsidR="000B10DF">
        <w:rPr>
          <w:rFonts w:ascii="Arial" w:hAnsi="Arial" w:cs="Arial"/>
          <w:color w:val="000000" w:themeColor="text1" w:themeTint="FF" w:themeShade="FF"/>
        </w:rPr>
        <w:t>Aranca</w:t>
      </w:r>
      <w:r w:rsidRPr="5CA6A91A" w:rsidR="000B10DF">
        <w:rPr>
          <w:rFonts w:ascii="Arial" w:hAnsi="Arial" w:cs="Arial"/>
          <w:color w:val="000000" w:themeColor="text1" w:themeTint="FF" w:themeShade="FF"/>
        </w:rPr>
        <w:t xml:space="preserve">, Arthur D. Little and the Oxford Institute of Energy Studies, and theoretical literature on international business models like the Porters diamond, OLI, PESTEL, </w:t>
      </w:r>
      <w:r w:rsidRPr="5CA6A91A" w:rsidR="00F11548">
        <w:rPr>
          <w:rFonts w:ascii="Arial" w:hAnsi="Arial" w:cs="Arial"/>
          <w:color w:val="000000" w:themeColor="text1" w:themeTint="FF" w:themeShade="FF"/>
        </w:rPr>
        <w:t xml:space="preserve">and </w:t>
      </w:r>
      <w:r w:rsidRPr="5CA6A91A" w:rsidR="000B10DF">
        <w:rPr>
          <w:rFonts w:ascii="Arial" w:hAnsi="Arial" w:cs="Arial"/>
          <w:color w:val="000000" w:themeColor="text1" w:themeTint="FF" w:themeShade="FF"/>
        </w:rPr>
        <w:t>Hofstede (Dunning, 2003; Hofstede, 2011). After reading and annotating these sources, I broke down the report using the format of the assignment and wrote sections in sequence and reworked the text to make it coherent and critical and meet word count requirements.</w:t>
      </w:r>
    </w:p>
    <w:p w:rsidRPr="00963BC4" w:rsidR="00D43875" w:rsidP="5CA6A91A" w:rsidRDefault="00D43875" w14:paraId="31EADBB3" w14:textId="77777777">
      <w:pPr>
        <w:pStyle w:val="Heading2"/>
        <w:rPr>
          <w:rFonts w:ascii="Arial" w:hAnsi="Arial" w:cs="Arial"/>
          <w:color w:val="000000" w:themeColor="text1" w:themeTint="FF" w:themeShade="FF"/>
        </w:rPr>
      </w:pPr>
      <w:bookmarkStart w:name="_Toc224702572" w:id="24"/>
      <w:r w:rsidRPr="5CA6A91A" w:rsidR="00D43875">
        <w:rPr>
          <w:rFonts w:ascii="Arial" w:hAnsi="Arial" w:cs="Arial"/>
          <w:color w:val="000000" w:themeColor="text1" w:themeTint="FF" w:themeShade="FF"/>
        </w:rPr>
        <w:t>6.2 Feelings</w:t>
      </w:r>
      <w:bookmarkEnd w:id="24"/>
    </w:p>
    <w:p w:rsidRPr="00963BC4" w:rsidR="00023DF5" w:rsidP="5CA6A91A" w:rsidRDefault="00023DF5" w14:paraId="1234CE34" w14:textId="77777777">
      <w:pPr>
        <w:rPr>
          <w:rFonts w:ascii="Arial" w:hAnsi="Arial" w:cs="Arial"/>
          <w:color w:val="000000" w:themeColor="text1" w:themeTint="FF" w:themeShade="FF"/>
        </w:rPr>
      </w:pPr>
      <w:r w:rsidRPr="5CA6A91A" w:rsidR="00023DF5">
        <w:rPr>
          <w:rFonts w:ascii="Arial" w:hAnsi="Arial" w:cs="Arial"/>
          <w:color w:val="000000" w:themeColor="text1" w:themeTint="FF" w:themeShade="FF"/>
        </w:rPr>
        <w:t xml:space="preserve">I was inspired and </w:t>
      </w:r>
      <w:r w:rsidRPr="5CA6A91A" w:rsidR="00023DF5">
        <w:rPr>
          <w:rFonts w:ascii="Arial" w:hAnsi="Arial" w:cs="Arial"/>
          <w:color w:val="000000" w:themeColor="text1" w:themeTint="FF" w:themeShade="FF"/>
        </w:rPr>
        <w:t>somewhat discouraged</w:t>
      </w:r>
      <w:r w:rsidRPr="5CA6A91A" w:rsidR="00023DF5">
        <w:rPr>
          <w:rFonts w:ascii="Arial" w:hAnsi="Arial" w:cs="Arial"/>
          <w:color w:val="000000" w:themeColor="text1" w:themeTint="FF" w:themeShade="FF"/>
        </w:rPr>
        <w:t xml:space="preserve"> at the start. The popularity of the Chinese EV industry and the place of Tesla in it made the </w:t>
      </w:r>
      <w:r w:rsidRPr="5CA6A91A" w:rsidR="00023DF5">
        <w:rPr>
          <w:rFonts w:ascii="Arial" w:hAnsi="Arial" w:cs="Arial"/>
          <w:color w:val="000000" w:themeColor="text1" w:themeTint="FF" w:themeShade="FF"/>
        </w:rPr>
        <w:t>selection</w:t>
      </w:r>
      <w:r w:rsidRPr="5CA6A91A" w:rsidR="00023DF5">
        <w:rPr>
          <w:rFonts w:ascii="Arial" w:hAnsi="Arial" w:cs="Arial"/>
          <w:color w:val="000000" w:themeColor="text1" w:themeTint="FF" w:themeShade="FF"/>
        </w:rPr>
        <w:t xml:space="preserve"> of more relevant sources a complex task at the outset and the existing amount of data overwhelmed judgement. I also had to worry about reaching a level of critical analysis that level 7 demands and not just talking about trends and events. The more I went, the more confident I became because I was able to </w:t>
      </w:r>
      <w:r w:rsidRPr="5CA6A91A" w:rsidR="00023DF5">
        <w:rPr>
          <w:rFonts w:ascii="Arial" w:hAnsi="Arial" w:cs="Arial"/>
          <w:color w:val="000000" w:themeColor="text1" w:themeTint="FF" w:themeShade="FF"/>
        </w:rPr>
        <w:t>identify</w:t>
      </w:r>
      <w:r w:rsidRPr="5CA6A91A" w:rsidR="00023DF5">
        <w:rPr>
          <w:rFonts w:ascii="Arial" w:hAnsi="Arial" w:cs="Arial"/>
          <w:color w:val="000000" w:themeColor="text1" w:themeTint="FF" w:themeShade="FF"/>
        </w:rPr>
        <w:t xml:space="preserve"> more of those key frameworks and how they could be applied to organise the analysis in </w:t>
      </w:r>
      <w:r w:rsidRPr="5CA6A91A" w:rsidR="00023DF5">
        <w:rPr>
          <w:rFonts w:ascii="Arial" w:hAnsi="Arial" w:cs="Arial"/>
          <w:color w:val="000000" w:themeColor="text1" w:themeTint="FF" w:themeShade="FF"/>
        </w:rPr>
        <w:t>a good manner</w:t>
      </w:r>
      <w:r w:rsidRPr="5CA6A91A" w:rsidR="00023DF5">
        <w:rPr>
          <w:rFonts w:ascii="Arial" w:hAnsi="Arial" w:cs="Arial"/>
          <w:color w:val="000000" w:themeColor="text1" w:themeTint="FF" w:themeShade="FF"/>
        </w:rPr>
        <w:t>. The reduction of a mass of data into a structured argument through Porters Diamond and other related models was thought-provoking and sufficient to make the knowledge of international business seem more tangible and applicable.</w:t>
      </w:r>
    </w:p>
    <w:p w:rsidRPr="00963BC4" w:rsidR="00D43875" w:rsidP="5CA6A91A" w:rsidRDefault="00D43875" w14:paraId="5385843A" w14:textId="77777777">
      <w:pPr>
        <w:pStyle w:val="Heading2"/>
        <w:rPr>
          <w:rFonts w:ascii="Arial" w:hAnsi="Arial" w:cs="Arial"/>
          <w:color w:val="000000" w:themeColor="text1" w:themeTint="FF" w:themeShade="FF"/>
        </w:rPr>
      </w:pPr>
      <w:bookmarkStart w:name="_Toc224702573" w:id="25"/>
      <w:r w:rsidRPr="5CA6A91A" w:rsidR="00D43875">
        <w:rPr>
          <w:rFonts w:ascii="Arial" w:hAnsi="Arial" w:cs="Arial"/>
          <w:color w:val="000000" w:themeColor="text1" w:themeTint="FF" w:themeShade="FF"/>
        </w:rPr>
        <w:t>6.3 Evaluation</w:t>
      </w:r>
      <w:bookmarkEnd w:id="25"/>
    </w:p>
    <w:p w:rsidRPr="00963BC4" w:rsidR="00EF76A2" w:rsidP="5CA6A91A" w:rsidRDefault="00EF76A2" w14:paraId="7909693D" w14:textId="16ECC7B3">
      <w:pPr>
        <w:rPr>
          <w:rFonts w:ascii="Arial" w:hAnsi="Arial" w:cs="Arial"/>
          <w:color w:val="000000" w:themeColor="text1" w:themeTint="FF" w:themeShade="FF"/>
        </w:rPr>
      </w:pPr>
      <w:r w:rsidRPr="5CA6A91A" w:rsidR="00EF76A2">
        <w:rPr>
          <w:rFonts w:ascii="Arial" w:hAnsi="Arial" w:cs="Arial"/>
          <w:color w:val="000000" w:themeColor="text1" w:themeTint="FF" w:themeShade="FF"/>
        </w:rPr>
        <w:t xml:space="preserve">The reflections on the successes include the fact that the selection of a sector with rich and quality literature </w:t>
      </w:r>
      <w:r w:rsidRPr="5CA6A91A" w:rsidR="00EF76A2">
        <w:rPr>
          <w:rFonts w:ascii="Arial" w:hAnsi="Arial" w:cs="Arial"/>
          <w:color w:val="000000" w:themeColor="text1" w:themeTint="FF" w:themeShade="FF"/>
        </w:rPr>
        <w:t>facilitated</w:t>
      </w:r>
      <w:r w:rsidRPr="5CA6A91A" w:rsidR="00EF76A2">
        <w:rPr>
          <w:rFonts w:ascii="Arial" w:hAnsi="Arial" w:cs="Arial"/>
          <w:color w:val="000000" w:themeColor="text1" w:themeTint="FF" w:themeShade="FF"/>
        </w:rPr>
        <w:t xml:space="preserve"> access to the reinforcement of arguments with recent and credible information, which strengthened the conne</w:t>
      </w:r>
      <w:r w:rsidRPr="5CA6A91A" w:rsidR="00D90E91">
        <w:rPr>
          <w:rFonts w:ascii="Arial" w:hAnsi="Arial" w:cs="Arial"/>
          <w:color w:val="000000" w:themeColor="text1" w:themeTint="FF" w:themeShade="FF"/>
        </w:rPr>
        <w:t>ct</w:t>
      </w:r>
      <w:r w:rsidRPr="5CA6A91A" w:rsidR="00EF76A2">
        <w:rPr>
          <w:rFonts w:ascii="Arial" w:hAnsi="Arial" w:cs="Arial"/>
          <w:color w:val="000000" w:themeColor="text1" w:themeTint="FF" w:themeShade="FF"/>
        </w:rPr>
        <w:t xml:space="preserve">ion with sources of research-based information and met the assessment standards </w:t>
      </w:r>
      <w:r w:rsidRPr="5CA6A91A" w:rsidR="00EF76A2">
        <w:rPr>
          <w:rFonts w:ascii="Arial" w:hAnsi="Arial" w:cs="Arial"/>
          <w:color w:val="000000" w:themeColor="text1" w:themeTint="FF" w:themeShade="FF"/>
        </w:rPr>
        <w:t>regarding</w:t>
      </w:r>
      <w:r w:rsidRPr="5CA6A91A" w:rsidR="00EF76A2">
        <w:rPr>
          <w:rFonts w:ascii="Arial" w:hAnsi="Arial" w:cs="Arial"/>
          <w:color w:val="000000" w:themeColor="text1" w:themeTint="FF" w:themeShade="FF"/>
        </w:rPr>
        <w:t xml:space="preserve"> literature use</w:t>
      </w:r>
      <w:r w:rsidRPr="5CA6A91A" w:rsidR="003348DB">
        <w:rPr>
          <w:rFonts w:ascii="Arial" w:hAnsi="Arial" w:cs="Arial"/>
          <w:color w:val="000000" w:themeColor="text1" w:themeTint="FF" w:themeShade="FF"/>
        </w:rPr>
        <w:t>.</w:t>
      </w:r>
      <w:r w:rsidRPr="5CA6A91A" w:rsidR="00EF76A2">
        <w:rPr>
          <w:rFonts w:ascii="Arial" w:hAnsi="Arial" w:cs="Arial"/>
          <w:color w:val="000000" w:themeColor="text1" w:themeTint="FF" w:themeShade="FF"/>
        </w:rPr>
        <w:t xml:space="preserve"> The combination of various frameworks, including Diamond, OLI and PESTEL, served to shift away more towards a description to a systematic and creative analysis, which is the focus of master’s level cognitive skill (Collinson</w:t>
      </w:r>
      <w:r w:rsidRPr="5CA6A91A" w:rsidR="00BB38BB">
        <w:rPr>
          <w:rFonts w:ascii="Arial" w:hAnsi="Arial" w:cs="Arial"/>
          <w:color w:val="000000" w:themeColor="text1" w:themeTint="FF" w:themeShade="FF"/>
        </w:rPr>
        <w:t xml:space="preserve"> </w:t>
      </w:r>
      <w:r w:rsidRPr="5CA6A91A" w:rsidR="003348DB">
        <w:rPr>
          <w:rFonts w:ascii="Arial" w:hAnsi="Arial" w:cs="Arial"/>
          <w:color w:val="000000" w:themeColor="text1" w:themeTint="FF" w:themeShade="FF"/>
        </w:rPr>
        <w:t>et al.</w:t>
      </w:r>
      <w:r w:rsidRPr="5CA6A91A" w:rsidR="00EF76A2">
        <w:rPr>
          <w:rFonts w:ascii="Arial" w:hAnsi="Arial" w:cs="Arial"/>
          <w:color w:val="000000" w:themeColor="text1" w:themeTint="FF" w:themeShade="FF"/>
        </w:rPr>
        <w:t>, 2020; Buye, 2021).</w:t>
      </w:r>
    </w:p>
    <w:p w:rsidRPr="00963BC4" w:rsidR="00EF76A2" w:rsidP="5CA6A91A" w:rsidRDefault="00EF76A2" w14:paraId="79173EDF" w14:textId="1CA7A9BE">
      <w:pPr>
        <w:rPr>
          <w:rFonts w:ascii="Arial" w:hAnsi="Arial" w:cs="Arial"/>
          <w:color w:val="000000" w:themeColor="text1" w:themeTint="FF" w:themeShade="FF"/>
        </w:rPr>
      </w:pPr>
      <w:r w:rsidRPr="5CA6A91A" w:rsidR="00EF76A2">
        <w:rPr>
          <w:rFonts w:ascii="Arial" w:hAnsi="Arial" w:cs="Arial"/>
          <w:color w:val="000000" w:themeColor="text1" w:themeTint="FF" w:themeShade="FF"/>
        </w:rPr>
        <w:t xml:space="preserve">There were troubles, however, as well. The synthesis of the conflicting interpretations, i.e. optimistic perspectives of the coming predominance of China, and more questioning arguments concerning the overcapacity and trade tensions, </w:t>
      </w:r>
      <w:r w:rsidRPr="5CA6A91A" w:rsidR="00EF76A2">
        <w:rPr>
          <w:rFonts w:ascii="Arial" w:hAnsi="Arial" w:cs="Arial"/>
          <w:color w:val="000000" w:themeColor="text1" w:themeTint="FF" w:themeShade="FF"/>
        </w:rPr>
        <w:t>required</w:t>
      </w:r>
      <w:r w:rsidRPr="5CA6A91A" w:rsidR="00EF76A2">
        <w:rPr>
          <w:rFonts w:ascii="Arial" w:hAnsi="Arial" w:cs="Arial"/>
          <w:color w:val="000000" w:themeColor="text1" w:themeTint="FF" w:themeShade="FF"/>
        </w:rPr>
        <w:t xml:space="preserve"> a difficult judgement and sometimes remained with some uncertainty </w:t>
      </w:r>
      <w:r w:rsidRPr="5CA6A91A" w:rsidR="00EF76A2">
        <w:rPr>
          <w:rFonts w:ascii="Arial" w:hAnsi="Arial" w:cs="Arial"/>
          <w:color w:val="000000" w:themeColor="text1" w:themeTint="FF" w:themeShade="FF"/>
        </w:rPr>
        <w:t>remaining</w:t>
      </w:r>
      <w:r w:rsidRPr="5CA6A91A" w:rsidR="00EF76A2">
        <w:rPr>
          <w:rFonts w:ascii="Arial" w:hAnsi="Arial" w:cs="Arial"/>
          <w:color w:val="000000" w:themeColor="text1" w:themeTint="FF" w:themeShade="FF"/>
        </w:rPr>
        <w:t xml:space="preserve"> (</w:t>
      </w:r>
      <w:r w:rsidRPr="5CA6A91A" w:rsidR="00EF76A2">
        <w:rPr>
          <w:rFonts w:ascii="Arial" w:hAnsi="Arial" w:cs="Arial"/>
          <w:color w:val="000000" w:themeColor="text1" w:themeTint="FF" w:themeShade="FF"/>
        </w:rPr>
        <w:t>Bonanomi</w:t>
      </w:r>
      <w:r w:rsidRPr="5CA6A91A" w:rsidR="00EF76A2">
        <w:rPr>
          <w:rFonts w:ascii="Arial" w:hAnsi="Arial" w:cs="Arial"/>
          <w:color w:val="000000" w:themeColor="text1" w:themeTint="FF" w:themeShade="FF"/>
        </w:rPr>
        <w:t xml:space="preserve">, 2026). Another reason was time, which made it difficult to discuss the financial aspects of firms or model alternative strategic scenarios of Tesla. </w:t>
      </w:r>
    </w:p>
    <w:p w:rsidRPr="00963BC4" w:rsidR="00D43875" w:rsidP="5CA6A91A" w:rsidRDefault="00D43875" w14:paraId="761D6FBF" w14:textId="77777777">
      <w:pPr>
        <w:pStyle w:val="Heading2"/>
        <w:rPr>
          <w:rFonts w:ascii="Arial" w:hAnsi="Arial" w:cs="Arial"/>
          <w:color w:val="000000" w:themeColor="text1" w:themeTint="FF" w:themeShade="FF"/>
        </w:rPr>
      </w:pPr>
      <w:bookmarkStart w:name="_Toc224702574" w:id="26"/>
      <w:r w:rsidRPr="5CA6A91A" w:rsidR="00D43875">
        <w:rPr>
          <w:rFonts w:ascii="Arial" w:hAnsi="Arial" w:cs="Arial"/>
          <w:color w:val="000000" w:themeColor="text1" w:themeTint="FF" w:themeShade="FF"/>
        </w:rPr>
        <w:t>6.4 Analysis</w:t>
      </w:r>
      <w:bookmarkEnd w:id="26"/>
    </w:p>
    <w:p w:rsidRPr="00963BC4" w:rsidR="00F75CC8" w:rsidP="5CA6A91A" w:rsidRDefault="00F75CC8" w14:paraId="63CD6BEC" w14:textId="58B1BE4F">
      <w:pPr>
        <w:rPr>
          <w:rFonts w:ascii="Arial" w:hAnsi="Arial" w:cs="Arial"/>
          <w:color w:val="000000" w:themeColor="text1" w:themeTint="FF" w:themeShade="FF"/>
        </w:rPr>
      </w:pPr>
      <w:r w:rsidRPr="5CA6A91A" w:rsidR="00F75CC8">
        <w:rPr>
          <w:rFonts w:ascii="Arial" w:hAnsi="Arial" w:cs="Arial"/>
          <w:color w:val="000000" w:themeColor="text1" w:themeTint="FF" w:themeShade="FF"/>
        </w:rPr>
        <w:t xml:space="preserve">The examination of these experiences through the Gibbs framework and international business approach allows </w:t>
      </w:r>
      <w:r w:rsidRPr="5CA6A91A" w:rsidR="00F75CC8">
        <w:rPr>
          <w:rFonts w:ascii="Arial" w:hAnsi="Arial" w:cs="Arial"/>
          <w:color w:val="000000" w:themeColor="text1" w:themeTint="FF" w:themeShade="FF"/>
        </w:rPr>
        <w:t>determining</w:t>
      </w:r>
      <w:r w:rsidRPr="5CA6A91A" w:rsidR="00F75CC8">
        <w:rPr>
          <w:rFonts w:ascii="Arial" w:hAnsi="Arial" w:cs="Arial"/>
          <w:color w:val="000000" w:themeColor="text1" w:themeTint="FF" w:themeShade="FF"/>
        </w:rPr>
        <w:t xml:space="preserve"> that the learnt experience that is the most valuable in terms of the significance of structured frameworks in coping with complexity. The Diamond of Porters, OLI, and PESTEL plus the cultural model by Hofstede provided prisms to philtre through the heaps of data, as well as to narrow down on specific causal relationships, such as the impact of government policy on the conditions of factors or the impact of the cultural distance on managerial practises (Dunning, 2003; Hofstede, 2011). </w:t>
      </w:r>
    </w:p>
    <w:p w:rsidRPr="00963BC4" w:rsidR="00F75CC8" w:rsidP="5CA6A91A" w:rsidRDefault="00F75CC8" w14:paraId="5AB221F6" w14:textId="0D69484F">
      <w:pPr>
        <w:rPr>
          <w:rFonts w:ascii="Arial" w:hAnsi="Arial" w:cs="Arial"/>
          <w:color w:val="000000" w:themeColor="text1" w:themeTint="FF" w:themeShade="FF"/>
        </w:rPr>
      </w:pPr>
      <w:r w:rsidRPr="5CA6A91A" w:rsidR="00F75CC8">
        <w:rPr>
          <w:rFonts w:ascii="Arial" w:hAnsi="Arial" w:cs="Arial"/>
          <w:color w:val="000000" w:themeColor="text1" w:themeTint="FF" w:themeShade="FF"/>
        </w:rPr>
        <w:t xml:space="preserve">A second lesson learnt is that triangulation is important in international business research. </w:t>
      </w:r>
      <w:r w:rsidRPr="5CA6A91A" w:rsidR="00F75CC8">
        <w:rPr>
          <w:rFonts w:ascii="Arial" w:hAnsi="Arial" w:cs="Arial"/>
          <w:color w:val="000000" w:themeColor="text1" w:themeTint="FF" w:themeShade="FF"/>
        </w:rPr>
        <w:t>Different aspects</w:t>
      </w:r>
      <w:r w:rsidRPr="5CA6A91A" w:rsidR="00F75CC8">
        <w:rPr>
          <w:rFonts w:ascii="Arial" w:hAnsi="Arial" w:cs="Arial"/>
          <w:color w:val="000000" w:themeColor="text1" w:themeTint="FF" w:themeShade="FF"/>
        </w:rPr>
        <w:t xml:space="preserve"> of the same phenomenon are sometimes more emphasised in policy documents, consultancy </w:t>
      </w:r>
      <w:r w:rsidRPr="5CA6A91A" w:rsidR="00F75CC8">
        <w:rPr>
          <w:rFonts w:ascii="Arial" w:hAnsi="Arial" w:cs="Arial"/>
          <w:color w:val="000000" w:themeColor="text1" w:themeTint="FF" w:themeShade="FF"/>
        </w:rPr>
        <w:t>reports</w:t>
      </w:r>
      <w:r w:rsidRPr="5CA6A91A" w:rsidR="00F75CC8">
        <w:rPr>
          <w:rFonts w:ascii="Arial" w:hAnsi="Arial" w:cs="Arial"/>
          <w:color w:val="000000" w:themeColor="text1" w:themeTint="FF" w:themeShade="FF"/>
        </w:rPr>
        <w:t xml:space="preserve"> and academic articles. Such reports include, </w:t>
      </w:r>
      <w:r w:rsidRPr="5CA6A91A" w:rsidR="00B85C5F">
        <w:rPr>
          <w:rFonts w:ascii="Arial" w:hAnsi="Arial" w:cs="Arial"/>
          <w:color w:val="000000" w:themeColor="text1" w:themeTint="FF" w:themeShade="FF"/>
        </w:rPr>
        <w:t>such as</w:t>
      </w:r>
      <w:r w:rsidRPr="5CA6A91A" w:rsidR="00F75CC8">
        <w:rPr>
          <w:rFonts w:ascii="Arial" w:hAnsi="Arial" w:cs="Arial"/>
          <w:color w:val="000000" w:themeColor="text1" w:themeTint="FF" w:themeShade="FF"/>
        </w:rPr>
        <w:t xml:space="preserve"> technological success and affordability of China, </w:t>
      </w:r>
      <w:r w:rsidRPr="5CA6A91A" w:rsidR="00F75CC8">
        <w:rPr>
          <w:rFonts w:ascii="Arial" w:hAnsi="Arial" w:cs="Arial"/>
          <w:color w:val="000000" w:themeColor="text1" w:themeTint="FF" w:themeShade="FF"/>
        </w:rPr>
        <w:t>whereas</w:t>
      </w:r>
      <w:r w:rsidRPr="5CA6A91A" w:rsidR="00F75CC8">
        <w:rPr>
          <w:rFonts w:ascii="Arial" w:hAnsi="Arial" w:cs="Arial"/>
          <w:color w:val="000000" w:themeColor="text1" w:themeTint="FF" w:themeShade="FF"/>
        </w:rPr>
        <w:t xml:space="preserve"> others mention the threats of political and trade (Henry, 2026). The comparison of these sources was used to create a more balanced and critical perspective that aligns with the level 7 expectation of being able to assess the existing research and draw subtle conclusions (</w:t>
      </w:r>
      <w:r w:rsidRPr="5CA6A91A" w:rsidR="00993B05">
        <w:rPr>
          <w:rFonts w:ascii="Arial" w:hAnsi="Arial" w:cs="Arial"/>
          <w:color w:val="000000" w:themeColor="text1" w:themeTint="FF" w:themeShade="FF"/>
          <w:lang w:val="en-US"/>
        </w:rPr>
        <w:t xml:space="preserve">Griffin </w:t>
      </w:r>
      <w:r w:rsidRPr="5CA6A91A" w:rsidR="00424DF6">
        <w:rPr>
          <w:rFonts w:ascii="Arial" w:hAnsi="Arial" w:cs="Arial"/>
          <w:color w:val="000000" w:themeColor="text1" w:themeTint="FF" w:themeShade="FF"/>
          <w:lang w:val="en-US"/>
        </w:rPr>
        <w:t>and</w:t>
      </w:r>
      <w:r w:rsidRPr="5CA6A91A" w:rsidR="00993B05">
        <w:rPr>
          <w:rFonts w:ascii="Arial" w:hAnsi="Arial" w:cs="Arial"/>
          <w:color w:val="000000" w:themeColor="text1" w:themeTint="FF" w:themeShade="FF"/>
          <w:lang w:val="en-US"/>
        </w:rPr>
        <w:t xml:space="preserve"> Pustay, 2020</w:t>
      </w:r>
      <w:r w:rsidRPr="5CA6A91A" w:rsidR="00F75CC8">
        <w:rPr>
          <w:rFonts w:ascii="Arial" w:hAnsi="Arial" w:cs="Arial"/>
          <w:color w:val="000000" w:themeColor="text1" w:themeTint="FF" w:themeShade="FF"/>
        </w:rPr>
        <w:t>; Hill, 2023).</w:t>
      </w:r>
    </w:p>
    <w:p w:rsidRPr="00963BC4" w:rsidR="00F75CC8" w:rsidP="5CA6A91A" w:rsidRDefault="00F75CC8" w14:paraId="7ECDC36A" w14:textId="657EFD6F">
      <w:pPr>
        <w:rPr>
          <w:rFonts w:ascii="Arial" w:hAnsi="Arial" w:cs="Arial"/>
          <w:color w:val="000000" w:themeColor="text1" w:themeTint="FF" w:themeShade="FF"/>
        </w:rPr>
      </w:pPr>
      <w:r w:rsidRPr="5CA6A91A" w:rsidR="00F75CC8">
        <w:rPr>
          <w:rFonts w:ascii="Arial" w:hAnsi="Arial" w:cs="Arial"/>
          <w:color w:val="000000" w:themeColor="text1" w:themeTint="FF" w:themeShade="FF"/>
        </w:rPr>
        <w:t xml:space="preserve">Time management and repetitive drafting was also revealed to be important in the process. My </w:t>
      </w:r>
      <w:r w:rsidRPr="5CA6A91A" w:rsidR="00F75CC8">
        <w:rPr>
          <w:rFonts w:ascii="Arial" w:hAnsi="Arial" w:cs="Arial"/>
          <w:color w:val="000000" w:themeColor="text1" w:themeTint="FF" w:themeShade="FF"/>
        </w:rPr>
        <w:t>initial</w:t>
      </w:r>
      <w:r w:rsidRPr="5CA6A91A" w:rsidR="00F75CC8">
        <w:rPr>
          <w:rFonts w:ascii="Arial" w:hAnsi="Arial" w:cs="Arial"/>
          <w:color w:val="000000" w:themeColor="text1" w:themeTint="FF" w:themeShade="FF"/>
        </w:rPr>
        <w:t xml:space="preserve"> work was too descriptive and </w:t>
      </w:r>
      <w:r w:rsidRPr="5CA6A91A" w:rsidR="00F75CC8">
        <w:rPr>
          <w:rFonts w:ascii="Arial" w:hAnsi="Arial" w:cs="Arial"/>
          <w:color w:val="000000" w:themeColor="text1" w:themeTint="FF" w:themeShade="FF"/>
        </w:rPr>
        <w:t>contained</w:t>
      </w:r>
      <w:r w:rsidRPr="5CA6A91A" w:rsidR="00F75CC8">
        <w:rPr>
          <w:rFonts w:ascii="Arial" w:hAnsi="Arial" w:cs="Arial"/>
          <w:color w:val="000000" w:themeColor="text1" w:themeTint="FF" w:themeShade="FF"/>
        </w:rPr>
        <w:t xml:space="preserve"> too much side information. Revision taught me to focus both on the arguments that were directly connected with the assignment brief and to explicitly connect each part to the learning outcomes like the ability to prove the knowledge of international business environment and the ways of engaging the foreign market.</w:t>
      </w:r>
    </w:p>
    <w:p w:rsidRPr="00963BC4" w:rsidR="00D43875" w:rsidP="5CA6A91A" w:rsidRDefault="00D43875" w14:paraId="21489B67" w14:textId="315B3E97">
      <w:pPr>
        <w:pStyle w:val="Heading2"/>
        <w:rPr>
          <w:rFonts w:ascii="Arial" w:hAnsi="Arial" w:cs="Arial"/>
          <w:color w:val="000000" w:themeColor="text1" w:themeTint="FF" w:themeShade="FF"/>
        </w:rPr>
      </w:pPr>
      <w:bookmarkStart w:name="_Toc224702575" w:id="27"/>
      <w:r w:rsidRPr="5CA6A91A" w:rsidR="00D43875">
        <w:rPr>
          <w:rFonts w:ascii="Arial" w:hAnsi="Arial" w:cs="Arial"/>
          <w:color w:val="000000" w:themeColor="text1" w:themeTint="FF" w:themeShade="FF"/>
        </w:rPr>
        <w:t>6.5 Conclusion</w:t>
      </w:r>
      <w:bookmarkEnd w:id="27"/>
      <w:r w:rsidRPr="5CA6A91A" w:rsidR="00D43875">
        <w:rPr>
          <w:rFonts w:ascii="Arial" w:hAnsi="Arial" w:cs="Arial"/>
          <w:color w:val="000000" w:themeColor="text1" w:themeTint="FF" w:themeShade="FF"/>
        </w:rPr>
        <w:t xml:space="preserve"> </w:t>
      </w:r>
    </w:p>
    <w:p w:rsidRPr="00963BC4" w:rsidR="00D43875" w:rsidP="5CA6A91A" w:rsidRDefault="00D43875" w14:paraId="797E8A78" w14:textId="15DF7D10">
      <w:pPr>
        <w:rPr>
          <w:rFonts w:ascii="Arial" w:hAnsi="Arial" w:cs="Arial"/>
          <w:color w:val="000000" w:themeColor="text1" w:themeTint="FF" w:themeShade="FF"/>
          <w:lang w:val="en-US"/>
        </w:rPr>
      </w:pPr>
      <w:r w:rsidRPr="5CA6A91A" w:rsidR="00D43875">
        <w:rPr>
          <w:rFonts w:ascii="Arial" w:hAnsi="Arial" w:cs="Arial"/>
          <w:color w:val="000000" w:themeColor="text1" w:themeTint="FF" w:themeShade="FF"/>
          <w:lang w:val="en-US"/>
        </w:rPr>
        <w:t xml:space="preserve">In conclusion, </w:t>
      </w:r>
      <w:r w:rsidRPr="5CA6A91A" w:rsidR="00A55C30">
        <w:rPr>
          <w:rFonts w:ascii="Arial" w:hAnsi="Arial" w:cs="Arial"/>
          <w:color w:val="000000" w:themeColor="text1" w:themeTint="FF" w:themeShade="FF"/>
        </w:rPr>
        <w:t xml:space="preserve">the researching and writing of this report have helped me to enhance my knowledge </w:t>
      </w:r>
      <w:r w:rsidRPr="5CA6A91A" w:rsidR="00A55C30">
        <w:rPr>
          <w:rFonts w:ascii="Arial" w:hAnsi="Arial" w:cs="Arial"/>
          <w:color w:val="000000" w:themeColor="text1" w:themeTint="FF" w:themeShade="FF"/>
        </w:rPr>
        <w:t>regarding</w:t>
      </w:r>
      <w:r w:rsidRPr="5CA6A91A" w:rsidR="00A55C30">
        <w:rPr>
          <w:rFonts w:ascii="Arial" w:hAnsi="Arial" w:cs="Arial"/>
          <w:color w:val="000000" w:themeColor="text1" w:themeTint="FF" w:themeShade="FF"/>
        </w:rPr>
        <w:t xml:space="preserve"> the Chinese EV industry and gaining insight into how international business frameworks can be applied in real-life situations. I felt more confident in my critical approach to a diverse range of sources and organising the complicated analysis and reflection over my own practise as a researcher. Simultaneously, I also realised that my abilities in data analysis, synthesis of opposing points of view and short academic writing could be enhanced.</w:t>
      </w:r>
    </w:p>
    <w:p w:rsidRPr="00963BC4" w:rsidR="00DC2CBD" w:rsidP="5CA6A91A" w:rsidRDefault="00DC2CBD" w14:paraId="6578F271" w14:textId="27F1FDD3">
      <w:pPr>
        <w:pStyle w:val="Heading2"/>
        <w:rPr>
          <w:rFonts w:ascii="Arial" w:hAnsi="Arial" w:cs="Arial"/>
          <w:color w:val="000000" w:themeColor="text1" w:themeTint="FF" w:themeShade="FF"/>
        </w:rPr>
      </w:pPr>
      <w:bookmarkStart w:name="_Toc224702576" w:id="28"/>
      <w:r w:rsidRPr="5CA6A91A" w:rsidR="00DC2CBD">
        <w:rPr>
          <w:rFonts w:ascii="Arial" w:hAnsi="Arial" w:cs="Arial"/>
          <w:color w:val="000000" w:themeColor="text1" w:themeTint="FF" w:themeShade="FF"/>
        </w:rPr>
        <w:t>6.6 Action Plan</w:t>
      </w:r>
      <w:bookmarkEnd w:id="28"/>
    </w:p>
    <w:p w:rsidRPr="00396855" w:rsidR="00F2325D" w:rsidP="5CA6A91A" w:rsidRDefault="00013C11" w14:paraId="37B0337A" w14:textId="2EC1BC16">
      <w:pPr>
        <w:rPr>
          <w:rFonts w:ascii="Arial" w:hAnsi="Arial" w:cs="Arial"/>
          <w:color w:val="000000" w:themeColor="text1" w:themeTint="FF" w:themeShade="FF"/>
        </w:rPr>
      </w:pPr>
      <w:r w:rsidRPr="5CA6A91A" w:rsidR="00013C11">
        <w:rPr>
          <w:rFonts w:ascii="Arial" w:hAnsi="Arial" w:cs="Arial"/>
          <w:color w:val="000000" w:themeColor="text1" w:themeTint="FF" w:themeShade="FF"/>
        </w:rPr>
        <w:t xml:space="preserve">My action plan will be more organised and quantifiable in the future. First, I will </w:t>
      </w:r>
      <w:r w:rsidRPr="5CA6A91A" w:rsidR="00013C11">
        <w:rPr>
          <w:rFonts w:ascii="Arial" w:hAnsi="Arial" w:cs="Arial"/>
          <w:color w:val="000000" w:themeColor="text1" w:themeTint="FF" w:themeShade="FF"/>
        </w:rPr>
        <w:t>initiate</w:t>
      </w:r>
      <w:r w:rsidRPr="5CA6A91A" w:rsidR="00013C11">
        <w:rPr>
          <w:rFonts w:ascii="Arial" w:hAnsi="Arial" w:cs="Arial"/>
          <w:color w:val="000000" w:themeColor="text1" w:themeTint="FF" w:themeShade="FF"/>
        </w:rPr>
        <w:t xml:space="preserve"> the literature search at a sooner date and create a claim evidence matrix in which all significant statistics, predictions, and comparative utterances are connected to a source, definition, date, and page number reference. This will enhance the accuracy of the evidence and minimise the chances of unsubstantiated assertions. Second, I will set clear criteria of source credibility, with priority given to peer-reviewed journal articles, authoritative institutions, and quality industry reports, and weaker sources of commentary will only be used to provide supplementary information. Third, during the drafting process, I will restrict myself to fewer frameworks and will test frame whether they will be of any analytical value, which will enable me to reduce the aspect of framework stacking and will enable me to utilise them in a more thorough way. Fourth, I will have a revision phase where I will exclusively tighten synthesis by transforming the descriptive passages into analysis being driven by judgement. Lastly, I will persist in applying the reflective cycle of Gibbs to the assessment of my academic process and transform experience into certain work improvement in the future (</w:t>
      </w:r>
      <w:r w:rsidRPr="5CA6A91A" w:rsidR="00013C11">
        <w:rPr>
          <w:rFonts w:ascii="Arial" w:hAnsi="Arial" w:cs="Arial"/>
          <w:color w:val="000000" w:themeColor="text1" w:themeTint="FF" w:themeShade="FF"/>
        </w:rPr>
        <w:t>Adeani</w:t>
      </w:r>
      <w:r w:rsidRPr="5CA6A91A" w:rsidR="00013C11">
        <w:rPr>
          <w:rFonts w:ascii="Arial" w:hAnsi="Arial" w:cs="Arial"/>
          <w:color w:val="000000" w:themeColor="text1" w:themeTint="FF" w:themeShade="FF"/>
        </w:rPr>
        <w:t xml:space="preserve"> et al., 2020).</w:t>
      </w:r>
    </w:p>
    <w:p w:rsidRPr="00963BC4" w:rsidR="00AE432D" w:rsidP="5CA6A91A" w:rsidRDefault="00AE432D" w14:paraId="56980268" w14:textId="77777777">
      <w:pPr>
        <w:rPr>
          <w:rFonts w:ascii="Arial" w:hAnsi="Arial" w:cs="Arial"/>
          <w:color w:val="000000" w:themeColor="text1" w:themeTint="FF" w:themeShade="FF"/>
          <w:lang w:val="en-US"/>
        </w:rPr>
      </w:pPr>
    </w:p>
    <w:p w:rsidRPr="00963BC4" w:rsidR="00276E51" w:rsidP="5CA6A91A" w:rsidRDefault="00276E51" w14:paraId="4EE050DD" w14:textId="684C1964">
      <w:pPr>
        <w:spacing w:before="0" w:after="160"/>
        <w:jc w:val="left"/>
        <w:rPr>
          <w:rFonts w:ascii="Arial" w:hAnsi="Arial" w:cs="Arial"/>
          <w:b w:val="1"/>
          <w:bCs w:val="1"/>
          <w:color w:val="000000" w:themeColor="text1" w:themeTint="FF" w:themeShade="FF"/>
          <w:sz w:val="32"/>
          <w:szCs w:val="32"/>
          <w:lang w:val="en-US"/>
        </w:rPr>
      </w:pPr>
      <w:r w:rsidRPr="5CA6A91A">
        <w:rPr>
          <w:rFonts w:ascii="Arial" w:hAnsi="Arial" w:cs="Arial"/>
          <w:color w:val="000000" w:themeColor="text1" w:themeTint="FF" w:themeShade="FF"/>
        </w:rPr>
        <w:br w:type="page"/>
      </w:r>
    </w:p>
    <w:p w:rsidRPr="00963BC4" w:rsidR="000E002D" w:rsidP="5CA6A91A" w:rsidRDefault="004C15AF" w14:paraId="0825C048" w14:textId="2D064AC1">
      <w:pPr>
        <w:pStyle w:val="Heading1"/>
        <w:rPr>
          <w:rFonts w:ascii="Arial" w:hAnsi="Arial" w:cs="Arial"/>
          <w:color w:val="000000" w:themeColor="text1" w:themeTint="FF" w:themeShade="FF"/>
        </w:rPr>
      </w:pPr>
      <w:bookmarkStart w:name="_Toc224702577" w:id="29"/>
      <w:r w:rsidRPr="5CA6A91A" w:rsidR="004C15AF">
        <w:rPr>
          <w:rFonts w:ascii="Arial" w:hAnsi="Arial" w:cs="Arial"/>
          <w:color w:val="000000" w:themeColor="text1" w:themeTint="FF" w:themeShade="FF"/>
        </w:rPr>
        <w:t>7</w:t>
      </w:r>
      <w:r w:rsidRPr="5CA6A91A" w:rsidR="000E002D">
        <w:rPr>
          <w:rFonts w:ascii="Arial" w:hAnsi="Arial" w:cs="Arial"/>
          <w:color w:val="000000" w:themeColor="text1" w:themeTint="FF" w:themeShade="FF"/>
        </w:rPr>
        <w:t>.0 Reference List</w:t>
      </w:r>
      <w:bookmarkEnd w:id="29"/>
    </w:p>
    <w:p w:rsidRPr="00963BC4" w:rsidR="009D6C4F" w:rsidP="5CA6A91A" w:rsidRDefault="009D6C4F" w14:paraId="4FC80DA5" w14:textId="77777777">
      <w:pPr>
        <w:ind w:left="720" w:hanging="720"/>
        <w:rPr>
          <w:rFonts w:ascii="Arial" w:hAnsi="Arial" w:cs="Arial"/>
          <w:color w:val="000000" w:themeColor="text1" w:themeTint="FF" w:themeShade="FF"/>
          <w:lang w:val="en-US"/>
        </w:rPr>
      </w:pPr>
      <w:r w:rsidRPr="5CA6A91A" w:rsidR="009D6C4F">
        <w:rPr>
          <w:rFonts w:ascii="Arial" w:hAnsi="Arial" w:cs="Arial"/>
          <w:color w:val="000000" w:themeColor="text1" w:themeTint="FF" w:themeShade="FF"/>
          <w:lang w:val="en-US"/>
        </w:rPr>
        <w:t>Adeani</w:t>
      </w:r>
      <w:r w:rsidRPr="5CA6A91A" w:rsidR="009D6C4F">
        <w:rPr>
          <w:rFonts w:ascii="Arial" w:hAnsi="Arial" w:cs="Arial"/>
          <w:color w:val="000000" w:themeColor="text1" w:themeTint="FF" w:themeShade="FF"/>
          <w:lang w:val="en-US"/>
        </w:rPr>
        <w:t xml:space="preserve">, I. S., </w:t>
      </w:r>
      <w:r w:rsidRPr="5CA6A91A" w:rsidR="009D6C4F">
        <w:rPr>
          <w:rFonts w:ascii="Arial" w:hAnsi="Arial" w:cs="Arial"/>
          <w:color w:val="000000" w:themeColor="text1" w:themeTint="FF" w:themeShade="FF"/>
          <w:lang w:val="en-US"/>
        </w:rPr>
        <w:t>Febriani</w:t>
      </w:r>
      <w:r w:rsidRPr="5CA6A91A" w:rsidR="009D6C4F">
        <w:rPr>
          <w:rFonts w:ascii="Arial" w:hAnsi="Arial" w:cs="Arial"/>
          <w:color w:val="000000" w:themeColor="text1" w:themeTint="FF" w:themeShade="FF"/>
          <w:lang w:val="en-US"/>
        </w:rPr>
        <w:t xml:space="preserve">, R. B. and </w:t>
      </w:r>
      <w:r w:rsidRPr="5CA6A91A" w:rsidR="009D6C4F">
        <w:rPr>
          <w:rFonts w:ascii="Arial" w:hAnsi="Arial" w:cs="Arial"/>
          <w:color w:val="000000" w:themeColor="text1" w:themeTint="FF" w:themeShade="FF"/>
          <w:lang w:val="en-US"/>
        </w:rPr>
        <w:t>Syafryadin</w:t>
      </w:r>
      <w:r w:rsidRPr="5CA6A91A" w:rsidR="009D6C4F">
        <w:rPr>
          <w:rFonts w:ascii="Arial" w:hAnsi="Arial" w:cs="Arial"/>
          <w:color w:val="000000" w:themeColor="text1" w:themeTint="FF" w:themeShade="FF"/>
          <w:lang w:val="en-US"/>
        </w:rPr>
        <w:t xml:space="preserve">, S. (2020) Using GIBBS’ reflective cycle in making reflections of literary analysis. </w:t>
      </w:r>
      <w:r w:rsidRPr="5CA6A91A" w:rsidR="009D6C4F">
        <w:rPr>
          <w:rFonts w:ascii="Arial" w:hAnsi="Arial" w:cs="Arial"/>
          <w:i w:val="1"/>
          <w:iCs w:val="1"/>
          <w:color w:val="000000" w:themeColor="text1" w:themeTint="FF" w:themeShade="FF"/>
          <w:lang w:val="en-US"/>
        </w:rPr>
        <w:t>Indonesian EFL Journal</w:t>
      </w:r>
      <w:r w:rsidRPr="5CA6A91A" w:rsidR="009D6C4F">
        <w:rPr>
          <w:rFonts w:ascii="Arial" w:hAnsi="Arial" w:cs="Arial"/>
          <w:color w:val="000000" w:themeColor="text1" w:themeTint="FF" w:themeShade="FF"/>
          <w:lang w:val="en-US"/>
        </w:rPr>
        <w:t xml:space="preserve">, 6(2), 139–148. </w:t>
      </w:r>
    </w:p>
    <w:p w:rsidRPr="00963BC4" w:rsidR="009D6C4F" w:rsidP="5CA6A91A" w:rsidRDefault="009D6C4F" w14:paraId="48C04C2E" w14:textId="77777777">
      <w:pPr>
        <w:ind w:left="720" w:hanging="720"/>
        <w:rPr>
          <w:rFonts w:ascii="Arial" w:hAnsi="Arial" w:cs="Arial"/>
          <w:color w:val="000000" w:themeColor="text1" w:themeTint="FF" w:themeShade="FF"/>
          <w:lang w:val="en-US"/>
        </w:rPr>
      </w:pPr>
      <w:r w:rsidRPr="5CA6A91A" w:rsidR="009D6C4F">
        <w:rPr>
          <w:rFonts w:ascii="Arial" w:hAnsi="Arial" w:cs="Arial"/>
          <w:color w:val="000000" w:themeColor="text1" w:themeTint="FF" w:themeShade="FF"/>
          <w:lang w:val="en-US"/>
        </w:rPr>
        <w:t>Aranca</w:t>
      </w:r>
      <w:r w:rsidRPr="5CA6A91A" w:rsidR="009D6C4F">
        <w:rPr>
          <w:rFonts w:ascii="Arial" w:hAnsi="Arial" w:cs="Arial"/>
          <w:color w:val="000000" w:themeColor="text1" w:themeTint="FF" w:themeShade="FF"/>
          <w:lang w:val="en-US"/>
        </w:rPr>
        <w:t xml:space="preserve"> (2025) Special report: Charging Forward: China’s rise to dominance in the global EV market. May. Available at: </w:t>
      </w:r>
      <w:hyperlink r:id="R69c0ef6b51744429">
        <w:r w:rsidRPr="5CA6A91A" w:rsidR="009D6C4F">
          <w:rPr>
            <w:rStyle w:val="Hyperlink"/>
            <w:rFonts w:ascii="Arial" w:hAnsi="Arial" w:cs="Arial"/>
            <w:color w:val="000000" w:themeColor="text1" w:themeTint="FF" w:themeShade="FF"/>
            <w:lang w:val="en-US"/>
          </w:rPr>
          <w:t>https://www.aranca.com/assets/docs/Charging-Forward-Chinas-Rise-to-Dominance-in-the-Global-EV-Market.pdf</w:t>
        </w:r>
      </w:hyperlink>
      <w:r w:rsidRPr="5CA6A91A" w:rsidR="009D6C4F">
        <w:rPr>
          <w:rFonts w:ascii="Arial" w:hAnsi="Arial" w:cs="Arial"/>
          <w:color w:val="000000" w:themeColor="text1" w:themeTint="FF" w:themeShade="FF"/>
          <w:lang w:val="en-US"/>
        </w:rPr>
        <w:t xml:space="preserve"> (Accessed: 28 February 2026). </w:t>
      </w:r>
    </w:p>
    <w:p w:rsidRPr="00963BC4" w:rsidR="009D6C4F" w:rsidP="5CA6A91A" w:rsidRDefault="009D6C4F" w14:paraId="1437675E" w14:textId="77777777">
      <w:pPr>
        <w:ind w:left="720" w:hanging="720"/>
        <w:rPr>
          <w:rFonts w:ascii="Arial" w:hAnsi="Arial" w:cs="Arial"/>
          <w:color w:val="000000" w:themeColor="text1" w:themeTint="FF" w:themeShade="FF"/>
          <w:lang w:val="en-US"/>
        </w:rPr>
      </w:pPr>
      <w:r w:rsidRPr="5CA6A91A" w:rsidR="009D6C4F">
        <w:rPr>
          <w:rFonts w:ascii="Arial" w:hAnsi="Arial" w:cs="Arial"/>
          <w:color w:val="000000" w:themeColor="text1" w:themeTint="FF" w:themeShade="FF"/>
          <w:lang w:val="en-US"/>
        </w:rPr>
        <w:t xml:space="preserve">Arthur D. Little (2024) Chinese electric vehicles 2024. Available at: </w:t>
      </w:r>
      <w:hyperlink r:id="Rb2876d0f94e04255">
        <w:r w:rsidRPr="5CA6A91A" w:rsidR="009D6C4F">
          <w:rPr>
            <w:rStyle w:val="Hyperlink"/>
            <w:rFonts w:ascii="Arial" w:hAnsi="Arial" w:cs="Arial"/>
            <w:color w:val="000000" w:themeColor="text1" w:themeTint="FF" w:themeShade="FF"/>
            <w:lang w:val="en-US"/>
          </w:rPr>
          <w:t>https://www.adlittle.com/sites/default/files/reports/ADL_Chinese_electric_vehicles_2024_0.pdf</w:t>
        </w:r>
      </w:hyperlink>
      <w:r w:rsidRPr="5CA6A91A" w:rsidR="009D6C4F">
        <w:rPr>
          <w:rFonts w:ascii="Arial" w:hAnsi="Arial" w:cs="Arial"/>
          <w:color w:val="000000" w:themeColor="text1" w:themeTint="FF" w:themeShade="FF"/>
          <w:lang w:val="en-US"/>
        </w:rPr>
        <w:t xml:space="preserve"> (Accessed: 27 February 2026). </w:t>
      </w:r>
    </w:p>
    <w:p w:rsidRPr="00963BC4" w:rsidR="009D6C4F" w:rsidP="5CA6A91A" w:rsidRDefault="009D6C4F" w14:paraId="2C852EC8" w14:textId="77777777">
      <w:pPr>
        <w:ind w:left="720" w:hanging="720"/>
        <w:rPr>
          <w:rFonts w:ascii="Arial" w:hAnsi="Arial" w:cs="Arial"/>
          <w:color w:val="000000" w:themeColor="text1" w:themeTint="FF" w:themeShade="FF"/>
          <w:lang w:val="en-US"/>
        </w:rPr>
      </w:pPr>
      <w:r w:rsidRPr="5CA6A91A" w:rsidR="009D6C4F">
        <w:rPr>
          <w:rFonts w:ascii="Arial" w:hAnsi="Arial" w:cs="Arial"/>
          <w:color w:val="000000" w:themeColor="text1" w:themeTint="FF" w:themeShade="FF"/>
          <w:lang w:val="en-US"/>
        </w:rPr>
        <w:t>Bonanomi</w:t>
      </w:r>
      <w:r w:rsidRPr="5CA6A91A" w:rsidR="009D6C4F">
        <w:rPr>
          <w:rFonts w:ascii="Arial" w:hAnsi="Arial" w:cs="Arial"/>
          <w:color w:val="000000" w:themeColor="text1" w:themeTint="FF" w:themeShade="FF"/>
          <w:lang w:val="en-US"/>
        </w:rPr>
        <w:t xml:space="preserve">, A. (2026) Automotive, China vs. Rest of the World. </w:t>
      </w:r>
      <w:r w:rsidRPr="5CA6A91A" w:rsidR="009D6C4F">
        <w:rPr>
          <w:rFonts w:ascii="Arial" w:hAnsi="Arial" w:cs="Arial"/>
          <w:i w:val="1"/>
          <w:iCs w:val="1"/>
          <w:color w:val="000000" w:themeColor="text1" w:themeTint="FF" w:themeShade="FF"/>
          <w:lang w:val="en-US"/>
        </w:rPr>
        <w:t>Electric Motor Engineering</w:t>
      </w:r>
      <w:r w:rsidRPr="5CA6A91A" w:rsidR="009D6C4F">
        <w:rPr>
          <w:rFonts w:ascii="Arial" w:hAnsi="Arial" w:cs="Arial"/>
          <w:color w:val="000000" w:themeColor="text1" w:themeTint="FF" w:themeShade="FF"/>
          <w:lang w:val="en-US"/>
        </w:rPr>
        <w:t xml:space="preserve">, 27 February. Available at: </w:t>
      </w:r>
      <w:hyperlink r:id="R0426aab7063a48f1">
        <w:r w:rsidRPr="5CA6A91A" w:rsidR="009D6C4F">
          <w:rPr>
            <w:rStyle w:val="Hyperlink"/>
            <w:rFonts w:ascii="Arial" w:hAnsi="Arial" w:cs="Arial"/>
            <w:color w:val="000000" w:themeColor="text1" w:themeTint="FF" w:themeShade="FF"/>
            <w:lang w:val="en-US"/>
          </w:rPr>
          <w:t>https://www.electricmotorengineering.com/automotive-china-vs-rest-of-the-world/</w:t>
        </w:r>
      </w:hyperlink>
      <w:r w:rsidRPr="5CA6A91A" w:rsidR="009D6C4F">
        <w:rPr>
          <w:rFonts w:ascii="Arial" w:hAnsi="Arial" w:cs="Arial"/>
          <w:color w:val="000000" w:themeColor="text1" w:themeTint="FF" w:themeShade="FF"/>
          <w:lang w:val="en-US"/>
        </w:rPr>
        <w:t xml:space="preserve"> (Accessed: 28 February 2026). </w:t>
      </w:r>
    </w:p>
    <w:p w:rsidRPr="00963BC4" w:rsidR="009D6C4F" w:rsidP="5CA6A91A" w:rsidRDefault="009D6C4F" w14:paraId="0C6079E3" w14:textId="77777777">
      <w:pPr>
        <w:ind w:left="720" w:hanging="720"/>
        <w:rPr>
          <w:rFonts w:ascii="Arial" w:hAnsi="Arial" w:cs="Arial"/>
          <w:color w:val="000000" w:themeColor="text1" w:themeTint="FF" w:themeShade="FF"/>
          <w:lang w:val="en-US"/>
        </w:rPr>
      </w:pPr>
      <w:r w:rsidRPr="5CA6A91A" w:rsidR="009D6C4F">
        <w:rPr>
          <w:rFonts w:ascii="Arial" w:hAnsi="Arial" w:cs="Arial"/>
          <w:color w:val="000000" w:themeColor="text1" w:themeTint="FF" w:themeShade="FF"/>
          <w:lang w:val="en-US"/>
        </w:rPr>
        <w:t xml:space="preserve">Buye, R. (2021) Critical examination of the PESTEL analysis model. </w:t>
      </w:r>
      <w:r w:rsidRPr="5CA6A91A" w:rsidR="009D6C4F">
        <w:rPr>
          <w:rFonts w:ascii="Arial" w:hAnsi="Arial" w:cs="Arial"/>
          <w:i w:val="1"/>
          <w:iCs w:val="1"/>
          <w:color w:val="000000" w:themeColor="text1" w:themeTint="FF" w:themeShade="FF"/>
          <w:lang w:val="en-US"/>
        </w:rPr>
        <w:t>Project: Action Research for Development</w:t>
      </w:r>
      <w:r w:rsidRPr="5CA6A91A" w:rsidR="009D6C4F">
        <w:rPr>
          <w:rFonts w:ascii="Arial" w:hAnsi="Arial" w:cs="Arial"/>
          <w:color w:val="000000" w:themeColor="text1" w:themeTint="FF" w:themeShade="FF"/>
          <w:lang w:val="en-US"/>
        </w:rPr>
        <w:t xml:space="preserve">, pp. 1–12. </w:t>
      </w:r>
    </w:p>
    <w:p w:rsidRPr="00963BC4" w:rsidR="009D6C4F" w:rsidP="5CA6A91A" w:rsidRDefault="009D6C4F" w14:paraId="6C30BB06" w14:textId="77777777">
      <w:pPr>
        <w:ind w:left="720" w:hanging="720"/>
        <w:rPr>
          <w:rFonts w:ascii="Arial" w:hAnsi="Arial" w:cs="Arial"/>
          <w:color w:val="000000" w:themeColor="text1" w:themeTint="FF" w:themeShade="FF"/>
          <w:lang w:val="en-US"/>
        </w:rPr>
      </w:pPr>
      <w:r w:rsidRPr="5CA6A91A" w:rsidR="009D6C4F">
        <w:rPr>
          <w:rFonts w:ascii="Arial" w:hAnsi="Arial" w:cs="Arial"/>
          <w:color w:val="000000" w:themeColor="text1" w:themeTint="FF" w:themeShade="FF"/>
          <w:lang w:val="en-US"/>
        </w:rPr>
        <w:t xml:space="preserve">Chen, R. (2024) Chinese EVs impact on the global auto industry. </w:t>
      </w:r>
      <w:r w:rsidRPr="5CA6A91A" w:rsidR="009D6C4F">
        <w:rPr>
          <w:rFonts w:ascii="Arial" w:hAnsi="Arial" w:cs="Arial"/>
          <w:i w:val="1"/>
          <w:iCs w:val="1"/>
          <w:color w:val="000000" w:themeColor="text1" w:themeTint="FF" w:themeShade="FF"/>
          <w:lang w:val="en-US"/>
        </w:rPr>
        <w:t>Third Bridge</w:t>
      </w:r>
      <w:r w:rsidRPr="5CA6A91A" w:rsidR="009D6C4F">
        <w:rPr>
          <w:rFonts w:ascii="Arial" w:hAnsi="Arial" w:cs="Arial"/>
          <w:color w:val="000000" w:themeColor="text1" w:themeTint="FF" w:themeShade="FF"/>
          <w:lang w:val="en-US"/>
        </w:rPr>
        <w:t xml:space="preserve">, 1 November. Available at: </w:t>
      </w:r>
      <w:hyperlink r:id="Rf111c86d2afb43ba">
        <w:r w:rsidRPr="5CA6A91A" w:rsidR="009D6C4F">
          <w:rPr>
            <w:rStyle w:val="Hyperlink"/>
            <w:rFonts w:ascii="Arial" w:hAnsi="Arial" w:cs="Arial"/>
            <w:color w:val="000000" w:themeColor="text1" w:themeTint="FF" w:themeShade="FF"/>
            <w:lang w:val="en-US"/>
          </w:rPr>
          <w:t>https://www.thirdbridge.com/en-us/about-us/media/perspectives/how-chinese-evs-are-shaking-up-the-global-auto-industry</w:t>
        </w:r>
      </w:hyperlink>
      <w:r w:rsidRPr="5CA6A91A" w:rsidR="009D6C4F">
        <w:rPr>
          <w:rFonts w:ascii="Arial" w:hAnsi="Arial" w:cs="Arial"/>
          <w:color w:val="000000" w:themeColor="text1" w:themeTint="FF" w:themeShade="FF"/>
          <w:lang w:val="en-US"/>
        </w:rPr>
        <w:t xml:space="preserve"> (Accessed: 28 February 2026). </w:t>
      </w:r>
    </w:p>
    <w:p w:rsidRPr="00963BC4" w:rsidR="009D6C4F" w:rsidP="5CA6A91A" w:rsidRDefault="009D6C4F" w14:paraId="2483D2E9" w14:textId="77777777">
      <w:pPr>
        <w:ind w:left="720" w:hanging="720"/>
        <w:rPr>
          <w:rFonts w:ascii="Arial" w:hAnsi="Arial" w:cs="Arial"/>
          <w:color w:val="000000" w:themeColor="text1" w:themeTint="FF" w:themeShade="FF"/>
          <w:lang w:val="en-US"/>
        </w:rPr>
      </w:pPr>
      <w:r w:rsidRPr="5CA6A91A" w:rsidR="009D6C4F">
        <w:rPr>
          <w:rFonts w:ascii="Arial" w:hAnsi="Arial" w:cs="Arial"/>
          <w:color w:val="000000" w:themeColor="text1" w:themeTint="FF" w:themeShade="FF"/>
          <w:lang w:val="en-US"/>
        </w:rPr>
        <w:t xml:space="preserve">Chen, Y., Dai, X., Fu, P., Luo, </w:t>
      </w:r>
      <w:r w:rsidRPr="5CA6A91A" w:rsidR="009D6C4F">
        <w:rPr>
          <w:rFonts w:ascii="Arial" w:hAnsi="Arial" w:cs="Arial"/>
          <w:color w:val="000000" w:themeColor="text1" w:themeTint="FF" w:themeShade="FF"/>
          <w:lang w:val="en-US"/>
        </w:rPr>
        <w:t>G.</w:t>
      </w:r>
      <w:r w:rsidRPr="5CA6A91A" w:rsidR="009D6C4F">
        <w:rPr>
          <w:rFonts w:ascii="Arial" w:hAnsi="Arial" w:cs="Arial"/>
          <w:color w:val="000000" w:themeColor="text1" w:themeTint="FF" w:themeShade="FF"/>
          <w:lang w:val="en-US"/>
        </w:rPr>
        <w:t xml:space="preserve"> and Shi, P. (2024) A review of China’s automotive industry policy: recent developments and future trends. </w:t>
      </w:r>
      <w:r w:rsidRPr="5CA6A91A" w:rsidR="009D6C4F">
        <w:rPr>
          <w:rFonts w:ascii="Arial" w:hAnsi="Arial" w:cs="Arial"/>
          <w:i w:val="1"/>
          <w:iCs w:val="1"/>
          <w:color w:val="000000" w:themeColor="text1" w:themeTint="FF" w:themeShade="FF"/>
          <w:lang w:val="en-US"/>
        </w:rPr>
        <w:t>Journal of Traffic and Transportation Engineering (English Edition)</w:t>
      </w:r>
      <w:r w:rsidRPr="5CA6A91A" w:rsidR="009D6C4F">
        <w:rPr>
          <w:rFonts w:ascii="Arial" w:hAnsi="Arial" w:cs="Arial"/>
          <w:color w:val="000000" w:themeColor="text1" w:themeTint="FF" w:themeShade="FF"/>
          <w:lang w:val="en-US"/>
        </w:rPr>
        <w:t xml:space="preserve">, 11(5), 867–895. </w:t>
      </w:r>
    </w:p>
    <w:p w:rsidRPr="00963BC4" w:rsidR="009D6C4F" w:rsidP="5CA6A91A" w:rsidRDefault="009D6C4F" w14:paraId="703F06B0" w14:textId="77777777">
      <w:pPr>
        <w:ind w:left="720" w:hanging="720"/>
        <w:rPr>
          <w:rFonts w:ascii="Arial" w:hAnsi="Arial" w:cs="Arial"/>
          <w:color w:val="000000" w:themeColor="text1" w:themeTint="FF" w:themeShade="FF"/>
          <w:lang w:val="en-US"/>
        </w:rPr>
      </w:pPr>
      <w:r w:rsidRPr="5CA6A91A" w:rsidR="009D6C4F">
        <w:rPr>
          <w:rFonts w:ascii="Arial" w:hAnsi="Arial" w:cs="Arial"/>
          <w:color w:val="000000" w:themeColor="text1" w:themeTint="FF" w:themeShade="FF"/>
          <w:lang w:val="en-US"/>
        </w:rPr>
        <w:t>Collinson, S., Narula, R. and Rugman, A. M. (2020)</w:t>
      </w:r>
      <w:r w:rsidRPr="5CA6A91A" w:rsidR="009D6C4F">
        <w:rPr>
          <w:rFonts w:ascii="Arial" w:hAnsi="Arial" w:cs="Arial"/>
          <w:color w:val="000000" w:themeColor="text1" w:themeTint="FF" w:themeShade="FF"/>
          <w:lang w:val="en-US"/>
        </w:rPr>
        <w:t xml:space="preserve"> </w:t>
      </w:r>
      <w:r w:rsidRPr="5CA6A91A" w:rsidR="009D6C4F">
        <w:rPr>
          <w:rFonts w:ascii="Arial" w:hAnsi="Arial" w:cs="Arial"/>
          <w:i w:val="1"/>
          <w:iCs w:val="1"/>
          <w:color w:val="000000" w:themeColor="text1" w:themeTint="FF" w:themeShade="FF"/>
          <w:lang w:val="en-US"/>
        </w:rPr>
        <w:t>International</w:t>
      </w:r>
      <w:r w:rsidRPr="5CA6A91A" w:rsidR="009D6C4F">
        <w:rPr>
          <w:rFonts w:ascii="Arial" w:hAnsi="Arial" w:cs="Arial"/>
          <w:i w:val="1"/>
          <w:iCs w:val="1"/>
          <w:color w:val="000000" w:themeColor="text1" w:themeTint="FF" w:themeShade="FF"/>
          <w:lang w:val="en-US"/>
        </w:rPr>
        <w:t xml:space="preserve"> business</w:t>
      </w:r>
      <w:r w:rsidRPr="5CA6A91A" w:rsidR="009D6C4F">
        <w:rPr>
          <w:rFonts w:ascii="Arial" w:hAnsi="Arial" w:cs="Arial"/>
          <w:color w:val="000000" w:themeColor="text1" w:themeTint="FF" w:themeShade="FF"/>
          <w:lang w:val="en-US"/>
        </w:rPr>
        <w:t xml:space="preserve">. 8th ed. Essex: Pearson Education Limited. </w:t>
      </w:r>
    </w:p>
    <w:p w:rsidRPr="00963BC4" w:rsidR="009D6C4F" w:rsidP="5CA6A91A" w:rsidRDefault="009D6C4F" w14:paraId="3CF08A2B" w14:textId="77777777">
      <w:pPr>
        <w:ind w:left="720" w:hanging="720"/>
        <w:rPr>
          <w:rFonts w:ascii="Arial" w:hAnsi="Arial" w:cs="Arial"/>
          <w:color w:val="000000" w:themeColor="text1" w:themeTint="FF" w:themeShade="FF"/>
          <w:lang w:val="en-US"/>
        </w:rPr>
      </w:pPr>
      <w:r w:rsidRPr="5CA6A91A" w:rsidR="009D6C4F">
        <w:rPr>
          <w:rFonts w:ascii="Arial" w:hAnsi="Arial" w:cs="Arial"/>
          <w:color w:val="000000" w:themeColor="text1" w:themeTint="FF" w:themeShade="FF"/>
          <w:lang w:val="en-US"/>
        </w:rPr>
        <w:t>Cooke, P. (2020)</w:t>
      </w:r>
      <w:r w:rsidRPr="5CA6A91A" w:rsidR="009D6C4F">
        <w:rPr>
          <w:rFonts w:ascii="Arial" w:hAnsi="Arial" w:cs="Arial"/>
          <w:color w:val="000000" w:themeColor="text1" w:themeTint="FF" w:themeShade="FF"/>
          <w:lang w:val="en-US"/>
        </w:rPr>
        <w:t xml:space="preserve"> Gigafactory</w:t>
      </w:r>
      <w:r w:rsidRPr="5CA6A91A" w:rsidR="009D6C4F">
        <w:rPr>
          <w:rFonts w:ascii="Arial" w:hAnsi="Arial" w:cs="Arial"/>
          <w:color w:val="000000" w:themeColor="text1" w:themeTint="FF" w:themeShade="FF"/>
          <w:lang w:val="en-US"/>
        </w:rPr>
        <w:t xml:space="preserve"> </w:t>
      </w:r>
      <w:r w:rsidRPr="5CA6A91A" w:rsidR="009D6C4F">
        <w:rPr>
          <w:rFonts w:ascii="Arial" w:hAnsi="Arial" w:cs="Arial"/>
          <w:color w:val="000000" w:themeColor="text1" w:themeTint="FF" w:themeShade="FF"/>
          <w:lang w:val="en-US"/>
        </w:rPr>
        <w:t>logistics</w:t>
      </w:r>
      <w:r w:rsidRPr="5CA6A91A" w:rsidR="009D6C4F">
        <w:rPr>
          <w:rFonts w:ascii="Arial" w:hAnsi="Arial" w:cs="Arial"/>
          <w:color w:val="000000" w:themeColor="text1" w:themeTint="FF" w:themeShade="FF"/>
          <w:lang w:val="en-US"/>
        </w:rPr>
        <w:t xml:space="preserve"> in space and time: </w:t>
      </w:r>
      <w:r w:rsidRPr="5CA6A91A" w:rsidR="009D6C4F">
        <w:rPr>
          <w:rFonts w:ascii="Arial" w:hAnsi="Arial" w:cs="Arial"/>
          <w:color w:val="000000" w:themeColor="text1" w:themeTint="FF" w:themeShade="FF"/>
          <w:lang w:val="en-US"/>
        </w:rPr>
        <w:t>Tesla’s</w:t>
      </w:r>
      <w:r w:rsidRPr="5CA6A91A" w:rsidR="009D6C4F">
        <w:rPr>
          <w:rFonts w:ascii="Arial" w:hAnsi="Arial" w:cs="Arial"/>
          <w:color w:val="000000" w:themeColor="text1" w:themeTint="FF" w:themeShade="FF"/>
          <w:lang w:val="en-US"/>
        </w:rPr>
        <w:t xml:space="preserve"> fourth gigafactory and its rivals. </w:t>
      </w:r>
      <w:r w:rsidRPr="5CA6A91A" w:rsidR="009D6C4F">
        <w:rPr>
          <w:rFonts w:ascii="Arial" w:hAnsi="Arial" w:cs="Arial"/>
          <w:i w:val="1"/>
          <w:iCs w:val="1"/>
          <w:color w:val="000000" w:themeColor="text1" w:themeTint="FF" w:themeShade="FF"/>
          <w:lang w:val="en-US"/>
        </w:rPr>
        <w:t>Sustainability</w:t>
      </w:r>
      <w:r w:rsidRPr="5CA6A91A" w:rsidR="009D6C4F">
        <w:rPr>
          <w:rFonts w:ascii="Arial" w:hAnsi="Arial" w:cs="Arial"/>
          <w:color w:val="000000" w:themeColor="text1" w:themeTint="FF" w:themeShade="FF"/>
          <w:lang w:val="en-US"/>
        </w:rPr>
        <w:t xml:space="preserve">, 12(5), 2044. </w:t>
      </w:r>
    </w:p>
    <w:p w:rsidRPr="00963BC4" w:rsidR="009D6C4F" w:rsidP="5CA6A91A" w:rsidRDefault="009D6C4F" w14:paraId="72F173C0" w14:textId="77777777">
      <w:pPr>
        <w:ind w:left="720" w:hanging="720"/>
        <w:rPr>
          <w:rFonts w:ascii="Arial" w:hAnsi="Arial" w:cs="Arial"/>
          <w:color w:val="000000" w:themeColor="text1" w:themeTint="FF" w:themeShade="FF"/>
          <w:lang w:val="en-US"/>
        </w:rPr>
      </w:pPr>
      <w:r w:rsidRPr="5CA6A91A" w:rsidR="009D6C4F">
        <w:rPr>
          <w:rFonts w:ascii="Arial" w:hAnsi="Arial" w:cs="Arial"/>
          <w:color w:val="000000" w:themeColor="text1" w:themeTint="FF" w:themeShade="FF"/>
          <w:lang w:val="en-US"/>
        </w:rPr>
        <w:t>Daxue</w:t>
      </w:r>
      <w:r w:rsidRPr="5CA6A91A" w:rsidR="009D6C4F">
        <w:rPr>
          <w:rFonts w:ascii="Arial" w:hAnsi="Arial" w:cs="Arial"/>
          <w:color w:val="000000" w:themeColor="text1" w:themeTint="FF" w:themeShade="FF"/>
          <w:lang w:val="en-US"/>
        </w:rPr>
        <w:t xml:space="preserve"> Consulting (2024) Tesla in China. Available at: </w:t>
      </w:r>
      <w:hyperlink r:id="R79eb3eeaf1b84445">
        <w:r w:rsidRPr="5CA6A91A" w:rsidR="009D6C4F">
          <w:rPr>
            <w:rStyle w:val="Hyperlink"/>
            <w:rFonts w:ascii="Arial" w:hAnsi="Arial" w:cs="Arial"/>
            <w:color w:val="000000" w:themeColor="text1" w:themeTint="FF" w:themeShade="FF"/>
            <w:lang w:val="en-US"/>
          </w:rPr>
          <w:t>https://daxueconsulting.com/tesla-in-china/</w:t>
        </w:r>
      </w:hyperlink>
      <w:r w:rsidRPr="5CA6A91A" w:rsidR="009D6C4F">
        <w:rPr>
          <w:rFonts w:ascii="Arial" w:hAnsi="Arial" w:cs="Arial"/>
          <w:color w:val="000000" w:themeColor="text1" w:themeTint="FF" w:themeShade="FF"/>
          <w:lang w:val="en-US"/>
        </w:rPr>
        <w:t xml:space="preserve"> (Accessed: 28 February 2026). </w:t>
      </w:r>
    </w:p>
    <w:p w:rsidRPr="00963BC4" w:rsidR="009D6C4F" w:rsidP="5CA6A91A" w:rsidRDefault="009D6C4F" w14:paraId="33F28EAD" w14:textId="77777777">
      <w:pPr>
        <w:ind w:left="720" w:hanging="720"/>
        <w:rPr>
          <w:rFonts w:ascii="Arial" w:hAnsi="Arial" w:cs="Arial"/>
          <w:color w:val="000000" w:themeColor="text1" w:themeTint="FF" w:themeShade="FF"/>
          <w:lang w:val="en-US"/>
        </w:rPr>
      </w:pPr>
      <w:r w:rsidRPr="5CA6A91A" w:rsidR="009D6C4F">
        <w:rPr>
          <w:rFonts w:ascii="Arial" w:hAnsi="Arial" w:cs="Arial"/>
          <w:color w:val="000000" w:themeColor="text1" w:themeTint="FF" w:themeShade="FF"/>
          <w:lang w:val="en-US"/>
        </w:rPr>
        <w:t>Dunning, J. H. (2003)</w:t>
      </w:r>
      <w:r w:rsidRPr="5CA6A91A" w:rsidR="009D6C4F">
        <w:rPr>
          <w:rFonts w:ascii="Arial" w:hAnsi="Arial" w:cs="Arial"/>
          <w:color w:val="000000" w:themeColor="text1" w:themeTint="FF" w:themeShade="FF"/>
          <w:lang w:val="en-US"/>
        </w:rPr>
        <w:t xml:space="preserve"> The</w:t>
      </w:r>
      <w:r w:rsidRPr="5CA6A91A" w:rsidR="009D6C4F">
        <w:rPr>
          <w:rFonts w:ascii="Arial" w:hAnsi="Arial" w:cs="Arial"/>
          <w:color w:val="000000" w:themeColor="text1" w:themeTint="FF" w:themeShade="FF"/>
          <w:lang w:val="en-US"/>
        </w:rPr>
        <w:t xml:space="preserve"> eclectic (OLI) paradigm of international production. In </w:t>
      </w:r>
      <w:r w:rsidRPr="5CA6A91A" w:rsidR="009D6C4F">
        <w:rPr>
          <w:rFonts w:ascii="Arial" w:hAnsi="Arial" w:cs="Arial"/>
          <w:i w:val="1"/>
          <w:iCs w:val="1"/>
          <w:color w:val="000000" w:themeColor="text1" w:themeTint="FF" w:themeShade="FF"/>
          <w:lang w:val="en-US"/>
        </w:rPr>
        <w:t>International business and the eclectic paradigm: Developing the OLI framework</w:t>
      </w:r>
      <w:r w:rsidRPr="5CA6A91A" w:rsidR="009D6C4F">
        <w:rPr>
          <w:rFonts w:ascii="Arial" w:hAnsi="Arial" w:cs="Arial"/>
          <w:color w:val="000000" w:themeColor="text1" w:themeTint="FF" w:themeShade="FF"/>
          <w:lang w:val="en-US"/>
        </w:rPr>
        <w:t xml:space="preserve">, p. 21. </w:t>
      </w:r>
    </w:p>
    <w:p w:rsidRPr="00963BC4" w:rsidR="009D6C4F" w:rsidP="5CA6A91A" w:rsidRDefault="009D6C4F" w14:paraId="7B585B7C" w14:textId="77777777">
      <w:pPr>
        <w:ind w:left="720" w:hanging="720"/>
        <w:rPr>
          <w:rFonts w:ascii="Arial" w:hAnsi="Arial" w:cs="Arial"/>
          <w:color w:val="000000" w:themeColor="text1" w:themeTint="FF" w:themeShade="FF"/>
          <w:lang w:val="en-US"/>
        </w:rPr>
      </w:pPr>
      <w:r w:rsidRPr="5CA6A91A" w:rsidR="009D6C4F">
        <w:rPr>
          <w:rFonts w:ascii="Arial" w:hAnsi="Arial" w:cs="Arial"/>
          <w:color w:val="000000" w:themeColor="text1" w:themeTint="FF" w:themeShade="FF"/>
          <w:lang w:val="en-US"/>
        </w:rPr>
        <w:t xml:space="preserve">Electricity Lawyer (2025) Analyzing China’s dominance in the 2024 global electric vehicle market. Available at: </w:t>
      </w:r>
      <w:hyperlink r:id="R6ac37c4eff2e4061">
        <w:r w:rsidRPr="5CA6A91A" w:rsidR="009D6C4F">
          <w:rPr>
            <w:rStyle w:val="Hyperlink"/>
            <w:rFonts w:ascii="Arial" w:hAnsi="Arial" w:cs="Arial"/>
            <w:color w:val="000000" w:themeColor="text1" w:themeTint="FF" w:themeShade="FF"/>
            <w:lang w:val="en-US"/>
          </w:rPr>
          <w:t>https://electricitylawyer.com/wp-content/uploads/2025/05/ANALYZING-CHINAS-DOMINANCE-IN-THE-2024-GLOBAL-ELECTRIC-VEHICLE-MARKET.pdf</w:t>
        </w:r>
      </w:hyperlink>
      <w:r w:rsidRPr="5CA6A91A" w:rsidR="009D6C4F">
        <w:rPr>
          <w:rFonts w:ascii="Arial" w:hAnsi="Arial" w:cs="Arial"/>
          <w:color w:val="000000" w:themeColor="text1" w:themeTint="FF" w:themeShade="FF"/>
          <w:lang w:val="en-US"/>
        </w:rPr>
        <w:t xml:space="preserve"> (Accessed: 25 February 2026). </w:t>
      </w:r>
    </w:p>
    <w:p w:rsidRPr="00963BC4" w:rsidR="009D6C4F" w:rsidP="5CA6A91A" w:rsidRDefault="009D6C4F" w14:paraId="07BA9FAF" w14:textId="77777777">
      <w:pPr>
        <w:ind w:left="720" w:hanging="720"/>
        <w:rPr>
          <w:rFonts w:ascii="Arial" w:hAnsi="Arial" w:cs="Arial"/>
          <w:color w:val="000000" w:themeColor="text1" w:themeTint="FF" w:themeShade="FF"/>
          <w:lang w:val="en-US"/>
        </w:rPr>
      </w:pPr>
      <w:r w:rsidRPr="5CA6A91A" w:rsidR="009D6C4F">
        <w:rPr>
          <w:rFonts w:ascii="Arial" w:hAnsi="Arial" w:cs="Arial"/>
          <w:color w:val="000000" w:themeColor="text1" w:themeTint="FF" w:themeShade="FF"/>
          <w:lang w:val="en-US"/>
        </w:rPr>
        <w:t xml:space="preserve">Griffin, R. </w:t>
      </w:r>
      <w:r w:rsidRPr="5CA6A91A" w:rsidR="009D6C4F">
        <w:rPr>
          <w:rFonts w:ascii="Arial" w:hAnsi="Arial" w:cs="Arial"/>
          <w:color w:val="000000" w:themeColor="text1" w:themeTint="FF" w:themeShade="FF"/>
          <w:lang w:val="en-US"/>
        </w:rPr>
        <w:t>W.</w:t>
      </w:r>
      <w:r w:rsidRPr="5CA6A91A" w:rsidR="009D6C4F">
        <w:rPr>
          <w:rFonts w:ascii="Arial" w:hAnsi="Arial" w:cs="Arial"/>
          <w:color w:val="000000" w:themeColor="text1" w:themeTint="FF" w:themeShade="FF"/>
          <w:lang w:val="en-US"/>
        </w:rPr>
        <w:t xml:space="preserve"> and Pustay, M. W. (2020)</w:t>
      </w:r>
      <w:r w:rsidRPr="5CA6A91A" w:rsidR="009D6C4F">
        <w:rPr>
          <w:rFonts w:ascii="Arial" w:hAnsi="Arial" w:cs="Arial"/>
          <w:color w:val="000000" w:themeColor="text1" w:themeTint="FF" w:themeShade="FF"/>
          <w:lang w:val="en-US"/>
        </w:rPr>
        <w:t xml:space="preserve"> </w:t>
      </w:r>
      <w:r w:rsidRPr="5CA6A91A" w:rsidR="009D6C4F">
        <w:rPr>
          <w:rFonts w:ascii="Arial" w:hAnsi="Arial" w:cs="Arial"/>
          <w:i w:val="1"/>
          <w:iCs w:val="1"/>
          <w:color w:val="000000" w:themeColor="text1" w:themeTint="FF" w:themeShade="FF"/>
          <w:lang w:val="en-US"/>
        </w:rPr>
        <w:t>International</w:t>
      </w:r>
      <w:r w:rsidRPr="5CA6A91A" w:rsidR="009D6C4F">
        <w:rPr>
          <w:rFonts w:ascii="Arial" w:hAnsi="Arial" w:cs="Arial"/>
          <w:i w:val="1"/>
          <w:iCs w:val="1"/>
          <w:color w:val="000000" w:themeColor="text1" w:themeTint="FF" w:themeShade="FF"/>
          <w:lang w:val="en-US"/>
        </w:rPr>
        <w:t xml:space="preserve"> business: A managerial perspective</w:t>
      </w:r>
      <w:r w:rsidRPr="5CA6A91A" w:rsidR="009D6C4F">
        <w:rPr>
          <w:rFonts w:ascii="Arial" w:hAnsi="Arial" w:cs="Arial"/>
          <w:color w:val="000000" w:themeColor="text1" w:themeTint="FF" w:themeShade="FF"/>
          <w:lang w:val="en-US"/>
        </w:rPr>
        <w:t xml:space="preserve">. Global edition, 9th ed. Pearson. </w:t>
      </w:r>
    </w:p>
    <w:p w:rsidRPr="00963BC4" w:rsidR="009D6C4F" w:rsidP="5CA6A91A" w:rsidRDefault="009D6C4F" w14:paraId="1D8CA4F7" w14:textId="77777777">
      <w:pPr>
        <w:ind w:left="720" w:hanging="720"/>
        <w:rPr>
          <w:rFonts w:ascii="Arial" w:hAnsi="Arial" w:cs="Arial"/>
          <w:color w:val="000000" w:themeColor="text1" w:themeTint="FF" w:themeShade="FF"/>
          <w:lang w:val="en-US"/>
        </w:rPr>
      </w:pPr>
      <w:r w:rsidRPr="5CA6A91A" w:rsidR="009D6C4F">
        <w:rPr>
          <w:rFonts w:ascii="Arial" w:hAnsi="Arial" w:cs="Arial"/>
          <w:color w:val="000000" w:themeColor="text1" w:themeTint="FF" w:themeShade="FF"/>
          <w:lang w:val="en-US"/>
        </w:rPr>
        <w:t xml:space="preserve">He, W. and Hao, X. (2023) Competition and welfare effects of introducing new products into the new energy vehicle market: empirical evidence from Tesla’s entry into the Chinese market. </w:t>
      </w:r>
      <w:r w:rsidRPr="5CA6A91A" w:rsidR="009D6C4F">
        <w:rPr>
          <w:rFonts w:ascii="Arial" w:hAnsi="Arial" w:cs="Arial"/>
          <w:i w:val="1"/>
          <w:iCs w:val="1"/>
          <w:color w:val="000000" w:themeColor="text1" w:themeTint="FF" w:themeShade="FF"/>
          <w:lang w:val="en-US"/>
        </w:rPr>
        <w:t>Transportation Research Part A: Policy and Practice</w:t>
      </w:r>
      <w:r w:rsidRPr="5CA6A91A" w:rsidR="009D6C4F">
        <w:rPr>
          <w:rFonts w:ascii="Arial" w:hAnsi="Arial" w:cs="Arial"/>
          <w:color w:val="000000" w:themeColor="text1" w:themeTint="FF" w:themeShade="FF"/>
          <w:lang w:val="en-US"/>
        </w:rPr>
        <w:t xml:space="preserve">, 174, 103730. </w:t>
      </w:r>
    </w:p>
    <w:p w:rsidRPr="00963BC4" w:rsidR="009D6C4F" w:rsidP="5CA6A91A" w:rsidRDefault="009D6C4F" w14:paraId="37A14789" w14:textId="77777777">
      <w:pPr>
        <w:ind w:left="720" w:hanging="720"/>
        <w:rPr>
          <w:rFonts w:ascii="Arial" w:hAnsi="Arial" w:cs="Arial"/>
          <w:color w:val="000000" w:themeColor="text1" w:themeTint="FF" w:themeShade="FF"/>
          <w:lang w:val="en-US"/>
        </w:rPr>
      </w:pPr>
      <w:r w:rsidRPr="5CA6A91A" w:rsidR="009D6C4F">
        <w:rPr>
          <w:rFonts w:ascii="Arial" w:hAnsi="Arial" w:cs="Arial"/>
          <w:color w:val="000000" w:themeColor="text1" w:themeTint="FF" w:themeShade="FF"/>
          <w:lang w:val="en-US"/>
        </w:rPr>
        <w:t xml:space="preserve">Henry, I. (2026) China’s auto industry: EV surge, </w:t>
      </w:r>
      <w:r w:rsidRPr="5CA6A91A" w:rsidR="009D6C4F">
        <w:rPr>
          <w:rFonts w:ascii="Arial" w:hAnsi="Arial" w:cs="Arial"/>
          <w:color w:val="000000" w:themeColor="text1" w:themeTint="FF" w:themeShade="FF"/>
          <w:lang w:val="en-US"/>
        </w:rPr>
        <w:t>exports</w:t>
      </w:r>
      <w:r w:rsidRPr="5CA6A91A" w:rsidR="009D6C4F">
        <w:rPr>
          <w:rFonts w:ascii="Arial" w:hAnsi="Arial" w:cs="Arial"/>
          <w:color w:val="000000" w:themeColor="text1" w:themeTint="FF" w:themeShade="FF"/>
          <w:lang w:val="en-US"/>
        </w:rPr>
        <w:t xml:space="preserve"> and global manufacturing. </w:t>
      </w:r>
      <w:r w:rsidRPr="5CA6A91A" w:rsidR="009D6C4F">
        <w:rPr>
          <w:rFonts w:ascii="Arial" w:hAnsi="Arial" w:cs="Arial"/>
          <w:i w:val="1"/>
          <w:iCs w:val="1"/>
          <w:color w:val="000000" w:themeColor="text1" w:themeTint="FF" w:themeShade="FF"/>
          <w:lang w:val="en-US"/>
        </w:rPr>
        <w:t>Automotive Manufacturing Solutions</w:t>
      </w:r>
      <w:r w:rsidRPr="5CA6A91A" w:rsidR="009D6C4F">
        <w:rPr>
          <w:rFonts w:ascii="Arial" w:hAnsi="Arial" w:cs="Arial"/>
          <w:color w:val="000000" w:themeColor="text1" w:themeTint="FF" w:themeShade="FF"/>
          <w:lang w:val="en-US"/>
        </w:rPr>
        <w:t xml:space="preserve">, 26 January. Available at: </w:t>
      </w:r>
      <w:hyperlink r:id="Re65f1e89786d46cf">
        <w:r w:rsidRPr="5CA6A91A" w:rsidR="009D6C4F">
          <w:rPr>
            <w:rStyle w:val="Hyperlink"/>
            <w:rFonts w:ascii="Arial" w:hAnsi="Arial" w:cs="Arial"/>
            <w:color w:val="000000" w:themeColor="text1" w:themeTint="FF" w:themeShade="FF"/>
            <w:lang w:val="en-US"/>
          </w:rPr>
          <w:t>https://www.automotivemanufacturingsolutions.com/strategy/chinas-auto-industry-ev-surge-exports-and-global-manufacturing/2592741</w:t>
        </w:r>
      </w:hyperlink>
      <w:r w:rsidRPr="5CA6A91A" w:rsidR="009D6C4F">
        <w:rPr>
          <w:rFonts w:ascii="Arial" w:hAnsi="Arial" w:cs="Arial"/>
          <w:color w:val="000000" w:themeColor="text1" w:themeTint="FF" w:themeShade="FF"/>
          <w:lang w:val="en-US"/>
        </w:rPr>
        <w:t xml:space="preserve"> (Accessed: 24 February 2026). </w:t>
      </w:r>
    </w:p>
    <w:p w:rsidRPr="00963BC4" w:rsidR="009D6C4F" w:rsidP="009F40AA" w:rsidRDefault="009D6C4F" w14:paraId="41422843" w14:textId="77777777">
      <w:pPr>
        <w:ind w:left="720" w:hanging="720"/>
        <w:rPr>
          <w:rFonts w:ascii="Arial" w:hAnsi="Arial" w:cs="Arial"/>
          <w:lang w:val="en-US"/>
        </w:rPr>
      </w:pPr>
      <w:r w:rsidRPr="5CA6A91A" w:rsidR="009D6C4F">
        <w:rPr>
          <w:rFonts w:ascii="Arial" w:hAnsi="Arial" w:cs="Arial"/>
          <w:color w:val="000000" w:themeColor="text1" w:themeTint="FF" w:themeShade="FF"/>
          <w:lang w:val="en-US"/>
        </w:rPr>
        <w:t>Hill, C. W. L. (2023)</w:t>
      </w:r>
      <w:r w:rsidRPr="5CA6A91A" w:rsidR="009D6C4F">
        <w:rPr>
          <w:rFonts w:ascii="Arial" w:hAnsi="Arial" w:cs="Arial"/>
          <w:color w:val="000000" w:themeColor="text1" w:themeTint="FF" w:themeShade="FF"/>
          <w:lang w:val="en-US"/>
        </w:rPr>
        <w:t xml:space="preserve"> </w:t>
      </w:r>
      <w:r w:rsidRPr="5CA6A91A" w:rsidR="009D6C4F">
        <w:rPr>
          <w:rFonts w:ascii="Arial" w:hAnsi="Arial" w:cs="Arial"/>
          <w:i w:val="1"/>
          <w:iCs w:val="1"/>
          <w:color w:val="000000" w:themeColor="text1" w:themeTint="FF" w:themeShade="FF"/>
          <w:lang w:val="en-US"/>
        </w:rPr>
        <w:t>International</w:t>
      </w:r>
      <w:r w:rsidRPr="5CA6A91A" w:rsidR="009D6C4F">
        <w:rPr>
          <w:rFonts w:ascii="Arial" w:hAnsi="Arial" w:cs="Arial"/>
          <w:i w:val="1"/>
          <w:iCs w:val="1"/>
          <w:color w:val="000000" w:themeColor="text1" w:themeTint="FF" w:themeShade="FF"/>
          <w:lang w:val="en-US"/>
        </w:rPr>
        <w:t xml:space="preserve"> </w:t>
      </w:r>
      <w:r w:rsidRPr="5CA6A91A" w:rsidR="009D6C4F">
        <w:rPr>
          <w:rFonts w:ascii="Arial" w:hAnsi="Arial" w:cs="Arial"/>
          <w:i w:val="1"/>
          <w:iCs w:val="1"/>
          <w:color w:val="000000" w:themeColor="text1" w:themeTint="FF" w:themeShade="FF"/>
          <w:lang w:val="en-US"/>
        </w:rPr>
        <w:t>business</w:t>
      </w:r>
      <w:r w:rsidRPr="5CA6A91A" w:rsidR="009D6C4F">
        <w:rPr>
          <w:rFonts w:ascii="Arial" w:hAnsi="Arial" w:cs="Arial"/>
          <w:i w:val="1"/>
          <w:iCs w:val="1"/>
          <w:color w:val="000000" w:themeColor="text1" w:themeTint="FF" w:themeShade="FF"/>
          <w:lang w:val="en-US"/>
        </w:rPr>
        <w:t>: Competing in the</w:t>
      </w:r>
      <w:r w:rsidRPr="5CA6A91A" w:rsidR="009D6C4F">
        <w:rPr>
          <w:rFonts w:ascii="Arial" w:hAnsi="Arial" w:cs="Arial"/>
          <w:i w:val="1"/>
          <w:iCs w:val="1"/>
          <w:lang w:val="en-US"/>
        </w:rPr>
        <w:t xml:space="preserve"> global marketplace</w:t>
      </w:r>
      <w:r w:rsidRPr="5CA6A91A" w:rsidR="009D6C4F">
        <w:rPr>
          <w:rFonts w:ascii="Arial" w:hAnsi="Arial" w:cs="Arial"/>
          <w:lang w:val="en-US"/>
        </w:rPr>
        <w:t xml:space="preserve">. 14th ed. New York: McGraw-Hill. </w:t>
      </w:r>
    </w:p>
    <w:p w:rsidRPr="00963BC4" w:rsidR="009D6C4F" w:rsidP="009F40AA" w:rsidRDefault="009D6C4F" w14:paraId="220F75D9" w14:textId="77777777">
      <w:pPr>
        <w:ind w:left="720" w:hanging="720"/>
        <w:rPr>
          <w:rFonts w:ascii="Arial" w:hAnsi="Arial" w:cs="Arial"/>
          <w:lang w:val="en-US"/>
        </w:rPr>
      </w:pPr>
      <w:r w:rsidRPr="00963BC4">
        <w:rPr>
          <w:rFonts w:ascii="Arial" w:hAnsi="Arial" w:cs="Arial"/>
          <w:lang w:val="en-US"/>
        </w:rPr>
        <w:t xml:space="preserve">Hofstede, G. (2011) </w:t>
      </w:r>
      <w:proofErr w:type="spellStart"/>
      <w:r w:rsidRPr="00963BC4">
        <w:rPr>
          <w:rFonts w:ascii="Arial" w:hAnsi="Arial" w:cs="Arial"/>
          <w:lang w:val="en-US"/>
        </w:rPr>
        <w:t>Dimensionalizing</w:t>
      </w:r>
      <w:proofErr w:type="spellEnd"/>
      <w:r w:rsidRPr="00963BC4">
        <w:rPr>
          <w:rFonts w:ascii="Arial" w:hAnsi="Arial" w:cs="Arial"/>
          <w:lang w:val="en-US"/>
        </w:rPr>
        <w:t xml:space="preserve"> cultures: The Hofstede model in context. </w:t>
      </w:r>
      <w:r w:rsidRPr="00963BC4">
        <w:rPr>
          <w:rFonts w:ascii="Arial" w:hAnsi="Arial" w:cs="Arial"/>
          <w:i/>
          <w:iCs/>
          <w:lang w:val="en-US"/>
        </w:rPr>
        <w:t>Online Readings in Psychology and Culture</w:t>
      </w:r>
      <w:r w:rsidRPr="00963BC4">
        <w:rPr>
          <w:rFonts w:ascii="Arial" w:hAnsi="Arial" w:cs="Arial"/>
          <w:lang w:val="en-US"/>
        </w:rPr>
        <w:t xml:space="preserve">, 2(1), 8. </w:t>
      </w:r>
    </w:p>
    <w:p w:rsidRPr="00963BC4" w:rsidR="009D6C4F" w:rsidP="009F40AA" w:rsidRDefault="009D6C4F" w14:paraId="4628C1B3" w14:textId="77777777">
      <w:pPr>
        <w:ind w:left="720" w:hanging="720"/>
        <w:rPr>
          <w:rFonts w:ascii="Arial" w:hAnsi="Arial" w:cs="Arial"/>
          <w:lang w:val="en-US"/>
        </w:rPr>
      </w:pPr>
      <w:r w:rsidRPr="00963BC4">
        <w:rPr>
          <w:rFonts w:ascii="Arial" w:hAnsi="Arial" w:cs="Arial"/>
          <w:lang w:val="en-US"/>
        </w:rPr>
        <w:t xml:space="preserve">Hu, S., Liu, Z., Tan, Y., Cheng, X., Chen, Z. and Long, Z. (2022) The status quo and future trends of new energy vehicle power batteries in China—analysis from policy perspective. </w:t>
      </w:r>
      <w:r w:rsidRPr="00963BC4">
        <w:rPr>
          <w:rFonts w:ascii="Arial" w:hAnsi="Arial" w:cs="Arial"/>
          <w:i/>
          <w:iCs/>
          <w:lang w:val="en-US"/>
        </w:rPr>
        <w:t>Energy Reports</w:t>
      </w:r>
      <w:r w:rsidRPr="00963BC4">
        <w:rPr>
          <w:rFonts w:ascii="Arial" w:hAnsi="Arial" w:cs="Arial"/>
          <w:lang w:val="en-US"/>
        </w:rPr>
        <w:t xml:space="preserve">, 8, 63–80. </w:t>
      </w:r>
    </w:p>
    <w:p w:rsidRPr="00963BC4" w:rsidR="009D6C4F" w:rsidP="009F40AA" w:rsidRDefault="009D6C4F" w14:paraId="249BCEE3" w14:textId="77777777">
      <w:pPr>
        <w:ind w:left="720" w:hanging="720"/>
        <w:rPr>
          <w:rFonts w:ascii="Arial" w:hAnsi="Arial" w:cs="Arial"/>
          <w:lang w:val="en-US"/>
        </w:rPr>
      </w:pPr>
      <w:r w:rsidRPr="00963BC4">
        <w:rPr>
          <w:rFonts w:ascii="Arial" w:hAnsi="Arial" w:cs="Arial"/>
          <w:lang w:val="en-US"/>
        </w:rPr>
        <w:t xml:space="preserve">International Energy Agency (2025) Trends in the electric car industry. In </w:t>
      </w:r>
      <w:r w:rsidRPr="00963BC4">
        <w:rPr>
          <w:rFonts w:ascii="Arial" w:hAnsi="Arial" w:cs="Arial"/>
          <w:i/>
          <w:iCs/>
          <w:lang w:val="en-US"/>
        </w:rPr>
        <w:t>Global EV Outlook 2025</w:t>
      </w:r>
      <w:r w:rsidRPr="00963BC4">
        <w:rPr>
          <w:rFonts w:ascii="Arial" w:hAnsi="Arial" w:cs="Arial"/>
          <w:lang w:val="en-US"/>
        </w:rPr>
        <w:t xml:space="preserve">. Available at: </w:t>
      </w:r>
      <w:hyperlink w:tgtFrame="_new" w:history="1" r:id="rId17">
        <w:r w:rsidRPr="00963BC4">
          <w:rPr>
            <w:rStyle w:val="Hyperlink"/>
            <w:rFonts w:ascii="Arial" w:hAnsi="Arial" w:cs="Arial"/>
            <w:color w:val="auto"/>
            <w:lang w:val="en-US"/>
          </w:rPr>
          <w:t>https://www.iea.org/reports/global-ev-outlook-2025/trends-in-the-electric-car-industry-3</w:t>
        </w:r>
      </w:hyperlink>
      <w:r w:rsidRPr="00963BC4">
        <w:rPr>
          <w:rFonts w:ascii="Arial" w:hAnsi="Arial" w:cs="Arial"/>
          <w:lang w:val="en-US"/>
        </w:rPr>
        <w:t xml:space="preserve"> (Accessed: 26 February 2026). </w:t>
      </w:r>
    </w:p>
    <w:p w:rsidRPr="00963BC4" w:rsidR="009D6C4F" w:rsidP="009F40AA" w:rsidRDefault="009D6C4F" w14:paraId="085CB2A9" w14:textId="77777777">
      <w:pPr>
        <w:ind w:left="720" w:hanging="720"/>
        <w:rPr>
          <w:rFonts w:ascii="Arial" w:hAnsi="Arial" w:cs="Arial"/>
          <w:lang w:val="en-US"/>
        </w:rPr>
      </w:pPr>
      <w:r w:rsidRPr="00963BC4">
        <w:rPr>
          <w:rFonts w:ascii="Arial" w:hAnsi="Arial" w:cs="Arial"/>
          <w:lang w:val="en-US"/>
        </w:rPr>
        <w:t xml:space="preserve">Kindig, B. (2023) Tesla’s China market share continues to slide. </w:t>
      </w:r>
      <w:r w:rsidRPr="00963BC4">
        <w:rPr>
          <w:rFonts w:ascii="Arial" w:hAnsi="Arial" w:cs="Arial"/>
          <w:i/>
          <w:iCs/>
          <w:lang w:val="en-US"/>
        </w:rPr>
        <w:t>Forbes</w:t>
      </w:r>
      <w:r w:rsidRPr="00963BC4">
        <w:rPr>
          <w:rFonts w:ascii="Arial" w:hAnsi="Arial" w:cs="Arial"/>
          <w:lang w:val="en-US"/>
        </w:rPr>
        <w:t xml:space="preserve">, 7 December. Available at: </w:t>
      </w:r>
      <w:hyperlink w:tgtFrame="_new" w:history="1" r:id="rId18">
        <w:r w:rsidRPr="00963BC4">
          <w:rPr>
            <w:rStyle w:val="Hyperlink"/>
            <w:rFonts w:ascii="Arial" w:hAnsi="Arial" w:cs="Arial"/>
            <w:color w:val="auto"/>
            <w:lang w:val="en-US"/>
          </w:rPr>
          <w:t>https://www.forbes.com/sites/bethkindig/2023/12/07/teslas-china-market-share-continues-to-slide/</w:t>
        </w:r>
      </w:hyperlink>
      <w:r w:rsidRPr="00963BC4">
        <w:rPr>
          <w:rFonts w:ascii="Arial" w:hAnsi="Arial" w:cs="Arial"/>
          <w:lang w:val="en-US"/>
        </w:rPr>
        <w:t xml:space="preserve"> (Accessed: 25 February 2026). </w:t>
      </w:r>
    </w:p>
    <w:p w:rsidRPr="00963BC4" w:rsidR="009D6C4F" w:rsidP="009F40AA" w:rsidRDefault="009D6C4F" w14:paraId="673EA8DA" w14:textId="77777777">
      <w:pPr>
        <w:ind w:left="720" w:hanging="720"/>
        <w:rPr>
          <w:rFonts w:ascii="Arial" w:hAnsi="Arial" w:cs="Arial"/>
          <w:lang w:val="en-US"/>
        </w:rPr>
      </w:pPr>
      <w:r w:rsidRPr="00963BC4">
        <w:rPr>
          <w:rFonts w:ascii="Arial" w:hAnsi="Arial" w:cs="Arial"/>
          <w:lang w:val="en-US"/>
        </w:rPr>
        <w:t xml:space="preserve">Lorente </w:t>
      </w:r>
      <w:proofErr w:type="spellStart"/>
      <w:r w:rsidRPr="00963BC4">
        <w:rPr>
          <w:rFonts w:ascii="Arial" w:hAnsi="Arial" w:cs="Arial"/>
          <w:lang w:val="en-US"/>
        </w:rPr>
        <w:t>Salaberria</w:t>
      </w:r>
      <w:proofErr w:type="spellEnd"/>
      <w:r w:rsidRPr="00963BC4">
        <w:rPr>
          <w:rFonts w:ascii="Arial" w:hAnsi="Arial" w:cs="Arial"/>
          <w:lang w:val="en-US"/>
        </w:rPr>
        <w:t xml:space="preserve">, J., and Xia, L. (2023) Economic Watch: The rise of China’s EV sector and its implications for the world. </w:t>
      </w:r>
      <w:r w:rsidRPr="00963BC4">
        <w:rPr>
          <w:rFonts w:ascii="Arial" w:hAnsi="Arial" w:cs="Arial"/>
          <w:i/>
          <w:iCs/>
          <w:lang w:val="en-US"/>
        </w:rPr>
        <w:t>BBVA Research</w:t>
      </w:r>
      <w:r w:rsidRPr="00963BC4">
        <w:rPr>
          <w:rFonts w:ascii="Arial" w:hAnsi="Arial" w:cs="Arial"/>
          <w:lang w:val="en-US"/>
        </w:rPr>
        <w:t xml:space="preserve">, April. Available at: </w:t>
      </w:r>
      <w:hyperlink w:tgtFrame="_new" w:history="1" r:id="rId19">
        <w:r w:rsidRPr="00963BC4">
          <w:rPr>
            <w:rStyle w:val="Hyperlink"/>
            <w:rFonts w:ascii="Arial" w:hAnsi="Arial" w:cs="Arial"/>
            <w:color w:val="auto"/>
            <w:lang w:val="en-US"/>
          </w:rPr>
          <w:t>https://www.bbvaresearch.com/wp-content/uploads/2023/04/The_rise_of_China_s_EV_sector_and_its_implications_for_the_world_WB.pdf</w:t>
        </w:r>
      </w:hyperlink>
      <w:r w:rsidRPr="00963BC4">
        <w:rPr>
          <w:rFonts w:ascii="Arial" w:hAnsi="Arial" w:cs="Arial"/>
          <w:lang w:val="en-US"/>
        </w:rPr>
        <w:t xml:space="preserve"> (Accessed: 27 February 2026). </w:t>
      </w:r>
    </w:p>
    <w:p w:rsidRPr="00963BC4" w:rsidR="009D6C4F" w:rsidP="009F40AA" w:rsidRDefault="009D6C4F" w14:paraId="69E09A85" w14:textId="77777777">
      <w:pPr>
        <w:ind w:left="720" w:hanging="720"/>
        <w:rPr>
          <w:rFonts w:ascii="Arial" w:hAnsi="Arial" w:cs="Arial"/>
          <w:lang w:val="en-US"/>
        </w:rPr>
      </w:pPr>
      <w:r w:rsidRPr="00963BC4">
        <w:rPr>
          <w:rFonts w:ascii="Arial" w:hAnsi="Arial" w:cs="Arial"/>
          <w:lang w:val="en-US"/>
        </w:rPr>
        <w:t xml:space="preserve">Mordor Intelligence (2026) China electric vehicles (EV) market outlook. Available at: </w:t>
      </w:r>
      <w:hyperlink w:history="1" r:id="rId20">
        <w:r w:rsidRPr="00963BC4">
          <w:rPr>
            <w:rStyle w:val="Hyperlink"/>
            <w:rFonts w:ascii="Arial" w:hAnsi="Arial" w:cs="Arial"/>
            <w:color w:val="auto"/>
            <w:lang w:val="en-US"/>
          </w:rPr>
          <w:t>https://www.mordorintelligence.com/industry-reports/china-electric-vehicles-ev-market-outlook</w:t>
        </w:r>
      </w:hyperlink>
      <w:r w:rsidRPr="00963BC4">
        <w:rPr>
          <w:rFonts w:ascii="Arial" w:hAnsi="Arial" w:cs="Arial"/>
          <w:lang w:val="en-US"/>
        </w:rPr>
        <w:t xml:space="preserve"> (Accessed: 28 February 2026). </w:t>
      </w:r>
    </w:p>
    <w:p w:rsidRPr="00963BC4" w:rsidR="009D6C4F" w:rsidP="009F40AA" w:rsidRDefault="009D6C4F" w14:paraId="6894CCA9" w14:textId="77777777">
      <w:pPr>
        <w:ind w:left="720" w:hanging="720"/>
        <w:rPr>
          <w:rFonts w:ascii="Arial" w:hAnsi="Arial" w:cs="Arial"/>
          <w:lang w:val="en-US"/>
        </w:rPr>
      </w:pPr>
      <w:r w:rsidRPr="00963BC4">
        <w:rPr>
          <w:rFonts w:ascii="Arial" w:hAnsi="Arial" w:cs="Arial"/>
          <w:lang w:val="en-US"/>
        </w:rPr>
        <w:t xml:space="preserve">Oxford Institute for Energy Studies (2024) China EVs presentation. February. Available at: </w:t>
      </w:r>
      <w:hyperlink w:tgtFrame="_new" w:history="1" r:id="rId21">
        <w:r w:rsidRPr="00963BC4">
          <w:rPr>
            <w:rStyle w:val="Hyperlink"/>
            <w:rFonts w:ascii="Arial" w:hAnsi="Arial" w:cs="Arial"/>
            <w:color w:val="auto"/>
            <w:lang w:val="en-US"/>
          </w:rPr>
          <w:t>https://www.oxfordenergy.org/wpcms/wp-content/uploads/2024/02/Presentation-China-EVs-Feb-2024.pdf</w:t>
        </w:r>
      </w:hyperlink>
      <w:r w:rsidRPr="00963BC4">
        <w:rPr>
          <w:rFonts w:ascii="Arial" w:hAnsi="Arial" w:cs="Arial"/>
          <w:lang w:val="en-US"/>
        </w:rPr>
        <w:t xml:space="preserve"> (Accessed: 28 February 2026). </w:t>
      </w:r>
    </w:p>
    <w:p w:rsidRPr="00963BC4" w:rsidR="009D6C4F" w:rsidP="009F40AA" w:rsidRDefault="009D6C4F" w14:paraId="2F7C6243" w14:textId="77777777">
      <w:pPr>
        <w:ind w:left="720" w:hanging="720"/>
        <w:rPr>
          <w:rFonts w:ascii="Arial" w:hAnsi="Arial" w:cs="Arial"/>
          <w:lang w:val="en-US"/>
        </w:rPr>
      </w:pPr>
      <w:r w:rsidRPr="00963BC4">
        <w:rPr>
          <w:rFonts w:ascii="Arial" w:hAnsi="Arial" w:cs="Arial"/>
          <w:lang w:val="en-US"/>
        </w:rPr>
        <w:t xml:space="preserve">Reuters (2025) Tesla’s China sales rise to record high 83,000 in December. </w:t>
      </w:r>
      <w:r w:rsidRPr="00963BC4">
        <w:rPr>
          <w:rFonts w:ascii="Arial" w:hAnsi="Arial" w:cs="Arial"/>
          <w:i/>
          <w:iCs/>
          <w:lang w:val="en-US"/>
        </w:rPr>
        <w:t>Reuters</w:t>
      </w:r>
      <w:r w:rsidRPr="00963BC4">
        <w:rPr>
          <w:rFonts w:ascii="Arial" w:hAnsi="Arial" w:cs="Arial"/>
          <w:lang w:val="en-US"/>
        </w:rPr>
        <w:t xml:space="preserve">, 3 January. Available at: </w:t>
      </w:r>
      <w:hyperlink w:tgtFrame="_new" w:history="1" r:id="rId22">
        <w:r w:rsidRPr="00963BC4">
          <w:rPr>
            <w:rStyle w:val="Hyperlink"/>
            <w:rFonts w:ascii="Arial" w:hAnsi="Arial" w:cs="Arial"/>
            <w:color w:val="auto"/>
            <w:lang w:val="en-US"/>
          </w:rPr>
          <w:t>https://www.reuters.com/business/autos-transportation/teslas-china-sales-rise-record-high-83000-december-2025-01-03/</w:t>
        </w:r>
      </w:hyperlink>
      <w:r w:rsidRPr="00963BC4">
        <w:rPr>
          <w:rFonts w:ascii="Arial" w:hAnsi="Arial" w:cs="Arial"/>
          <w:lang w:val="en-US"/>
        </w:rPr>
        <w:t xml:space="preserve"> (Accessed: 28 February 2026). </w:t>
      </w:r>
    </w:p>
    <w:p w:rsidRPr="00963BC4" w:rsidR="009D6C4F" w:rsidP="009F40AA" w:rsidRDefault="009D6C4F" w14:paraId="51D26946" w14:textId="77777777">
      <w:pPr>
        <w:ind w:left="720" w:hanging="720"/>
        <w:rPr>
          <w:rFonts w:ascii="Arial" w:hAnsi="Arial" w:cs="Arial"/>
          <w:lang w:val="en-US"/>
        </w:rPr>
      </w:pPr>
      <w:proofErr w:type="spellStart"/>
      <w:r w:rsidRPr="00963BC4">
        <w:rPr>
          <w:rFonts w:ascii="Arial" w:hAnsi="Arial" w:cs="Arial"/>
          <w:lang w:val="en-US"/>
        </w:rPr>
        <w:t>Tsiligiris</w:t>
      </w:r>
      <w:proofErr w:type="spellEnd"/>
      <w:r w:rsidRPr="00963BC4">
        <w:rPr>
          <w:rFonts w:ascii="Arial" w:hAnsi="Arial" w:cs="Arial"/>
          <w:lang w:val="en-US"/>
        </w:rPr>
        <w:t xml:space="preserve">, V. (2018) An adapted Porter Diamond Model for the evaluation of transnational education host countries. </w:t>
      </w:r>
      <w:r w:rsidRPr="00963BC4">
        <w:rPr>
          <w:rFonts w:ascii="Arial" w:hAnsi="Arial" w:cs="Arial"/>
          <w:i/>
          <w:iCs/>
          <w:lang w:val="en-US"/>
        </w:rPr>
        <w:t>International Journal of Educational Management</w:t>
      </w:r>
      <w:r w:rsidRPr="00963BC4">
        <w:rPr>
          <w:rFonts w:ascii="Arial" w:hAnsi="Arial" w:cs="Arial"/>
          <w:lang w:val="en-US"/>
        </w:rPr>
        <w:t xml:space="preserve">, 32(2), 210–226. </w:t>
      </w:r>
    </w:p>
    <w:p w:rsidRPr="00963BC4" w:rsidR="009D6C4F" w:rsidP="009F40AA" w:rsidRDefault="009D6C4F" w14:paraId="101D8078" w14:textId="77777777">
      <w:pPr>
        <w:ind w:left="720" w:hanging="720"/>
        <w:rPr>
          <w:rFonts w:ascii="Arial" w:hAnsi="Arial" w:cs="Arial"/>
          <w:lang w:val="en-US"/>
        </w:rPr>
      </w:pPr>
      <w:r w:rsidRPr="00963BC4">
        <w:rPr>
          <w:rFonts w:ascii="Arial" w:hAnsi="Arial" w:cs="Arial"/>
          <w:lang w:val="en-US"/>
        </w:rPr>
        <w:t xml:space="preserve">Vlados, C. (2019) Porter’s diamond approaches and the competitiveness web. </w:t>
      </w:r>
      <w:r w:rsidRPr="00963BC4">
        <w:rPr>
          <w:rFonts w:ascii="Arial" w:hAnsi="Arial" w:cs="Arial"/>
          <w:i/>
          <w:iCs/>
          <w:lang w:val="en-US"/>
        </w:rPr>
        <w:t>International Journal of Business Administration</w:t>
      </w:r>
      <w:r w:rsidRPr="00963BC4">
        <w:rPr>
          <w:rFonts w:ascii="Arial" w:hAnsi="Arial" w:cs="Arial"/>
          <w:lang w:val="en-US"/>
        </w:rPr>
        <w:t xml:space="preserve">, 10(5), 33–52. </w:t>
      </w:r>
    </w:p>
    <w:p w:rsidRPr="00963BC4" w:rsidR="009D6C4F" w:rsidP="009F40AA" w:rsidRDefault="009D6C4F" w14:paraId="56D62D7F" w14:textId="77777777">
      <w:pPr>
        <w:ind w:left="720" w:hanging="720"/>
        <w:rPr>
          <w:rFonts w:ascii="Arial" w:hAnsi="Arial" w:cs="Arial"/>
          <w:lang w:val="en-US"/>
        </w:rPr>
      </w:pPr>
      <w:r w:rsidRPr="00963BC4">
        <w:rPr>
          <w:rFonts w:ascii="Arial" w:hAnsi="Arial" w:cs="Arial"/>
          <w:lang w:val="en-US"/>
        </w:rPr>
        <w:t xml:space="preserve">Wild, J. J. and Wild, K. L. (2023) </w:t>
      </w:r>
      <w:r w:rsidRPr="00963BC4">
        <w:rPr>
          <w:rFonts w:ascii="Arial" w:hAnsi="Arial" w:cs="Arial"/>
          <w:i/>
          <w:iCs/>
          <w:lang w:val="en-US"/>
        </w:rPr>
        <w:t>International business: The challenges of globalization</w:t>
      </w:r>
      <w:r w:rsidRPr="00963BC4">
        <w:rPr>
          <w:rFonts w:ascii="Arial" w:hAnsi="Arial" w:cs="Arial"/>
          <w:lang w:val="en-US"/>
        </w:rPr>
        <w:t xml:space="preserve">. 10th ed. Essex: Pearson Education Limited. </w:t>
      </w:r>
    </w:p>
    <w:p w:rsidRPr="00963BC4" w:rsidR="000E0EC7" w:rsidP="009F40AA" w:rsidRDefault="000E0EC7" w14:paraId="2C99AF95" w14:textId="77777777">
      <w:pPr>
        <w:ind w:left="720" w:hanging="720"/>
        <w:rPr>
          <w:rFonts w:ascii="Arial" w:hAnsi="Arial" w:cs="Arial"/>
          <w:lang w:val="en-US"/>
        </w:rPr>
      </w:pPr>
    </w:p>
    <w:p w:rsidRPr="00963BC4" w:rsidR="000E002D" w:rsidP="009F40AA" w:rsidRDefault="000E002D" w14:paraId="342A606E" w14:textId="77777777">
      <w:pPr>
        <w:rPr>
          <w:rFonts w:ascii="Arial" w:hAnsi="Arial" w:cs="Arial"/>
        </w:rPr>
      </w:pPr>
    </w:p>
    <w:sectPr w:rsidRPr="00963BC4" w:rsidR="000E002D">
      <w:footerReference w:type="default" r:id="rId2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A7F89" w:rsidP="00DB6DC3" w:rsidRDefault="003A7F89" w14:paraId="4597D843" w14:textId="77777777">
      <w:pPr>
        <w:spacing w:before="0" w:after="0" w:line="240" w:lineRule="auto"/>
      </w:pPr>
      <w:r>
        <w:separator/>
      </w:r>
    </w:p>
  </w:endnote>
  <w:endnote w:type="continuationSeparator" w:id="0">
    <w:p w:rsidR="003A7F89" w:rsidP="00DB6DC3" w:rsidRDefault="003A7F89" w14:paraId="3D3B15E9"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4570049"/>
      <w:docPartObj>
        <w:docPartGallery w:val="Page Numbers (Bottom of Page)"/>
        <w:docPartUnique/>
      </w:docPartObj>
    </w:sdtPr>
    <w:sdtEndPr>
      <w:rPr>
        <w:noProof/>
      </w:rPr>
    </w:sdtEndPr>
    <w:sdtContent>
      <w:p w:rsidR="000C4B1A" w:rsidRDefault="000C4B1A" w14:paraId="317112C7" w14:textId="2872F016">
        <w:pPr>
          <w:pStyle w:val="Footer"/>
          <w:jc w:val="right"/>
        </w:pPr>
        <w:r>
          <w:fldChar w:fldCharType="begin"/>
        </w:r>
        <w:r>
          <w:instrText xml:space="preserve"> PAGE   \* MERGEFORMAT </w:instrText>
        </w:r>
        <w:r>
          <w:fldChar w:fldCharType="separate"/>
        </w:r>
        <w:r w:rsidR="00CE2496">
          <w:rPr>
            <w:noProof/>
          </w:rPr>
          <w:t>21</w:t>
        </w:r>
        <w:r>
          <w:rPr>
            <w:noProof/>
          </w:rPr>
          <w:fldChar w:fldCharType="end"/>
        </w:r>
      </w:p>
    </w:sdtContent>
  </w:sdt>
  <w:p w:rsidR="000C4B1A" w:rsidRDefault="000C4B1A" w14:paraId="36EEF7E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A7F89" w:rsidP="00DB6DC3" w:rsidRDefault="003A7F89" w14:paraId="730B2C04" w14:textId="77777777">
      <w:pPr>
        <w:spacing w:before="0" w:after="0" w:line="240" w:lineRule="auto"/>
      </w:pPr>
      <w:r>
        <w:separator/>
      </w:r>
    </w:p>
  </w:footnote>
  <w:footnote w:type="continuationSeparator" w:id="0">
    <w:p w:rsidR="003A7F89" w:rsidP="00DB6DC3" w:rsidRDefault="003A7F89" w14:paraId="5B6A1BA3" w14:textId="77777777">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dirty"/>
  <w:trackRevisions w:val="false"/>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LI0M7EwNDEyMDAxNzdT0lEKTi0uzszPAykwNKoFAA2iXUUtAAAA"/>
  </w:docVars>
  <w:rsids>
    <w:rsidRoot w:val="00932CCF"/>
    <w:rsid w:val="00001310"/>
    <w:rsid w:val="00001CF2"/>
    <w:rsid w:val="00001EE8"/>
    <w:rsid w:val="0000324B"/>
    <w:rsid w:val="00013C11"/>
    <w:rsid w:val="00017ACF"/>
    <w:rsid w:val="0002039B"/>
    <w:rsid w:val="00020F8F"/>
    <w:rsid w:val="00023DF5"/>
    <w:rsid w:val="00024653"/>
    <w:rsid w:val="000268A0"/>
    <w:rsid w:val="000317D3"/>
    <w:rsid w:val="00032C37"/>
    <w:rsid w:val="000331D1"/>
    <w:rsid w:val="00033241"/>
    <w:rsid w:val="00036F72"/>
    <w:rsid w:val="000437E6"/>
    <w:rsid w:val="000578A0"/>
    <w:rsid w:val="00074387"/>
    <w:rsid w:val="00081ECF"/>
    <w:rsid w:val="000823B3"/>
    <w:rsid w:val="0008627C"/>
    <w:rsid w:val="00094CC3"/>
    <w:rsid w:val="00095F94"/>
    <w:rsid w:val="000A3991"/>
    <w:rsid w:val="000A649A"/>
    <w:rsid w:val="000A719F"/>
    <w:rsid w:val="000B10DF"/>
    <w:rsid w:val="000B17D3"/>
    <w:rsid w:val="000B6E92"/>
    <w:rsid w:val="000C13ED"/>
    <w:rsid w:val="000C1454"/>
    <w:rsid w:val="000C4B1A"/>
    <w:rsid w:val="000C65F0"/>
    <w:rsid w:val="000C6656"/>
    <w:rsid w:val="000C66E3"/>
    <w:rsid w:val="000D61C8"/>
    <w:rsid w:val="000E002D"/>
    <w:rsid w:val="000E0EC7"/>
    <w:rsid w:val="000E4AD0"/>
    <w:rsid w:val="000E5691"/>
    <w:rsid w:val="000E6E74"/>
    <w:rsid w:val="001011C0"/>
    <w:rsid w:val="001012F9"/>
    <w:rsid w:val="00112853"/>
    <w:rsid w:val="0013418C"/>
    <w:rsid w:val="00134F9B"/>
    <w:rsid w:val="00143136"/>
    <w:rsid w:val="0014313A"/>
    <w:rsid w:val="0014653B"/>
    <w:rsid w:val="00147121"/>
    <w:rsid w:val="00151F84"/>
    <w:rsid w:val="00153167"/>
    <w:rsid w:val="001559B4"/>
    <w:rsid w:val="001563B0"/>
    <w:rsid w:val="001825CF"/>
    <w:rsid w:val="00185909"/>
    <w:rsid w:val="00191A66"/>
    <w:rsid w:val="001A5164"/>
    <w:rsid w:val="001B56E1"/>
    <w:rsid w:val="001C0ABB"/>
    <w:rsid w:val="001C6737"/>
    <w:rsid w:val="001E34A8"/>
    <w:rsid w:val="001F074F"/>
    <w:rsid w:val="001F1D4A"/>
    <w:rsid w:val="001F691F"/>
    <w:rsid w:val="00200496"/>
    <w:rsid w:val="00206D1A"/>
    <w:rsid w:val="00210644"/>
    <w:rsid w:val="0021335F"/>
    <w:rsid w:val="0021349A"/>
    <w:rsid w:val="00213DAA"/>
    <w:rsid w:val="002217F3"/>
    <w:rsid w:val="00246038"/>
    <w:rsid w:val="00247550"/>
    <w:rsid w:val="002619CA"/>
    <w:rsid w:val="0026268F"/>
    <w:rsid w:val="00270BAB"/>
    <w:rsid w:val="00276E51"/>
    <w:rsid w:val="0028609A"/>
    <w:rsid w:val="00287120"/>
    <w:rsid w:val="00295BC7"/>
    <w:rsid w:val="002A30AA"/>
    <w:rsid w:val="002A418F"/>
    <w:rsid w:val="002A68C9"/>
    <w:rsid w:val="002A7C30"/>
    <w:rsid w:val="002B5222"/>
    <w:rsid w:val="002C7609"/>
    <w:rsid w:val="002D0533"/>
    <w:rsid w:val="002E0AFA"/>
    <w:rsid w:val="002E7986"/>
    <w:rsid w:val="002F1A7F"/>
    <w:rsid w:val="002F4332"/>
    <w:rsid w:val="00300303"/>
    <w:rsid w:val="00301450"/>
    <w:rsid w:val="00303DD4"/>
    <w:rsid w:val="00321C88"/>
    <w:rsid w:val="00333A28"/>
    <w:rsid w:val="00334291"/>
    <w:rsid w:val="003348DB"/>
    <w:rsid w:val="00337041"/>
    <w:rsid w:val="00350770"/>
    <w:rsid w:val="00355D30"/>
    <w:rsid w:val="00361B9E"/>
    <w:rsid w:val="00367DC0"/>
    <w:rsid w:val="003817AD"/>
    <w:rsid w:val="00396855"/>
    <w:rsid w:val="003A2310"/>
    <w:rsid w:val="003A2C61"/>
    <w:rsid w:val="003A7F89"/>
    <w:rsid w:val="003B608E"/>
    <w:rsid w:val="003B6839"/>
    <w:rsid w:val="003D3F6F"/>
    <w:rsid w:val="003D4D91"/>
    <w:rsid w:val="003E1883"/>
    <w:rsid w:val="004031A3"/>
    <w:rsid w:val="00403C2E"/>
    <w:rsid w:val="00406B8F"/>
    <w:rsid w:val="00410B15"/>
    <w:rsid w:val="00410D84"/>
    <w:rsid w:val="00413BA4"/>
    <w:rsid w:val="00423E59"/>
    <w:rsid w:val="00424089"/>
    <w:rsid w:val="00424DF6"/>
    <w:rsid w:val="0043290B"/>
    <w:rsid w:val="00435B1D"/>
    <w:rsid w:val="004411C0"/>
    <w:rsid w:val="00444A52"/>
    <w:rsid w:val="004536F5"/>
    <w:rsid w:val="004577EE"/>
    <w:rsid w:val="00461943"/>
    <w:rsid w:val="00462E8D"/>
    <w:rsid w:val="00476B96"/>
    <w:rsid w:val="004805DD"/>
    <w:rsid w:val="004809F7"/>
    <w:rsid w:val="00482BD4"/>
    <w:rsid w:val="0048698A"/>
    <w:rsid w:val="0049496A"/>
    <w:rsid w:val="004978CA"/>
    <w:rsid w:val="004A1793"/>
    <w:rsid w:val="004A723F"/>
    <w:rsid w:val="004B0014"/>
    <w:rsid w:val="004C15AF"/>
    <w:rsid w:val="004C3ADE"/>
    <w:rsid w:val="004D45A7"/>
    <w:rsid w:val="004E0A81"/>
    <w:rsid w:val="004E1328"/>
    <w:rsid w:val="004F231B"/>
    <w:rsid w:val="004F5B4B"/>
    <w:rsid w:val="004F5ED0"/>
    <w:rsid w:val="00507E4D"/>
    <w:rsid w:val="00517E5A"/>
    <w:rsid w:val="00542331"/>
    <w:rsid w:val="00544170"/>
    <w:rsid w:val="005472D8"/>
    <w:rsid w:val="00570D2B"/>
    <w:rsid w:val="005931FF"/>
    <w:rsid w:val="00593501"/>
    <w:rsid w:val="005A20C6"/>
    <w:rsid w:val="005A6ABD"/>
    <w:rsid w:val="005B4787"/>
    <w:rsid w:val="005D15D3"/>
    <w:rsid w:val="006014F0"/>
    <w:rsid w:val="00602AC3"/>
    <w:rsid w:val="006061A3"/>
    <w:rsid w:val="00606327"/>
    <w:rsid w:val="0061270D"/>
    <w:rsid w:val="006155FA"/>
    <w:rsid w:val="006167A3"/>
    <w:rsid w:val="006260C1"/>
    <w:rsid w:val="006262D7"/>
    <w:rsid w:val="006328BD"/>
    <w:rsid w:val="00637F29"/>
    <w:rsid w:val="00644914"/>
    <w:rsid w:val="00651306"/>
    <w:rsid w:val="00656DFA"/>
    <w:rsid w:val="0066354A"/>
    <w:rsid w:val="006720ED"/>
    <w:rsid w:val="00673FA2"/>
    <w:rsid w:val="006820AD"/>
    <w:rsid w:val="00696768"/>
    <w:rsid w:val="006B14DB"/>
    <w:rsid w:val="006B2605"/>
    <w:rsid w:val="006B3470"/>
    <w:rsid w:val="006C387D"/>
    <w:rsid w:val="006C576B"/>
    <w:rsid w:val="006D0CE7"/>
    <w:rsid w:val="006D2C00"/>
    <w:rsid w:val="006D30FC"/>
    <w:rsid w:val="006D3EA6"/>
    <w:rsid w:val="006E0F44"/>
    <w:rsid w:val="006E3A90"/>
    <w:rsid w:val="006E3C32"/>
    <w:rsid w:val="006F14E0"/>
    <w:rsid w:val="006F4D7F"/>
    <w:rsid w:val="006F6112"/>
    <w:rsid w:val="007001E3"/>
    <w:rsid w:val="0073537B"/>
    <w:rsid w:val="00741D2E"/>
    <w:rsid w:val="00743271"/>
    <w:rsid w:val="00753FC8"/>
    <w:rsid w:val="0076038A"/>
    <w:rsid w:val="00763457"/>
    <w:rsid w:val="007645BC"/>
    <w:rsid w:val="00765272"/>
    <w:rsid w:val="00770D49"/>
    <w:rsid w:val="007731D1"/>
    <w:rsid w:val="007923F5"/>
    <w:rsid w:val="0079574F"/>
    <w:rsid w:val="0079688E"/>
    <w:rsid w:val="007B2DE8"/>
    <w:rsid w:val="007B536E"/>
    <w:rsid w:val="007C0D51"/>
    <w:rsid w:val="007C3E83"/>
    <w:rsid w:val="007D01F9"/>
    <w:rsid w:val="007D2561"/>
    <w:rsid w:val="007D2730"/>
    <w:rsid w:val="007D654A"/>
    <w:rsid w:val="007E492D"/>
    <w:rsid w:val="007E5B2D"/>
    <w:rsid w:val="007E6CA7"/>
    <w:rsid w:val="007F5E73"/>
    <w:rsid w:val="007F6AB0"/>
    <w:rsid w:val="007F7BC2"/>
    <w:rsid w:val="00813945"/>
    <w:rsid w:val="00822C19"/>
    <w:rsid w:val="008476FB"/>
    <w:rsid w:val="00847778"/>
    <w:rsid w:val="00847925"/>
    <w:rsid w:val="0085079F"/>
    <w:rsid w:val="00850A75"/>
    <w:rsid w:val="00854699"/>
    <w:rsid w:val="0086104D"/>
    <w:rsid w:val="008707B3"/>
    <w:rsid w:val="008937EF"/>
    <w:rsid w:val="008A01F2"/>
    <w:rsid w:val="008A1AF3"/>
    <w:rsid w:val="008B26F2"/>
    <w:rsid w:val="008B3472"/>
    <w:rsid w:val="008C0F0E"/>
    <w:rsid w:val="008D2735"/>
    <w:rsid w:val="008D4D6B"/>
    <w:rsid w:val="008E0CB4"/>
    <w:rsid w:val="008E36B5"/>
    <w:rsid w:val="008E3794"/>
    <w:rsid w:val="00906609"/>
    <w:rsid w:val="00912984"/>
    <w:rsid w:val="00913DAE"/>
    <w:rsid w:val="0091712B"/>
    <w:rsid w:val="009174DB"/>
    <w:rsid w:val="009244C2"/>
    <w:rsid w:val="00930EB2"/>
    <w:rsid w:val="00932CCF"/>
    <w:rsid w:val="00945EE6"/>
    <w:rsid w:val="009522AB"/>
    <w:rsid w:val="00960E83"/>
    <w:rsid w:val="00962E54"/>
    <w:rsid w:val="00963BC4"/>
    <w:rsid w:val="00975AF5"/>
    <w:rsid w:val="00975DCB"/>
    <w:rsid w:val="00977D1F"/>
    <w:rsid w:val="00981F07"/>
    <w:rsid w:val="00990AD3"/>
    <w:rsid w:val="00993B05"/>
    <w:rsid w:val="009A053B"/>
    <w:rsid w:val="009A0B93"/>
    <w:rsid w:val="009C41CF"/>
    <w:rsid w:val="009D372D"/>
    <w:rsid w:val="009D6C4F"/>
    <w:rsid w:val="009F40AA"/>
    <w:rsid w:val="00A0372E"/>
    <w:rsid w:val="00A03D82"/>
    <w:rsid w:val="00A043E6"/>
    <w:rsid w:val="00A04858"/>
    <w:rsid w:val="00A06B30"/>
    <w:rsid w:val="00A07299"/>
    <w:rsid w:val="00A07D3C"/>
    <w:rsid w:val="00A133EE"/>
    <w:rsid w:val="00A14C49"/>
    <w:rsid w:val="00A15DA8"/>
    <w:rsid w:val="00A21CE8"/>
    <w:rsid w:val="00A25103"/>
    <w:rsid w:val="00A325B1"/>
    <w:rsid w:val="00A32766"/>
    <w:rsid w:val="00A43877"/>
    <w:rsid w:val="00A44AE1"/>
    <w:rsid w:val="00A44D0F"/>
    <w:rsid w:val="00A45F49"/>
    <w:rsid w:val="00A54926"/>
    <w:rsid w:val="00A55C30"/>
    <w:rsid w:val="00A77F62"/>
    <w:rsid w:val="00A863E0"/>
    <w:rsid w:val="00A913DF"/>
    <w:rsid w:val="00A92B2D"/>
    <w:rsid w:val="00AA515A"/>
    <w:rsid w:val="00AA66F8"/>
    <w:rsid w:val="00AA7870"/>
    <w:rsid w:val="00AB3BB3"/>
    <w:rsid w:val="00AD0B70"/>
    <w:rsid w:val="00AD623E"/>
    <w:rsid w:val="00AE0992"/>
    <w:rsid w:val="00AE432D"/>
    <w:rsid w:val="00AE7D6D"/>
    <w:rsid w:val="00AF5FFB"/>
    <w:rsid w:val="00B02BA1"/>
    <w:rsid w:val="00B10640"/>
    <w:rsid w:val="00B11CA3"/>
    <w:rsid w:val="00B21591"/>
    <w:rsid w:val="00B31E2A"/>
    <w:rsid w:val="00B52205"/>
    <w:rsid w:val="00B52450"/>
    <w:rsid w:val="00B53FEF"/>
    <w:rsid w:val="00B61352"/>
    <w:rsid w:val="00B6732B"/>
    <w:rsid w:val="00B73052"/>
    <w:rsid w:val="00B73FB2"/>
    <w:rsid w:val="00B82B9C"/>
    <w:rsid w:val="00B85C5F"/>
    <w:rsid w:val="00B95696"/>
    <w:rsid w:val="00BA1466"/>
    <w:rsid w:val="00BA30E2"/>
    <w:rsid w:val="00BB1B4B"/>
    <w:rsid w:val="00BB38BB"/>
    <w:rsid w:val="00BB6EC9"/>
    <w:rsid w:val="00BC0FCA"/>
    <w:rsid w:val="00BC695F"/>
    <w:rsid w:val="00BD23E1"/>
    <w:rsid w:val="00BD4003"/>
    <w:rsid w:val="00BD6CD9"/>
    <w:rsid w:val="00BD6DB2"/>
    <w:rsid w:val="00BE737C"/>
    <w:rsid w:val="00C027C2"/>
    <w:rsid w:val="00C05D3A"/>
    <w:rsid w:val="00C05F6D"/>
    <w:rsid w:val="00C11262"/>
    <w:rsid w:val="00C13D95"/>
    <w:rsid w:val="00C2755F"/>
    <w:rsid w:val="00C37914"/>
    <w:rsid w:val="00C45E24"/>
    <w:rsid w:val="00C47A6A"/>
    <w:rsid w:val="00C57DE1"/>
    <w:rsid w:val="00C65C67"/>
    <w:rsid w:val="00C73B9F"/>
    <w:rsid w:val="00C76830"/>
    <w:rsid w:val="00C8002A"/>
    <w:rsid w:val="00C95160"/>
    <w:rsid w:val="00CB0532"/>
    <w:rsid w:val="00CB731B"/>
    <w:rsid w:val="00CC49DE"/>
    <w:rsid w:val="00CD1CE0"/>
    <w:rsid w:val="00CD3710"/>
    <w:rsid w:val="00CD6658"/>
    <w:rsid w:val="00CD7A45"/>
    <w:rsid w:val="00CE2496"/>
    <w:rsid w:val="00CF0BFE"/>
    <w:rsid w:val="00CF3589"/>
    <w:rsid w:val="00CF75EB"/>
    <w:rsid w:val="00CF7852"/>
    <w:rsid w:val="00D01357"/>
    <w:rsid w:val="00D0308D"/>
    <w:rsid w:val="00D04D5F"/>
    <w:rsid w:val="00D0691A"/>
    <w:rsid w:val="00D0738B"/>
    <w:rsid w:val="00D11B7B"/>
    <w:rsid w:val="00D11F1A"/>
    <w:rsid w:val="00D16473"/>
    <w:rsid w:val="00D33B51"/>
    <w:rsid w:val="00D41D1E"/>
    <w:rsid w:val="00D42581"/>
    <w:rsid w:val="00D42E51"/>
    <w:rsid w:val="00D43875"/>
    <w:rsid w:val="00D44A22"/>
    <w:rsid w:val="00D45DE5"/>
    <w:rsid w:val="00D500D9"/>
    <w:rsid w:val="00D52E76"/>
    <w:rsid w:val="00D601AC"/>
    <w:rsid w:val="00D67503"/>
    <w:rsid w:val="00D70630"/>
    <w:rsid w:val="00D7643B"/>
    <w:rsid w:val="00D765B4"/>
    <w:rsid w:val="00D826A5"/>
    <w:rsid w:val="00D87FFD"/>
    <w:rsid w:val="00D90E91"/>
    <w:rsid w:val="00D979E4"/>
    <w:rsid w:val="00DA6EE5"/>
    <w:rsid w:val="00DA6F12"/>
    <w:rsid w:val="00DB1F0B"/>
    <w:rsid w:val="00DB3059"/>
    <w:rsid w:val="00DB450C"/>
    <w:rsid w:val="00DB60D5"/>
    <w:rsid w:val="00DB6CE8"/>
    <w:rsid w:val="00DB6DC3"/>
    <w:rsid w:val="00DC2201"/>
    <w:rsid w:val="00DC2CBD"/>
    <w:rsid w:val="00DC7C0D"/>
    <w:rsid w:val="00DD2740"/>
    <w:rsid w:val="00DD59EB"/>
    <w:rsid w:val="00DE4831"/>
    <w:rsid w:val="00DF1189"/>
    <w:rsid w:val="00DF33BB"/>
    <w:rsid w:val="00DF4DB0"/>
    <w:rsid w:val="00E07449"/>
    <w:rsid w:val="00E1773B"/>
    <w:rsid w:val="00E2367E"/>
    <w:rsid w:val="00E32C7F"/>
    <w:rsid w:val="00E40DC0"/>
    <w:rsid w:val="00E43489"/>
    <w:rsid w:val="00E4517A"/>
    <w:rsid w:val="00E5024E"/>
    <w:rsid w:val="00E54D2C"/>
    <w:rsid w:val="00E54FA4"/>
    <w:rsid w:val="00E55BAA"/>
    <w:rsid w:val="00E71E1B"/>
    <w:rsid w:val="00E86851"/>
    <w:rsid w:val="00E93792"/>
    <w:rsid w:val="00E93B81"/>
    <w:rsid w:val="00E94CF0"/>
    <w:rsid w:val="00EA0D21"/>
    <w:rsid w:val="00EA6B4A"/>
    <w:rsid w:val="00EB36BA"/>
    <w:rsid w:val="00EB39F9"/>
    <w:rsid w:val="00ED4FB1"/>
    <w:rsid w:val="00ED5B06"/>
    <w:rsid w:val="00EE0A24"/>
    <w:rsid w:val="00EE3432"/>
    <w:rsid w:val="00EE4B5E"/>
    <w:rsid w:val="00EE77CC"/>
    <w:rsid w:val="00EF76A2"/>
    <w:rsid w:val="00EF7AE1"/>
    <w:rsid w:val="00F01841"/>
    <w:rsid w:val="00F020BC"/>
    <w:rsid w:val="00F11548"/>
    <w:rsid w:val="00F15F9A"/>
    <w:rsid w:val="00F204C3"/>
    <w:rsid w:val="00F20938"/>
    <w:rsid w:val="00F21079"/>
    <w:rsid w:val="00F2325D"/>
    <w:rsid w:val="00F32011"/>
    <w:rsid w:val="00F3265C"/>
    <w:rsid w:val="00F470CF"/>
    <w:rsid w:val="00F530C5"/>
    <w:rsid w:val="00F67AC1"/>
    <w:rsid w:val="00F75CC8"/>
    <w:rsid w:val="00F934B4"/>
    <w:rsid w:val="00FA2511"/>
    <w:rsid w:val="00FA2515"/>
    <w:rsid w:val="00FA3181"/>
    <w:rsid w:val="00FA7F17"/>
    <w:rsid w:val="00FC62FD"/>
    <w:rsid w:val="00FC6BAE"/>
    <w:rsid w:val="00FE1D40"/>
    <w:rsid w:val="00FF09B9"/>
    <w:rsid w:val="00FF72E6"/>
    <w:rsid w:val="05EE3B0E"/>
    <w:rsid w:val="086DCB38"/>
    <w:rsid w:val="0B8F81FB"/>
    <w:rsid w:val="1A83DF36"/>
    <w:rsid w:val="1CEB1A7A"/>
    <w:rsid w:val="22459934"/>
    <w:rsid w:val="2466E301"/>
    <w:rsid w:val="42DD8FDB"/>
    <w:rsid w:val="44AB0045"/>
    <w:rsid w:val="5CA6A91A"/>
    <w:rsid w:val="67706D45"/>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CD1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eastAsia="Times New Roman" w:ascii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4B1A"/>
    <w:pPr>
      <w:spacing w:before="120" w:after="120" w:line="360" w:lineRule="auto"/>
      <w:jc w:val="both"/>
    </w:pPr>
    <w:rPr>
      <w:rFonts w:ascii="Times New Roman" w:hAnsi="Times New Roman" w:cs="Times New Roman"/>
      <w:sz w:val="24"/>
      <w:lang w:eastAsia="en-GB"/>
    </w:rPr>
  </w:style>
  <w:style w:type="paragraph" w:styleId="Heading1">
    <w:name w:val="heading 1"/>
    <w:basedOn w:val="Normal"/>
    <w:next w:val="Normal"/>
    <w:link w:val="Heading1Char"/>
    <w:autoRedefine/>
    <w:uiPriority w:val="9"/>
    <w:qFormat/>
    <w:rsid w:val="00424DF6"/>
    <w:pPr>
      <w:keepNext/>
      <w:keepLines/>
      <w:spacing w:before="0" w:after="200"/>
      <w:jc w:val="center"/>
      <w:outlineLvl w:val="0"/>
    </w:pPr>
    <w:rPr>
      <w:b/>
      <w:color w:val="002060"/>
      <w:sz w:val="32"/>
      <w:szCs w:val="32"/>
      <w:lang w:val="en-US"/>
    </w:rPr>
  </w:style>
  <w:style w:type="paragraph" w:styleId="Heading2">
    <w:name w:val="heading 2"/>
    <w:basedOn w:val="Normal"/>
    <w:next w:val="Normal"/>
    <w:link w:val="Heading2Char"/>
    <w:autoRedefine/>
    <w:uiPriority w:val="9"/>
    <w:unhideWhenUsed/>
    <w:qFormat/>
    <w:rsid w:val="00424DF6"/>
    <w:pPr>
      <w:keepNext/>
      <w:keepLines/>
      <w:spacing w:before="160" w:after="200"/>
      <w:outlineLvl w:val="1"/>
    </w:pPr>
    <w:rPr>
      <w:rFonts w:cstheme="majorBidi"/>
      <w:b/>
      <w:color w:val="1F3864" w:themeColor="accent1" w:themeShade="80"/>
      <w:sz w:val="28"/>
      <w:szCs w:val="26"/>
      <w:lang w:val="en-US"/>
    </w:rPr>
  </w:style>
  <w:style w:type="paragraph" w:styleId="Heading3">
    <w:name w:val="heading 3"/>
    <w:basedOn w:val="Normal"/>
    <w:next w:val="Normal"/>
    <w:link w:val="Heading3Char"/>
    <w:autoRedefine/>
    <w:uiPriority w:val="9"/>
    <w:unhideWhenUsed/>
    <w:qFormat/>
    <w:rsid w:val="006E0F44"/>
    <w:pPr>
      <w:keepNext/>
      <w:keepLines/>
      <w:spacing w:before="160" w:after="200"/>
      <w:outlineLvl w:val="2"/>
    </w:pPr>
    <w:rPr>
      <w:rFonts w:eastAsiaTheme="majorEastAsia" w:cstheme="majorBidi"/>
      <w:b/>
      <w:color w:val="7030A0"/>
      <w:sz w:val="25"/>
      <w:szCs w:val="24"/>
      <w:lang w:val="en-US"/>
    </w:rPr>
  </w:style>
  <w:style w:type="paragraph" w:styleId="Heading4">
    <w:name w:val="heading 4"/>
    <w:basedOn w:val="Normal"/>
    <w:next w:val="Normal"/>
    <w:link w:val="Heading4Char"/>
    <w:uiPriority w:val="9"/>
    <w:semiHidden/>
    <w:unhideWhenUsed/>
    <w:qFormat/>
    <w:rsid w:val="00932CCF"/>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32CCF"/>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32CCF"/>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2CCF"/>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2CCF"/>
    <w:pPr>
      <w:keepNext/>
      <w:keepLines/>
      <w:spacing w:before="0"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2CCF"/>
    <w:pPr>
      <w:keepNext/>
      <w:keepLines/>
      <w:spacing w:before="0"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24DF6"/>
    <w:rPr>
      <w:rFonts w:ascii="Times New Roman" w:hAnsi="Times New Roman" w:cs="Times New Roman"/>
      <w:b/>
      <w:color w:val="002060"/>
      <w:sz w:val="32"/>
      <w:szCs w:val="32"/>
      <w:lang w:val="en-US" w:eastAsia="en-GB"/>
    </w:rPr>
  </w:style>
  <w:style w:type="character" w:styleId="Heading2Char" w:customStyle="1">
    <w:name w:val="Heading 2 Char"/>
    <w:basedOn w:val="DefaultParagraphFont"/>
    <w:link w:val="Heading2"/>
    <w:uiPriority w:val="9"/>
    <w:rsid w:val="00424DF6"/>
    <w:rPr>
      <w:rFonts w:ascii="Times New Roman" w:hAnsi="Times New Roman" w:cstheme="majorBidi"/>
      <w:b/>
      <w:color w:val="1F3864" w:themeColor="accent1" w:themeShade="80"/>
      <w:sz w:val="28"/>
      <w:szCs w:val="26"/>
      <w:lang w:val="en-US" w:eastAsia="en-GB"/>
    </w:rPr>
  </w:style>
  <w:style w:type="character" w:styleId="Heading3Char" w:customStyle="1">
    <w:name w:val="Heading 3 Char"/>
    <w:basedOn w:val="DefaultParagraphFont"/>
    <w:link w:val="Heading3"/>
    <w:uiPriority w:val="9"/>
    <w:rsid w:val="006E0F44"/>
    <w:rPr>
      <w:rFonts w:ascii="Times New Roman" w:hAnsi="Times New Roman" w:eastAsiaTheme="majorEastAsia" w:cstheme="majorBidi"/>
      <w:b/>
      <w:color w:val="7030A0"/>
      <w:sz w:val="25"/>
      <w:szCs w:val="24"/>
      <w:lang w:val="en-US" w:eastAsia="en-GB"/>
    </w:rPr>
  </w:style>
  <w:style w:type="paragraph" w:styleId="Caption">
    <w:name w:val="caption"/>
    <w:basedOn w:val="Normal"/>
    <w:next w:val="Normal"/>
    <w:autoRedefine/>
    <w:unhideWhenUsed/>
    <w:qFormat/>
    <w:rsid w:val="00743271"/>
    <w:pPr>
      <w:spacing w:after="360"/>
      <w:jc w:val="center"/>
    </w:pPr>
    <w:rPr>
      <w:rFonts w:cstheme="minorHAnsi"/>
      <w:b/>
      <w:i/>
      <w:iCs/>
      <w:noProof/>
      <w:sz w:val="20"/>
      <w:szCs w:val="24"/>
      <w:lang w:val="en-ZA"/>
    </w:rPr>
  </w:style>
  <w:style w:type="character" w:styleId="Heading4Char" w:customStyle="1">
    <w:name w:val="Heading 4 Char"/>
    <w:basedOn w:val="DefaultParagraphFont"/>
    <w:link w:val="Heading4"/>
    <w:uiPriority w:val="9"/>
    <w:semiHidden/>
    <w:rsid w:val="00932CCF"/>
    <w:rPr>
      <w:rFonts w:eastAsiaTheme="majorEastAsia" w:cstheme="majorBidi"/>
      <w:i/>
      <w:iCs/>
      <w:color w:val="2F5496" w:themeColor="accent1" w:themeShade="BF"/>
      <w:sz w:val="24"/>
      <w:lang w:eastAsia="en-GB"/>
    </w:rPr>
  </w:style>
  <w:style w:type="character" w:styleId="Heading5Char" w:customStyle="1">
    <w:name w:val="Heading 5 Char"/>
    <w:basedOn w:val="DefaultParagraphFont"/>
    <w:link w:val="Heading5"/>
    <w:uiPriority w:val="9"/>
    <w:semiHidden/>
    <w:rsid w:val="00932CCF"/>
    <w:rPr>
      <w:rFonts w:eastAsiaTheme="majorEastAsia" w:cstheme="majorBidi"/>
      <w:color w:val="2F5496" w:themeColor="accent1" w:themeShade="BF"/>
      <w:sz w:val="24"/>
      <w:lang w:eastAsia="en-GB"/>
    </w:rPr>
  </w:style>
  <w:style w:type="character" w:styleId="Heading6Char" w:customStyle="1">
    <w:name w:val="Heading 6 Char"/>
    <w:basedOn w:val="DefaultParagraphFont"/>
    <w:link w:val="Heading6"/>
    <w:uiPriority w:val="9"/>
    <w:semiHidden/>
    <w:rsid w:val="00932CCF"/>
    <w:rPr>
      <w:rFonts w:eastAsiaTheme="majorEastAsia" w:cstheme="majorBidi"/>
      <w:i/>
      <w:iCs/>
      <w:color w:val="595959" w:themeColor="text1" w:themeTint="A6"/>
      <w:sz w:val="24"/>
      <w:lang w:eastAsia="en-GB"/>
    </w:rPr>
  </w:style>
  <w:style w:type="character" w:styleId="Heading7Char" w:customStyle="1">
    <w:name w:val="Heading 7 Char"/>
    <w:basedOn w:val="DefaultParagraphFont"/>
    <w:link w:val="Heading7"/>
    <w:uiPriority w:val="9"/>
    <w:semiHidden/>
    <w:rsid w:val="00932CCF"/>
    <w:rPr>
      <w:rFonts w:eastAsiaTheme="majorEastAsia" w:cstheme="majorBidi"/>
      <w:color w:val="595959" w:themeColor="text1" w:themeTint="A6"/>
      <w:sz w:val="24"/>
      <w:lang w:eastAsia="en-GB"/>
    </w:rPr>
  </w:style>
  <w:style w:type="character" w:styleId="Heading8Char" w:customStyle="1">
    <w:name w:val="Heading 8 Char"/>
    <w:basedOn w:val="DefaultParagraphFont"/>
    <w:link w:val="Heading8"/>
    <w:uiPriority w:val="9"/>
    <w:semiHidden/>
    <w:rsid w:val="00932CCF"/>
    <w:rPr>
      <w:rFonts w:eastAsiaTheme="majorEastAsia" w:cstheme="majorBidi"/>
      <w:i/>
      <w:iCs/>
      <w:color w:val="272727" w:themeColor="text1" w:themeTint="D8"/>
      <w:sz w:val="24"/>
      <w:lang w:eastAsia="en-GB"/>
    </w:rPr>
  </w:style>
  <w:style w:type="character" w:styleId="Heading9Char" w:customStyle="1">
    <w:name w:val="Heading 9 Char"/>
    <w:basedOn w:val="DefaultParagraphFont"/>
    <w:link w:val="Heading9"/>
    <w:uiPriority w:val="9"/>
    <w:semiHidden/>
    <w:rsid w:val="00932CCF"/>
    <w:rPr>
      <w:rFonts w:eastAsiaTheme="majorEastAsia" w:cstheme="majorBidi"/>
      <w:color w:val="272727" w:themeColor="text1" w:themeTint="D8"/>
      <w:sz w:val="24"/>
      <w:lang w:eastAsia="en-GB"/>
    </w:rPr>
  </w:style>
  <w:style w:type="paragraph" w:styleId="Title">
    <w:name w:val="Title"/>
    <w:basedOn w:val="Normal"/>
    <w:next w:val="Normal"/>
    <w:link w:val="TitleChar"/>
    <w:uiPriority w:val="10"/>
    <w:qFormat/>
    <w:rsid w:val="00932CCF"/>
    <w:pPr>
      <w:spacing w:before="0"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32CCF"/>
    <w:rPr>
      <w:rFonts w:asciiTheme="majorHAnsi" w:hAnsiTheme="majorHAnsi" w:eastAsiaTheme="majorEastAsia" w:cstheme="majorBidi"/>
      <w:spacing w:val="-10"/>
      <w:kern w:val="28"/>
      <w:sz w:val="56"/>
      <w:szCs w:val="56"/>
      <w:lang w:eastAsia="en-GB"/>
    </w:rPr>
  </w:style>
  <w:style w:type="paragraph" w:styleId="Subtitle">
    <w:name w:val="Subtitle"/>
    <w:basedOn w:val="Normal"/>
    <w:next w:val="Normal"/>
    <w:link w:val="SubtitleChar"/>
    <w:uiPriority w:val="11"/>
    <w:qFormat/>
    <w:rsid w:val="00932CCF"/>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32CCF"/>
    <w:rPr>
      <w:rFonts w:eastAsiaTheme="majorEastAsia" w:cstheme="majorBidi"/>
      <w:color w:val="595959" w:themeColor="text1" w:themeTint="A6"/>
      <w:spacing w:val="15"/>
      <w:sz w:val="28"/>
      <w:szCs w:val="28"/>
      <w:lang w:eastAsia="en-GB"/>
    </w:rPr>
  </w:style>
  <w:style w:type="paragraph" w:styleId="Quote">
    <w:name w:val="Quote"/>
    <w:basedOn w:val="Normal"/>
    <w:next w:val="Normal"/>
    <w:link w:val="QuoteChar"/>
    <w:uiPriority w:val="29"/>
    <w:qFormat/>
    <w:rsid w:val="00932CCF"/>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932CCF"/>
    <w:rPr>
      <w:rFonts w:ascii="Times New Roman" w:hAnsi="Times New Roman" w:cs="Times New Roman"/>
      <w:i/>
      <w:iCs/>
      <w:color w:val="404040" w:themeColor="text1" w:themeTint="BF"/>
      <w:sz w:val="24"/>
      <w:lang w:eastAsia="en-GB"/>
    </w:rPr>
  </w:style>
  <w:style w:type="paragraph" w:styleId="ListParagraph">
    <w:name w:val="List Paragraph"/>
    <w:basedOn w:val="Normal"/>
    <w:uiPriority w:val="34"/>
    <w:qFormat/>
    <w:rsid w:val="00932CCF"/>
    <w:pPr>
      <w:ind w:left="720"/>
      <w:contextualSpacing/>
    </w:pPr>
  </w:style>
  <w:style w:type="character" w:styleId="IntenseEmphasis">
    <w:name w:val="Intense Emphasis"/>
    <w:basedOn w:val="DefaultParagraphFont"/>
    <w:uiPriority w:val="21"/>
    <w:qFormat/>
    <w:rsid w:val="00932CCF"/>
    <w:rPr>
      <w:i/>
      <w:iCs/>
      <w:color w:val="2F5496" w:themeColor="accent1" w:themeShade="BF"/>
    </w:rPr>
  </w:style>
  <w:style w:type="paragraph" w:styleId="IntenseQuote">
    <w:name w:val="Intense Quote"/>
    <w:basedOn w:val="Normal"/>
    <w:next w:val="Normal"/>
    <w:link w:val="IntenseQuoteChar"/>
    <w:uiPriority w:val="30"/>
    <w:qFormat/>
    <w:rsid w:val="00932CCF"/>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932CCF"/>
    <w:rPr>
      <w:rFonts w:ascii="Times New Roman" w:hAnsi="Times New Roman" w:cs="Times New Roman"/>
      <w:i/>
      <w:iCs/>
      <w:color w:val="2F5496" w:themeColor="accent1" w:themeShade="BF"/>
      <w:sz w:val="24"/>
      <w:lang w:eastAsia="en-GB"/>
    </w:rPr>
  </w:style>
  <w:style w:type="character" w:styleId="IntenseReference">
    <w:name w:val="Intense Reference"/>
    <w:basedOn w:val="DefaultParagraphFont"/>
    <w:uiPriority w:val="32"/>
    <w:qFormat/>
    <w:rsid w:val="00932CCF"/>
    <w:rPr>
      <w:b/>
      <w:bCs/>
      <w:smallCaps/>
      <w:color w:val="2F5496" w:themeColor="accent1" w:themeShade="BF"/>
      <w:spacing w:val="5"/>
    </w:rPr>
  </w:style>
  <w:style w:type="table" w:styleId="GridTable4-Accent5">
    <w:name w:val="Grid Table 4 Accent 5"/>
    <w:basedOn w:val="TableNormal"/>
    <w:uiPriority w:val="49"/>
    <w:rsid w:val="00932CCF"/>
    <w:pPr>
      <w:spacing w:after="0" w:line="240" w:lineRule="auto"/>
    </w:pPr>
    <w:tblPr>
      <w:tblStyleRowBandSize w:val="1"/>
      <w:tblStyleColBandSize w:val="1"/>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rPr>
      <w:tbl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blPr/>
      <w:tcPr>
        <w:tcBorders>
          <w:top w:val="double" w:color="5B9BD5" w:themeColor="accent5" w:sz="4" w:space="0"/>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DB6DC3"/>
    <w:pPr>
      <w:tabs>
        <w:tab w:val="center" w:pos="4513"/>
        <w:tab w:val="right" w:pos="9026"/>
      </w:tabs>
      <w:spacing w:before="0" w:after="0" w:line="240" w:lineRule="auto"/>
    </w:pPr>
  </w:style>
  <w:style w:type="character" w:styleId="HeaderChar" w:customStyle="1">
    <w:name w:val="Header Char"/>
    <w:basedOn w:val="DefaultParagraphFont"/>
    <w:link w:val="Header"/>
    <w:uiPriority w:val="99"/>
    <w:rsid w:val="00DB6DC3"/>
    <w:rPr>
      <w:rFonts w:ascii="Times New Roman" w:hAnsi="Times New Roman" w:cs="Times New Roman"/>
      <w:sz w:val="24"/>
      <w:lang w:eastAsia="en-GB"/>
    </w:rPr>
  </w:style>
  <w:style w:type="paragraph" w:styleId="Footer">
    <w:name w:val="footer"/>
    <w:basedOn w:val="Normal"/>
    <w:link w:val="FooterChar"/>
    <w:uiPriority w:val="99"/>
    <w:unhideWhenUsed/>
    <w:rsid w:val="00DB6DC3"/>
    <w:pPr>
      <w:tabs>
        <w:tab w:val="center" w:pos="4513"/>
        <w:tab w:val="right" w:pos="9026"/>
      </w:tabs>
      <w:spacing w:before="0" w:after="0" w:line="240" w:lineRule="auto"/>
    </w:pPr>
  </w:style>
  <w:style w:type="character" w:styleId="FooterChar" w:customStyle="1">
    <w:name w:val="Footer Char"/>
    <w:basedOn w:val="DefaultParagraphFont"/>
    <w:link w:val="Footer"/>
    <w:uiPriority w:val="99"/>
    <w:rsid w:val="00DB6DC3"/>
    <w:rPr>
      <w:rFonts w:ascii="Times New Roman" w:hAnsi="Times New Roman" w:cs="Times New Roman"/>
      <w:sz w:val="24"/>
      <w:lang w:eastAsia="en-GB"/>
    </w:rPr>
  </w:style>
  <w:style w:type="character" w:styleId="Hyperlink">
    <w:name w:val="Hyperlink"/>
    <w:basedOn w:val="DefaultParagraphFont"/>
    <w:uiPriority w:val="99"/>
    <w:unhideWhenUsed/>
    <w:rsid w:val="00570D2B"/>
    <w:rPr>
      <w:color w:val="0563C1" w:themeColor="hyperlink"/>
      <w:u w:val="single"/>
    </w:rPr>
  </w:style>
  <w:style w:type="paragraph" w:styleId="TOCHeading">
    <w:name w:val="TOC Heading"/>
    <w:basedOn w:val="Heading1"/>
    <w:next w:val="Normal"/>
    <w:uiPriority w:val="39"/>
    <w:unhideWhenUsed/>
    <w:qFormat/>
    <w:rsid w:val="008E36B5"/>
    <w:pPr>
      <w:spacing w:before="240" w:after="0" w:line="259" w:lineRule="auto"/>
      <w:jc w:val="left"/>
      <w:outlineLvl w:val="9"/>
    </w:pPr>
    <w:rPr>
      <w:rFonts w:asciiTheme="majorHAnsi" w:hAnsiTheme="majorHAnsi"/>
      <w:b w:val="0"/>
      <w:color w:val="2F5496" w:themeColor="accent1" w:themeShade="BF"/>
      <w:kern w:val="0"/>
      <w:lang w:eastAsia="en-US"/>
      <w14:ligatures w14:val="none"/>
    </w:rPr>
  </w:style>
  <w:style w:type="paragraph" w:styleId="TOC1">
    <w:name w:val="toc 1"/>
    <w:basedOn w:val="Normal"/>
    <w:next w:val="Normal"/>
    <w:autoRedefine/>
    <w:uiPriority w:val="39"/>
    <w:unhideWhenUsed/>
    <w:rsid w:val="008E36B5"/>
    <w:pPr>
      <w:tabs>
        <w:tab w:val="right" w:leader="dot" w:pos="9016"/>
      </w:tabs>
      <w:spacing w:after="100"/>
    </w:pPr>
    <w:rPr>
      <w:rFonts w:eastAsiaTheme="majorEastAsia"/>
      <w:b/>
      <w:bCs/>
      <w:noProof/>
    </w:rPr>
  </w:style>
  <w:style w:type="paragraph" w:styleId="TOC2">
    <w:name w:val="toc 2"/>
    <w:basedOn w:val="Normal"/>
    <w:next w:val="Normal"/>
    <w:autoRedefine/>
    <w:uiPriority w:val="39"/>
    <w:unhideWhenUsed/>
    <w:rsid w:val="008E36B5"/>
    <w:pPr>
      <w:spacing w:after="100"/>
      <w:ind w:left="240"/>
    </w:pPr>
  </w:style>
  <w:style w:type="paragraph" w:styleId="TOC3">
    <w:name w:val="toc 3"/>
    <w:basedOn w:val="Normal"/>
    <w:next w:val="Normal"/>
    <w:autoRedefine/>
    <w:uiPriority w:val="39"/>
    <w:unhideWhenUsed/>
    <w:rsid w:val="008E36B5"/>
    <w:pPr>
      <w:spacing w:after="100"/>
      <w:ind w:left="480"/>
    </w:pPr>
  </w:style>
  <w:style w:type="character" w:styleId="Strong">
    <w:name w:val="Strong"/>
    <w:basedOn w:val="DefaultParagraphFont"/>
    <w:uiPriority w:val="22"/>
    <w:qFormat/>
    <w:rsid w:val="00F01841"/>
    <w:rPr>
      <w:b/>
      <w:bCs/>
    </w:rPr>
  </w:style>
  <w:style w:type="paragraph" w:styleId="NormalWeb">
    <w:name w:val="Normal (Web)"/>
    <w:basedOn w:val="Normal"/>
    <w:uiPriority w:val="99"/>
    <w:semiHidden/>
    <w:unhideWhenUsed/>
    <w:rsid w:val="00F01841"/>
    <w:pPr>
      <w:spacing w:before="100" w:beforeAutospacing="1" w:after="100" w:afterAutospacing="1" w:line="240" w:lineRule="auto"/>
      <w:jc w:val="left"/>
    </w:pPr>
    <w:rPr>
      <w:rFonts w:eastAsiaTheme="minorEastAsia"/>
      <w:kern w:val="0"/>
      <w:szCs w:val="24"/>
      <w:lang w:val="en-US" w:eastAsia="en-US" w:bidi="bn-BD"/>
      <w14:ligatures w14:val="none"/>
    </w:rPr>
  </w:style>
  <w:style w:type="character" w:styleId="UnresolvedMention1" w:customStyle="1">
    <w:name w:val="Unresolved Mention1"/>
    <w:basedOn w:val="DefaultParagraphFont"/>
    <w:uiPriority w:val="99"/>
    <w:semiHidden/>
    <w:unhideWhenUsed/>
    <w:rsid w:val="00743271"/>
    <w:rPr>
      <w:color w:val="605E5C"/>
      <w:shd w:val="clear" w:color="auto" w:fill="E1DFDD"/>
    </w:rPr>
  </w:style>
  <w:style w:type="table" w:styleId="TableGrid">
    <w:name w:val="Table Grid"/>
    <w:basedOn w:val="TableNormal"/>
    <w:uiPriority w:val="39"/>
    <w:rsid w:val="0076345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4">
    <w:name w:val="Grid Table 4 Accent 4"/>
    <w:basedOn w:val="TableNormal"/>
    <w:uiPriority w:val="49"/>
    <w:rsid w:val="006E0F44"/>
    <w:pPr>
      <w:spacing w:after="0" w:line="240" w:lineRule="auto"/>
    </w:pPr>
    <w:tblPr>
      <w:tblStyleRowBandSize w:val="1"/>
      <w:tblStyleColBandSize w:val="1"/>
      <w:tblBorders>
        <w:top w:val="single" w:color="FFD966" w:themeColor="accent4" w:themeTint="99" w:sz="4" w:space="0"/>
        <w:left w:val="single" w:color="FFD966" w:themeColor="accent4" w:themeTint="99" w:sz="4" w:space="0"/>
        <w:bottom w:val="single" w:color="FFD966" w:themeColor="accent4" w:themeTint="99" w:sz="4" w:space="0"/>
        <w:right w:val="single" w:color="FFD966" w:themeColor="accent4" w:themeTint="99" w:sz="4" w:space="0"/>
        <w:insideH w:val="single" w:color="FFD966" w:themeColor="accent4" w:themeTint="99" w:sz="4" w:space="0"/>
        <w:insideV w:val="single" w:color="FFD966" w:themeColor="accent4" w:themeTint="99" w:sz="4" w:space="0"/>
      </w:tblBorders>
    </w:tblPr>
    <w:tblStylePr w:type="firstRow">
      <w:rPr>
        <w:b/>
        <w:bCs/>
        <w:color w:val="FFFFFF" w:themeColor="background1"/>
      </w:rPr>
      <w:tblPr/>
      <w:tcPr>
        <w:tcBorders>
          <w:top w:val="single" w:color="FFC000" w:themeColor="accent4" w:sz="4" w:space="0"/>
          <w:left w:val="single" w:color="FFC000" w:themeColor="accent4" w:sz="4" w:space="0"/>
          <w:bottom w:val="single" w:color="FFC000" w:themeColor="accent4" w:sz="4" w:space="0"/>
          <w:right w:val="single" w:color="FFC000" w:themeColor="accent4" w:sz="4" w:space="0"/>
          <w:insideH w:val="nil"/>
          <w:insideV w:val="nil"/>
        </w:tcBorders>
        <w:shd w:val="clear" w:color="auto" w:fill="FFC000" w:themeFill="accent4"/>
      </w:tcPr>
    </w:tblStylePr>
    <w:tblStylePr w:type="lastRow">
      <w:rPr>
        <w:b/>
        <w:bCs/>
      </w:rPr>
      <w:tblPr/>
      <w:tcPr>
        <w:tcBorders>
          <w:top w:val="double" w:color="FFC000" w:themeColor="accent4" w:sz="4" w:space="0"/>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ableofFigures">
    <w:name w:val="table of figures"/>
    <w:basedOn w:val="Normal"/>
    <w:next w:val="Normal"/>
    <w:uiPriority w:val="99"/>
    <w:unhideWhenUsed/>
    <w:rsid w:val="00CB731B"/>
    <w:pPr>
      <w:spacing w:after="0"/>
    </w:pPr>
  </w:style>
  <w:style w:type="table" w:styleId="PlainTable3">
    <w:name w:val="Plain Table 3"/>
    <w:basedOn w:val="TableNormal"/>
    <w:uiPriority w:val="43"/>
    <w:rsid w:val="0021335F"/>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21335F"/>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TableGrid1" w:customStyle="1">
    <w:name w:val="Table Grid1"/>
    <w:basedOn w:val="TableNormal"/>
    <w:next w:val="TableGrid"/>
    <w:uiPriority w:val="39"/>
    <w:rsid w:val="00D601AC"/>
    <w:pPr>
      <w:spacing w:after="0" w:line="240" w:lineRule="auto"/>
    </w:pPr>
    <w:tblPr>
      <w:tblBorders>
        <w:top w:val="single" w:color="2E74B5" w:themeColor="accent5" w:themeShade="BF" w:sz="12" w:space="0"/>
        <w:left w:val="single" w:color="2E74B5" w:themeColor="accent5" w:themeShade="BF" w:sz="12" w:space="0"/>
        <w:bottom w:val="single" w:color="2E74B5" w:themeColor="accent5" w:themeShade="BF" w:sz="12" w:space="0"/>
        <w:right w:val="single" w:color="2E74B5" w:themeColor="accent5" w:themeShade="BF" w:sz="12" w:space="0"/>
        <w:insideH w:val="single" w:color="2E74B5" w:themeColor="accent5" w:themeShade="BF" w:sz="12" w:space="0"/>
        <w:insideV w:val="single" w:color="2E74B5" w:themeColor="accent5" w:themeShade="BF" w:sz="12" w:space="0"/>
      </w:tblBorders>
    </w:tblPr>
    <w:tblStylePr w:type="firstRow">
      <w:pPr>
        <w:jc w:val="center"/>
      </w:pPr>
      <w:rPr>
        <w:b/>
        <w:i/>
      </w:rPr>
      <w:tblPr/>
      <w:tcPr>
        <w:shd w:val="clear" w:color="auto" w:fill="BDD6EE" w:themeFill="accent5" w:themeFillTint="66"/>
        <w:vAlign w:val="center"/>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015202">
      <w:bodyDiv w:val="1"/>
      <w:marLeft w:val="0"/>
      <w:marRight w:val="0"/>
      <w:marTop w:val="0"/>
      <w:marBottom w:val="0"/>
      <w:divBdr>
        <w:top w:val="none" w:sz="0" w:space="0" w:color="auto"/>
        <w:left w:val="none" w:sz="0" w:space="0" w:color="auto"/>
        <w:bottom w:val="none" w:sz="0" w:space="0" w:color="auto"/>
        <w:right w:val="none" w:sz="0" w:space="0" w:color="auto"/>
      </w:divBdr>
      <w:divsChild>
        <w:div w:id="1362247381">
          <w:marLeft w:val="0"/>
          <w:marRight w:val="0"/>
          <w:marTop w:val="0"/>
          <w:marBottom w:val="0"/>
          <w:divBdr>
            <w:top w:val="none" w:sz="0" w:space="0" w:color="auto"/>
            <w:left w:val="none" w:sz="0" w:space="0" w:color="auto"/>
            <w:bottom w:val="none" w:sz="0" w:space="0" w:color="auto"/>
            <w:right w:val="none" w:sz="0" w:space="0" w:color="auto"/>
          </w:divBdr>
          <w:divsChild>
            <w:div w:id="1535845994">
              <w:marLeft w:val="0"/>
              <w:marRight w:val="0"/>
              <w:marTop w:val="0"/>
              <w:marBottom w:val="0"/>
              <w:divBdr>
                <w:top w:val="none" w:sz="0" w:space="0" w:color="auto"/>
                <w:left w:val="none" w:sz="0" w:space="0" w:color="auto"/>
                <w:bottom w:val="none" w:sz="0" w:space="0" w:color="auto"/>
                <w:right w:val="none" w:sz="0" w:space="0" w:color="auto"/>
              </w:divBdr>
              <w:divsChild>
                <w:div w:id="2070690369">
                  <w:marLeft w:val="0"/>
                  <w:marRight w:val="0"/>
                  <w:marTop w:val="0"/>
                  <w:marBottom w:val="0"/>
                  <w:divBdr>
                    <w:top w:val="none" w:sz="0" w:space="0" w:color="auto"/>
                    <w:left w:val="none" w:sz="0" w:space="0" w:color="auto"/>
                    <w:bottom w:val="none" w:sz="0" w:space="0" w:color="auto"/>
                    <w:right w:val="none" w:sz="0" w:space="0" w:color="auto"/>
                  </w:divBdr>
                  <w:divsChild>
                    <w:div w:id="176382616">
                      <w:marLeft w:val="0"/>
                      <w:marRight w:val="0"/>
                      <w:marTop w:val="0"/>
                      <w:marBottom w:val="0"/>
                      <w:divBdr>
                        <w:top w:val="none" w:sz="0" w:space="0" w:color="auto"/>
                        <w:left w:val="none" w:sz="0" w:space="0" w:color="auto"/>
                        <w:bottom w:val="none" w:sz="0" w:space="0" w:color="auto"/>
                        <w:right w:val="none" w:sz="0" w:space="0" w:color="auto"/>
                      </w:divBdr>
                      <w:divsChild>
                        <w:div w:id="754784671">
                          <w:marLeft w:val="0"/>
                          <w:marRight w:val="0"/>
                          <w:marTop w:val="0"/>
                          <w:marBottom w:val="0"/>
                          <w:divBdr>
                            <w:top w:val="none" w:sz="0" w:space="0" w:color="auto"/>
                            <w:left w:val="none" w:sz="0" w:space="0" w:color="auto"/>
                            <w:bottom w:val="none" w:sz="0" w:space="0" w:color="auto"/>
                            <w:right w:val="none" w:sz="0" w:space="0" w:color="auto"/>
                          </w:divBdr>
                          <w:divsChild>
                            <w:div w:id="759836663">
                              <w:marLeft w:val="0"/>
                              <w:marRight w:val="0"/>
                              <w:marTop w:val="0"/>
                              <w:marBottom w:val="0"/>
                              <w:divBdr>
                                <w:top w:val="none" w:sz="0" w:space="0" w:color="auto"/>
                                <w:left w:val="none" w:sz="0" w:space="0" w:color="auto"/>
                                <w:bottom w:val="none" w:sz="0" w:space="0" w:color="auto"/>
                                <w:right w:val="none" w:sz="0" w:space="0" w:color="auto"/>
                              </w:divBdr>
                              <w:divsChild>
                                <w:div w:id="8650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1458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yperlink" Target="https://www.forbes.com/sites/bethkindig/2023/12/07/teslas-china-market-share-continues-to-slide/" TargetMode="External" Id="rId18" /><Relationship Type="http://schemas.openxmlformats.org/officeDocument/2006/relationships/settings" Target="settings.xml" Id="rId3" /><Relationship Type="http://schemas.openxmlformats.org/officeDocument/2006/relationships/hyperlink" Target="https://www.oxfordenergy.org/wpcms/wp-content/uploads/2024/02/Presentation-China-EVs-Feb-2024.pdf" TargetMode="External" Id="rId21" /><Relationship Type="http://schemas.openxmlformats.org/officeDocument/2006/relationships/image" Target="media/image1.png" Id="rId7" /><Relationship Type="http://schemas.openxmlformats.org/officeDocument/2006/relationships/hyperlink" Target="https://www.iea.org/reports/global-ev-outlook-2025/trends-in-the-electric-car-industry-3" TargetMode="External" Id="rId17" /><Relationship Type="http://schemas.openxmlformats.org/officeDocument/2006/relationships/theme" Target="theme/theme1.xml" Id="rId25" /><Relationship Type="http://schemas.openxmlformats.org/officeDocument/2006/relationships/styles" Target="styles.xml" Id="rId2" /><Relationship Type="http://schemas.openxmlformats.org/officeDocument/2006/relationships/hyperlink" Target="https://www.mordorintelligence.com/industry-reports/china-electric-vehicles-ev-market-outlook" TargetMode="Externa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24" /><Relationship Type="http://schemas.openxmlformats.org/officeDocument/2006/relationships/footnotes" Target="footnotes.xml" Id="rId5" /><Relationship Type="http://schemas.openxmlformats.org/officeDocument/2006/relationships/footer" Target="footer1.xml" Id="rId23" /><Relationship Type="http://schemas.openxmlformats.org/officeDocument/2006/relationships/hyperlink" Target="https://www.bbvaresearch.com/wp-content/uploads/2023/04/The_rise_of_China_s_EV_sector_and_its_implications_for_the_world_WB.pdf" TargetMode="External"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hyperlink" Target="https://www.reuters.com/business/autos-transportation/teslas-china-sales-rise-record-high-83000-december-2025-01-03/" TargetMode="External" Id="rId22" /><Relationship Type="http://schemas.openxmlformats.org/officeDocument/2006/relationships/hyperlink" Target="https://www.aranca.com/assets/docs/Charging-Forward-Chinas-Rise-to-Dominance-in-the-Global-EV-Market.pdf" TargetMode="External" Id="R69c0ef6b51744429" /><Relationship Type="http://schemas.openxmlformats.org/officeDocument/2006/relationships/hyperlink" Target="https://www.adlittle.com/sites/default/files/reports/ADL_Chinese_electric_vehicles_2024_0.pdf" TargetMode="External" Id="Rb2876d0f94e04255" /><Relationship Type="http://schemas.openxmlformats.org/officeDocument/2006/relationships/hyperlink" Target="https://www.electricmotorengineering.com/automotive-china-vs-rest-of-the-world/" TargetMode="External" Id="R0426aab7063a48f1" /><Relationship Type="http://schemas.openxmlformats.org/officeDocument/2006/relationships/hyperlink" Target="https://www.thirdbridge.com/en-us/about-us/media/perspectives/how-chinese-evs-are-shaking-up-the-global-auto-industry" TargetMode="External" Id="Rf111c86d2afb43ba" /><Relationship Type="http://schemas.openxmlformats.org/officeDocument/2006/relationships/hyperlink" Target="https://daxueconsulting.com/tesla-in-china/" TargetMode="External" Id="R79eb3eeaf1b84445" /><Relationship Type="http://schemas.openxmlformats.org/officeDocument/2006/relationships/hyperlink" Target="https://electricitylawyer.com/wp-content/uploads/2025/05/ANALYZING-CHINAS-DOMINANCE-IN-THE-2024-GLOBAL-ELECTRIC-VEHICLE-MARKET.pdf" TargetMode="External" Id="R6ac37c4eff2e4061" /><Relationship Type="http://schemas.openxmlformats.org/officeDocument/2006/relationships/hyperlink" Target="https://www.automotivemanufacturingsolutions.com/strategy/chinas-auto-industry-ev-surge-exports-and-global-manufacturing/2592741" TargetMode="External" Id="Re65f1e89786d46c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839CAE-6BC0-4684-B7F8-EFD0D597A35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Syed Ajharul Amin (2436655)</lastModifiedBy>
  <revision>2</revision>
  <dcterms:created xsi:type="dcterms:W3CDTF">2026-01-27T10:38:00.0000000Z</dcterms:created>
  <dcterms:modified xsi:type="dcterms:W3CDTF">2026-03-20T00:22:13.4870577Z</dcterms:modified>
</coreProperties>
</file>