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86517" w14:textId="77777777" w:rsidR="00576044" w:rsidRDefault="00576044" w:rsidP="00576044">
      <w:pPr>
        <w:pStyle w:val="Title"/>
      </w:pPr>
      <w:r>
        <w:rPr>
          <w:noProof/>
        </w:rPr>
        <w:drawing>
          <wp:inline distT="0" distB="0" distL="0" distR="0" wp14:anchorId="3E9F5DFC" wp14:editId="02E56D22">
            <wp:extent cx="4114800" cy="1974850"/>
            <wp:effectExtent l="0" t="0" r="0" b="6350"/>
            <wp:docPr id="721992410"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14800" cy="1974850"/>
                    </a:xfrm>
                    <a:prstGeom prst="rect">
                      <a:avLst/>
                    </a:prstGeom>
                    <a:noFill/>
                    <a:ln>
                      <a:noFill/>
                    </a:ln>
                  </pic:spPr>
                </pic:pic>
              </a:graphicData>
            </a:graphic>
          </wp:inline>
        </w:drawing>
      </w:r>
    </w:p>
    <w:p w14:paraId="3F8B1D57" w14:textId="77777777" w:rsidR="00576044" w:rsidRDefault="00576044" w:rsidP="00576044">
      <w:pPr>
        <w:pStyle w:val="Title"/>
      </w:pPr>
      <w:r w:rsidRPr="00C87BDD">
        <w:t xml:space="preserve">Student Name: </w:t>
      </w:r>
      <w:proofErr w:type="spellStart"/>
      <w:proofErr w:type="gramStart"/>
      <w:r w:rsidRPr="00C87BDD">
        <w:t>Sheneya</w:t>
      </w:r>
      <w:proofErr w:type="spellEnd"/>
      <w:r w:rsidRPr="00C87BDD">
        <w:t xml:space="preserve">  Akhter</w:t>
      </w:r>
      <w:proofErr w:type="gramEnd"/>
      <w:r w:rsidRPr="00C87BDD">
        <w:t xml:space="preserve">  </w:t>
      </w:r>
      <w:proofErr w:type="spellStart"/>
      <w:r w:rsidRPr="00C87BDD">
        <w:t>peya</w:t>
      </w:r>
      <w:proofErr w:type="spellEnd"/>
    </w:p>
    <w:p w14:paraId="56F1615B" w14:textId="77777777" w:rsidR="00576044" w:rsidRPr="00760D21" w:rsidRDefault="00576044" w:rsidP="00576044"/>
    <w:p w14:paraId="0530B63B" w14:textId="77777777" w:rsidR="00576044" w:rsidRDefault="00576044" w:rsidP="00576044">
      <w:pPr>
        <w:rPr>
          <w:sz w:val="24"/>
          <w:szCs w:val="24"/>
        </w:rPr>
      </w:pPr>
      <w:r w:rsidRPr="00FB2B23">
        <w:rPr>
          <w:sz w:val="24"/>
          <w:szCs w:val="24"/>
        </w:rPr>
        <w:t>Student ID: 2442413</w:t>
      </w:r>
    </w:p>
    <w:p w14:paraId="38CBA490" w14:textId="77777777" w:rsidR="00576044" w:rsidRPr="00FB2B23" w:rsidRDefault="00576044" w:rsidP="00576044">
      <w:pPr>
        <w:rPr>
          <w:sz w:val="24"/>
          <w:szCs w:val="24"/>
        </w:rPr>
      </w:pPr>
    </w:p>
    <w:p w14:paraId="77750BD0" w14:textId="77777777" w:rsidR="00576044" w:rsidRDefault="00576044" w:rsidP="00576044">
      <w:pPr>
        <w:rPr>
          <w:sz w:val="24"/>
          <w:szCs w:val="24"/>
        </w:rPr>
      </w:pPr>
      <w:r w:rsidRPr="00FB2B23">
        <w:rPr>
          <w:sz w:val="24"/>
          <w:szCs w:val="24"/>
        </w:rPr>
        <w:t>Module Name: Introduction to Health and Social care</w:t>
      </w:r>
    </w:p>
    <w:p w14:paraId="60533328" w14:textId="77777777" w:rsidR="00576044" w:rsidRPr="00FB2B23" w:rsidRDefault="00576044" w:rsidP="00576044">
      <w:pPr>
        <w:rPr>
          <w:sz w:val="24"/>
          <w:szCs w:val="24"/>
        </w:rPr>
      </w:pPr>
    </w:p>
    <w:p w14:paraId="72DE6476" w14:textId="77777777" w:rsidR="00576044" w:rsidRDefault="00576044" w:rsidP="00576044">
      <w:pPr>
        <w:rPr>
          <w:sz w:val="24"/>
          <w:szCs w:val="24"/>
        </w:rPr>
      </w:pPr>
      <w:r w:rsidRPr="00FB2B23">
        <w:rPr>
          <w:sz w:val="24"/>
          <w:szCs w:val="24"/>
        </w:rPr>
        <w:t>Module code:</w:t>
      </w:r>
      <w:r>
        <w:rPr>
          <w:sz w:val="24"/>
          <w:szCs w:val="24"/>
        </w:rPr>
        <w:t>(</w:t>
      </w:r>
      <w:r w:rsidRPr="00FB2B23">
        <w:rPr>
          <w:sz w:val="24"/>
          <w:szCs w:val="24"/>
        </w:rPr>
        <w:t xml:space="preserve"> LCHS4003</w:t>
      </w:r>
      <w:r>
        <w:rPr>
          <w:sz w:val="24"/>
          <w:szCs w:val="24"/>
        </w:rPr>
        <w:t>_</w:t>
      </w:r>
      <w:r w:rsidRPr="00FB2B23">
        <w:rPr>
          <w:sz w:val="24"/>
          <w:szCs w:val="24"/>
        </w:rPr>
        <w:t>LON</w:t>
      </w:r>
      <w:r>
        <w:rPr>
          <w:sz w:val="24"/>
          <w:szCs w:val="24"/>
        </w:rPr>
        <w:t>)</w:t>
      </w:r>
    </w:p>
    <w:p w14:paraId="3AE99FC0" w14:textId="77777777" w:rsidR="0022140E" w:rsidRDefault="0022140E" w:rsidP="00576044">
      <w:pPr>
        <w:rPr>
          <w:sz w:val="24"/>
          <w:szCs w:val="24"/>
        </w:rPr>
      </w:pPr>
    </w:p>
    <w:p w14:paraId="7FB9435B" w14:textId="3B8BB1B2" w:rsidR="00931435" w:rsidRDefault="00F0215F" w:rsidP="00576044">
      <w:pPr>
        <w:rPr>
          <w:sz w:val="24"/>
          <w:szCs w:val="24"/>
        </w:rPr>
      </w:pPr>
      <w:r>
        <w:rPr>
          <w:sz w:val="24"/>
          <w:szCs w:val="24"/>
        </w:rPr>
        <w:t>Assignment Title:</w:t>
      </w:r>
      <w:r w:rsidR="00931435">
        <w:rPr>
          <w:sz w:val="24"/>
          <w:szCs w:val="24"/>
        </w:rPr>
        <w:t xml:space="preserve"> Task-1-Poster </w:t>
      </w:r>
      <w:r w:rsidR="00DB0D5C">
        <w:rPr>
          <w:sz w:val="24"/>
          <w:szCs w:val="24"/>
        </w:rPr>
        <w:t>(Ambulance Services)</w:t>
      </w:r>
    </w:p>
    <w:p w14:paraId="7BFF8939" w14:textId="40E9BFF9" w:rsidR="00DB0D5C" w:rsidRDefault="00DB0D5C" w:rsidP="00576044">
      <w:pPr>
        <w:rPr>
          <w:sz w:val="24"/>
          <w:szCs w:val="24"/>
        </w:rPr>
      </w:pPr>
      <w:r>
        <w:rPr>
          <w:sz w:val="24"/>
          <w:szCs w:val="24"/>
        </w:rPr>
        <w:t>Task-2- Essay</w:t>
      </w:r>
      <w:r w:rsidR="00CC7237">
        <w:rPr>
          <w:sz w:val="24"/>
          <w:szCs w:val="24"/>
        </w:rPr>
        <w:t>-</w:t>
      </w:r>
      <w:r>
        <w:rPr>
          <w:sz w:val="24"/>
          <w:szCs w:val="24"/>
        </w:rPr>
        <w:t xml:space="preserve">Discuss the origins of the National Health Services </w:t>
      </w:r>
      <w:r w:rsidR="00CC7237">
        <w:rPr>
          <w:sz w:val="24"/>
          <w:szCs w:val="24"/>
        </w:rPr>
        <w:t>(</w:t>
      </w:r>
      <w:r>
        <w:rPr>
          <w:sz w:val="24"/>
          <w:szCs w:val="24"/>
        </w:rPr>
        <w:t>N</w:t>
      </w:r>
      <w:r w:rsidR="00CC7237">
        <w:rPr>
          <w:sz w:val="24"/>
          <w:szCs w:val="24"/>
        </w:rPr>
        <w:t>HS)</w:t>
      </w:r>
      <w:r>
        <w:rPr>
          <w:sz w:val="24"/>
          <w:szCs w:val="24"/>
        </w:rPr>
        <w:t xml:space="preserve"> </w:t>
      </w:r>
    </w:p>
    <w:p w14:paraId="58C10863" w14:textId="77777777" w:rsidR="00576044" w:rsidRPr="00FB2B23" w:rsidRDefault="00576044" w:rsidP="00576044">
      <w:pPr>
        <w:rPr>
          <w:sz w:val="24"/>
          <w:szCs w:val="24"/>
        </w:rPr>
      </w:pPr>
    </w:p>
    <w:p w14:paraId="23C81028" w14:textId="168186C0" w:rsidR="00576044" w:rsidRDefault="00576044">
      <w:pPr>
        <w:rPr>
          <w:sz w:val="24"/>
          <w:szCs w:val="24"/>
        </w:rPr>
      </w:pPr>
      <w:r w:rsidRPr="00FB2B23">
        <w:rPr>
          <w:sz w:val="24"/>
          <w:szCs w:val="24"/>
        </w:rPr>
        <w:t>Supervisor’s name: Jolly Nwankwo</w:t>
      </w:r>
    </w:p>
    <w:p w14:paraId="5627F44B" w14:textId="77777777" w:rsidR="00B6772D" w:rsidRDefault="00B6772D">
      <w:pPr>
        <w:rPr>
          <w:sz w:val="24"/>
          <w:szCs w:val="24"/>
        </w:rPr>
      </w:pPr>
    </w:p>
    <w:p w14:paraId="37442696" w14:textId="77777777" w:rsidR="00B6772D" w:rsidRDefault="00B6772D">
      <w:pPr>
        <w:rPr>
          <w:sz w:val="24"/>
          <w:szCs w:val="24"/>
        </w:rPr>
      </w:pPr>
    </w:p>
    <w:p w14:paraId="439DCC8F" w14:textId="77777777" w:rsidR="00B6772D" w:rsidRDefault="00B6772D">
      <w:pPr>
        <w:rPr>
          <w:sz w:val="24"/>
          <w:szCs w:val="24"/>
        </w:rPr>
      </w:pPr>
    </w:p>
    <w:p w14:paraId="597E98F9" w14:textId="77777777" w:rsidR="00B6772D" w:rsidRPr="00C8014C" w:rsidRDefault="00B6772D">
      <w:pPr>
        <w:rPr>
          <w:sz w:val="24"/>
          <w:szCs w:val="24"/>
        </w:rPr>
      </w:pPr>
    </w:p>
    <w:p w14:paraId="7375F4E7" w14:textId="77777777" w:rsidR="00576044" w:rsidRDefault="00576044"/>
    <w:p w14:paraId="5613CB1D" w14:textId="77777777" w:rsidR="00576044" w:rsidRDefault="00576044"/>
    <w:p w14:paraId="2612D755" w14:textId="77777777" w:rsidR="00576044" w:rsidRDefault="00576044"/>
    <w:p w14:paraId="7360B27E" w14:textId="77777777" w:rsidR="00576044" w:rsidRDefault="00576044"/>
    <w:p w14:paraId="75F390A3" w14:textId="77777777" w:rsidR="00576044" w:rsidRDefault="00576044"/>
    <w:p w14:paraId="6002CB23" w14:textId="77777777" w:rsidR="00576044" w:rsidRDefault="00576044"/>
    <w:p w14:paraId="0A4BDD57" w14:textId="77777777" w:rsidR="00576044" w:rsidRDefault="00576044"/>
    <w:p w14:paraId="49A68884" w14:textId="2D7861E2" w:rsidR="00576044" w:rsidRDefault="00F5396C">
      <w:r>
        <w:rPr>
          <w:noProof/>
        </w:rPr>
        <w:drawing>
          <wp:inline distT="0" distB="0" distL="0" distR="0" wp14:anchorId="7E4FE55A" wp14:editId="5908F440">
            <wp:extent cx="5822315" cy="668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a:extLst>
                        <a:ext uri="{28A0092B-C50C-407E-A947-70E740481C1C}">
                          <a14:useLocalDpi xmlns:a14="http://schemas.microsoft.com/office/drawing/2010/main" val="0"/>
                        </a:ext>
                      </a:extLst>
                    </a:blip>
                    <a:srcRect b="14397"/>
                    <a:stretch>
                      <a:fillRect/>
                    </a:stretch>
                  </pic:blipFill>
                  <pic:spPr bwMode="auto">
                    <a:xfrm>
                      <a:off x="0" y="0"/>
                      <a:ext cx="5822632" cy="6680564"/>
                    </a:xfrm>
                    <a:prstGeom prst="rect">
                      <a:avLst/>
                    </a:prstGeom>
                    <a:ln>
                      <a:noFill/>
                    </a:ln>
                    <a:extLst>
                      <a:ext uri="{53640926-AAD7-44D8-BBD7-CCE9431645EC}">
                        <a14:shadowObscured xmlns:a14="http://schemas.microsoft.com/office/drawing/2010/main"/>
                      </a:ext>
                    </a:extLst>
                  </pic:spPr>
                </pic:pic>
              </a:graphicData>
            </a:graphic>
          </wp:inline>
        </w:drawing>
      </w:r>
    </w:p>
    <w:p w14:paraId="1E08FF01" w14:textId="77777777" w:rsidR="00F5396C" w:rsidRDefault="00F5396C"/>
    <w:p w14:paraId="54DF0D8E" w14:textId="77777777" w:rsidR="00F5396C" w:rsidRDefault="00F5396C"/>
    <w:p w14:paraId="0D7912DD" w14:textId="77777777" w:rsidR="00F5396C" w:rsidRDefault="00F5396C"/>
    <w:p w14:paraId="7BC9F38C" w14:textId="77777777" w:rsidR="00234AA9" w:rsidRPr="00234AA9" w:rsidRDefault="00234AA9" w:rsidP="00234AA9">
      <w:pPr>
        <w:pStyle w:val="Title"/>
        <w:rPr>
          <w:sz w:val="36"/>
          <w:szCs w:val="36"/>
        </w:rPr>
      </w:pPr>
      <w:r w:rsidRPr="00234AA9">
        <w:rPr>
          <w:sz w:val="36"/>
          <w:szCs w:val="36"/>
        </w:rPr>
        <w:t>The National Health Service (NHS) system is one of the biggest social transformations in the history of Britain and has been adopted as an example of the universal healthcare system. In 1948, the NHS was founded on the premise that every citizen, regardless of their income and social status, must be subject to the existing level of healthcare.</w:t>
      </w:r>
    </w:p>
    <w:p w14:paraId="0D9142F7" w14:textId="77777777" w:rsidR="00234AA9" w:rsidRDefault="00234AA9" w:rsidP="00234AA9">
      <w:r>
        <w:t>The history of the NHS stretched to the early part of the twentieth century, when medical services in the UK were not much organised and provision. It was based on individual affordability. Medical treatment was provided in the voluntary hospitals, charitable organisations, and by individual practitioners until the 1940s (</w:t>
      </w:r>
      <w:proofErr w:type="spellStart"/>
      <w:r>
        <w:t>Lasserson</w:t>
      </w:r>
      <w:proofErr w:type="spellEnd"/>
      <w:r>
        <w:t xml:space="preserve"> </w:t>
      </w:r>
      <w:r w:rsidRPr="002924F7">
        <w:rPr>
          <w:i/>
          <w:iCs/>
        </w:rPr>
        <w:t>et al.,</w:t>
      </w:r>
      <w:r>
        <w:t xml:space="preserve"> 2019).</w:t>
      </w:r>
    </w:p>
    <w:p w14:paraId="18C2B003" w14:textId="77777777" w:rsidR="00234AA9" w:rsidRDefault="00234AA9" w:rsidP="00234AA9">
      <w:r>
        <w:t>The sheer unfairness of the healthcare system was shown by the Great Depression and the social and economic problems of the first half of the 20th century, in general. Different reform movements that aimed at having a more systematic and fair approach to the delivery of health care emerged during this time. In 1942, it was a twist with the Beveridge Report that declared a holistic state of welfare to combat the five giants of Want, Disease, Ignorance, Squalor, and Idleness (</w:t>
      </w:r>
      <w:proofErr w:type="spellStart"/>
      <w:r>
        <w:t>Béland</w:t>
      </w:r>
      <w:proofErr w:type="spellEnd"/>
      <w:r>
        <w:t xml:space="preserve"> </w:t>
      </w:r>
      <w:r w:rsidRPr="002924F7">
        <w:rPr>
          <w:i/>
          <w:iCs/>
        </w:rPr>
        <w:t>et al.,</w:t>
      </w:r>
      <w:r>
        <w:t xml:space="preserve"> 2021).</w:t>
      </w:r>
    </w:p>
    <w:p w14:paraId="7FE711FE" w14:textId="77777777" w:rsidR="00234AA9" w:rsidRDefault="00234AA9" w:rsidP="00234AA9">
      <w:r>
        <w:t xml:space="preserve">World War II stimulated the process of domestic healthcare reformation even more. The war proved the significance of a healthy population and the inefficiency of the existing healthcare system. The Emergency Medical Service (EMS) was even created during the war to manage all the hospitals and medical services of war casualties, effectively causing the first time the synchronisation of public and private health services under central control. </w:t>
      </w:r>
    </w:p>
    <w:p w14:paraId="5EAA323C" w14:textId="77777777" w:rsidR="00234AA9" w:rsidRDefault="00234AA9" w:rsidP="00234AA9">
      <w:r>
        <w:t xml:space="preserve">The political leadership of the then Minister of Health in the Labour Party, Aneurin Bevan, had a crucial role in the formation of the NHS. Bevan imagined a service that would be financed by general taxation and would be free at the point of delivery. The NHS was unofficially started on 5 July 1948, although some parts of the medical profession and conservative politicians opposed the change </w:t>
      </w:r>
      <w:r w:rsidRPr="004D7F17">
        <w:t>(Molchanov, 2016)</w:t>
      </w:r>
      <w:r>
        <w:t>. It had some obvious pillars to its foundation: the service was supposed to be universal, comprehensive, and given to all citizens at the point of use.</w:t>
      </w:r>
    </w:p>
    <w:p w14:paraId="42561677" w14:textId="77777777" w:rsidR="00234AA9" w:rsidRDefault="00234AA9" w:rsidP="00234AA9">
      <w:r>
        <w:t xml:space="preserve">The NHS has changed significantly in terms of structure and administration since its founding, which is an aspect of social, political, and economic transformation. This is clearly split into four different systems in England and Scotland, Wales, and Health and Social Care (HSC) in Northern Ireland, which is currently referred to as the NHS. They all work independently and tailor their services to fit local needs, but under the same values of equity, quality, and accessibility </w:t>
      </w:r>
      <w:r w:rsidRPr="004D7F17">
        <w:t>(</w:t>
      </w:r>
      <w:proofErr w:type="spellStart"/>
      <w:r w:rsidRPr="004D7F17">
        <w:t>Archyangelio</w:t>
      </w:r>
      <w:proofErr w:type="spellEnd"/>
      <w:r w:rsidRPr="004D7F17">
        <w:t>, 2024)</w:t>
      </w:r>
      <w:r>
        <w:t>.</w:t>
      </w:r>
    </w:p>
    <w:p w14:paraId="7BA8B7EE" w14:textId="77777777" w:rsidR="00234AA9" w:rsidRDefault="00234AA9" w:rsidP="00234AA9">
      <w:r>
        <w:t xml:space="preserve">In England, the NHS has a complicated structure. The Department of Health and Social Care (DHSC) has the general policy and provides funding, whereas NHS England has commissioning and strategic planning. Clinical Commissioning Groups (CCGs) have been abolished in favour of Local Integrated Care Systems (ICSs) to make the coordination of services and the presence of collaboration between hospitals, community providers, and local authorities possible </w:t>
      </w:r>
      <w:r w:rsidRPr="004D7F17">
        <w:t>(Mounier-Jack, Mayhew</w:t>
      </w:r>
      <w:r>
        <w:t>,</w:t>
      </w:r>
      <w:r w:rsidRPr="004D7F17">
        <w:t xml:space="preserve"> and Mays, 2017)</w:t>
      </w:r>
      <w:r>
        <w:t>. This integrated model can enhance care, minimise inefficiencies, and health inequalities.</w:t>
      </w:r>
    </w:p>
    <w:p w14:paraId="12A52A76" w14:textId="77777777" w:rsidR="00234AA9" w:rsidRDefault="00234AA9" w:rsidP="00234AA9">
      <w:r>
        <w:t xml:space="preserve">Primary care is the backbone of the NHS, and general practitioners (GPs) are the first point. They offer referrals to secondary care services, including hospitals and specialist clinics. NHS Trusts are involved in the provision of secondary and tertiary care, and operate hospitals, mental health services, and community care </w:t>
      </w:r>
      <w:r w:rsidRPr="00087B96">
        <w:t>(Krska, Du Plessis and Chellaswamy, 2015)</w:t>
      </w:r>
      <w:r>
        <w:t xml:space="preserve">. </w:t>
      </w:r>
    </w:p>
    <w:p w14:paraId="655AB43A" w14:textId="77777777" w:rsidR="00234AA9" w:rsidRDefault="00234AA9" w:rsidP="00234AA9">
      <w:r>
        <w:t xml:space="preserve">The recent years have seen reforms to enhance efficiency and patient-centred care through digitalisation, preventive health, and crossing sectors. Some of these initiatives include the NHS Long Term Plan (2019) focuses on prevention, mental health, and community-based care to decrease hospital dependency. NHS came into within a historical environment of inequality and social reformation, based on a universal concept of providing healthcare as a right. With the ideals of universality, equity, and access, NHS has revolutionised the public health outcomes in the UK over seven decades. </w:t>
      </w:r>
    </w:p>
    <w:p w14:paraId="63C0FA39" w14:textId="77777777" w:rsidR="00234AA9" w:rsidRDefault="00234AA9" w:rsidP="00234AA9"/>
    <w:p w14:paraId="7D4C3EC9" w14:textId="77777777" w:rsidR="00234AA9" w:rsidRDefault="00234AA9" w:rsidP="00234AA9">
      <w:pPr>
        <w:spacing w:after="160" w:line="259" w:lineRule="auto"/>
        <w:jc w:val="left"/>
      </w:pPr>
      <w:r>
        <w:br w:type="page"/>
      </w:r>
    </w:p>
    <w:p w14:paraId="71119C4D" w14:textId="77777777" w:rsidR="00234AA9" w:rsidRPr="00087B96" w:rsidRDefault="00234AA9" w:rsidP="00234AA9">
      <w:pPr>
        <w:rPr>
          <w:b/>
          <w:bCs/>
        </w:rPr>
      </w:pPr>
      <w:r w:rsidRPr="00087B96">
        <w:rPr>
          <w:b/>
          <w:bCs/>
        </w:rPr>
        <w:t>References</w:t>
      </w:r>
    </w:p>
    <w:p w14:paraId="4BA63CC5" w14:textId="77777777" w:rsidR="00234AA9" w:rsidRPr="00F42DF7" w:rsidRDefault="00234AA9" w:rsidP="00F42DF7">
      <w:pPr>
        <w:pStyle w:val="ListParagraph"/>
        <w:numPr>
          <w:ilvl w:val="0"/>
          <w:numId w:val="1"/>
        </w:numPr>
        <w:rPr>
          <w:lang w:val="en-US"/>
        </w:rPr>
      </w:pPr>
      <w:proofErr w:type="spellStart"/>
      <w:r w:rsidRPr="00F42DF7">
        <w:rPr>
          <w:lang w:val="en-US"/>
        </w:rPr>
        <w:t>Archyangelio</w:t>
      </w:r>
      <w:proofErr w:type="spellEnd"/>
      <w:r w:rsidRPr="00F42DF7">
        <w:rPr>
          <w:lang w:val="en-US"/>
        </w:rPr>
        <w:t xml:space="preserve">, A. (2024). </w:t>
      </w:r>
      <w:r w:rsidRPr="00F42DF7">
        <w:rPr>
          <w:i/>
          <w:iCs/>
          <w:lang w:val="en-US"/>
        </w:rPr>
        <w:t>International Healthcare Professionals’ Handbook: A Success Guide to Working in the UK for Nurses, Midwives and Allied Health Professionals - E-Book: A Success Guide to Working in the UK for Nurses, Midwives and Allied Health Professionals</w:t>
      </w:r>
      <w:r w:rsidRPr="00F42DF7">
        <w:rPr>
          <w:lang w:val="en-US"/>
        </w:rPr>
        <w:t>. Elsevier Health Sciences. Available at: https://books.google.com/books?id=uuAsEQAAQBAJ&amp;lpg=PP1&amp;pg=PP1#v=onepage&amp;q&amp;f=false.</w:t>
      </w:r>
    </w:p>
    <w:p w14:paraId="437622B7" w14:textId="45ADC1A1" w:rsidR="00234AA9" w:rsidRDefault="00234AA9" w:rsidP="00F42DF7">
      <w:pPr>
        <w:pStyle w:val="ListParagraph"/>
        <w:numPr>
          <w:ilvl w:val="0"/>
          <w:numId w:val="1"/>
        </w:numPr>
        <w:rPr>
          <w:lang w:val="en-US"/>
        </w:rPr>
      </w:pPr>
      <w:proofErr w:type="spellStart"/>
      <w:r w:rsidRPr="00F42DF7">
        <w:rPr>
          <w:lang w:val="en-US"/>
        </w:rPr>
        <w:t>Béland</w:t>
      </w:r>
      <w:proofErr w:type="spellEnd"/>
      <w:r w:rsidRPr="00F42DF7">
        <w:rPr>
          <w:lang w:val="en-US"/>
        </w:rPr>
        <w:t xml:space="preserve">, D., Marchildon, G.P., Mioni, M. and Petersen, K. (2021) “Translating social policy ideas: </w:t>
      </w:r>
      <w:r w:rsidRPr="004543D8">
        <w:rPr>
          <w:i/>
          <w:iCs/>
          <w:lang w:val="en-US"/>
        </w:rPr>
        <w:t>The Beveridge report, transnational diffusion, and post-war welfare state development in Canada, Denmark, and France,</w:t>
      </w:r>
      <w:r w:rsidRPr="004543D8">
        <w:rPr>
          <w:rFonts w:cs="Arial"/>
          <w:i/>
          <w:iCs/>
          <w:lang w:val="en-US"/>
        </w:rPr>
        <w:t>”</w:t>
      </w:r>
      <w:r w:rsidRPr="004543D8">
        <w:rPr>
          <w:i/>
          <w:iCs/>
          <w:lang w:val="en-US"/>
        </w:rPr>
        <w:t xml:space="preserve"> Social Policy and Administration, 56(2),</w:t>
      </w:r>
      <w:r w:rsidRPr="00F42DF7">
        <w:rPr>
          <w:lang w:val="en-US"/>
        </w:rPr>
        <w:t xml:space="preserve"> pp. 315–328. Available at: </w:t>
      </w:r>
      <w:hyperlink r:id="rId7" w:history="1">
        <w:r w:rsidR="00F42DF7" w:rsidRPr="00886D96">
          <w:rPr>
            <w:rStyle w:val="Hyperlink"/>
            <w:lang w:val="en-US"/>
          </w:rPr>
          <w:t>https://doi.org/10.1111/spol.12755</w:t>
        </w:r>
      </w:hyperlink>
      <w:r w:rsidRPr="00F42DF7">
        <w:rPr>
          <w:lang w:val="en-US"/>
        </w:rPr>
        <w:t>.</w:t>
      </w:r>
    </w:p>
    <w:p w14:paraId="35EA1288" w14:textId="77777777" w:rsidR="00F42DF7" w:rsidRPr="00F42DF7" w:rsidRDefault="00F42DF7" w:rsidP="00F42DF7">
      <w:pPr>
        <w:pStyle w:val="ListParagraph"/>
        <w:numPr>
          <w:ilvl w:val="0"/>
          <w:numId w:val="1"/>
        </w:numPr>
        <w:rPr>
          <w:lang w:val="en-US"/>
        </w:rPr>
      </w:pPr>
      <w:r w:rsidRPr="00F42DF7">
        <w:rPr>
          <w:lang w:val="en-US"/>
        </w:rPr>
        <w:t xml:space="preserve">Brice, J.H., Delbridge, T.R., and Myers, J.B. (2021). </w:t>
      </w:r>
      <w:r w:rsidRPr="00F42DF7">
        <w:rPr>
          <w:i/>
          <w:iCs/>
          <w:lang w:val="en-US"/>
        </w:rPr>
        <w:t>Emergency Medical Services, 2 volumes: Clinical Practice and Systems Oversight</w:t>
      </w:r>
      <w:r w:rsidRPr="00F42DF7">
        <w:rPr>
          <w:lang w:val="en-US"/>
        </w:rPr>
        <w:t>. John Wiley &amp; Sons. Available at: https://www.researchgate.net/publication/317759972_Emergency_Medical_Services_Clinical_Practice_and_Systems_Oversight_Second_Edition.</w:t>
      </w:r>
    </w:p>
    <w:p w14:paraId="000A0EE4" w14:textId="6F16C549" w:rsidR="00F42DF7" w:rsidRDefault="00F42DF7" w:rsidP="00F42DF7">
      <w:pPr>
        <w:pStyle w:val="ListParagraph"/>
        <w:numPr>
          <w:ilvl w:val="0"/>
          <w:numId w:val="1"/>
        </w:numPr>
        <w:rPr>
          <w:lang w:val="en-US"/>
        </w:rPr>
      </w:pPr>
      <w:r w:rsidRPr="00F42DF7">
        <w:rPr>
          <w:lang w:val="en-US"/>
        </w:rPr>
        <w:t xml:space="preserve">Bürger, A., </w:t>
      </w:r>
      <w:proofErr w:type="spellStart"/>
      <w:r w:rsidRPr="00F42DF7">
        <w:rPr>
          <w:lang w:val="en-US"/>
        </w:rPr>
        <w:t>Wnent</w:t>
      </w:r>
      <w:proofErr w:type="spellEnd"/>
      <w:r w:rsidRPr="00F42DF7">
        <w:rPr>
          <w:lang w:val="en-US"/>
        </w:rPr>
        <w:t xml:space="preserve">, J., Bohn, A., Jantzen, T., Brenner, S., </w:t>
      </w:r>
      <w:proofErr w:type="spellStart"/>
      <w:r w:rsidRPr="00F42DF7">
        <w:rPr>
          <w:lang w:val="en-US"/>
        </w:rPr>
        <w:t>Lefering</w:t>
      </w:r>
      <w:proofErr w:type="spellEnd"/>
      <w:r w:rsidRPr="00F42DF7">
        <w:rPr>
          <w:lang w:val="en-US"/>
        </w:rPr>
        <w:t xml:space="preserve">, R., Seewald, S., </w:t>
      </w:r>
      <w:proofErr w:type="spellStart"/>
      <w:r w:rsidRPr="00F42DF7">
        <w:rPr>
          <w:lang w:val="en-US"/>
        </w:rPr>
        <w:t>Gräsner</w:t>
      </w:r>
      <w:proofErr w:type="spellEnd"/>
      <w:r w:rsidRPr="00F42DF7">
        <w:rPr>
          <w:lang w:val="en-US"/>
        </w:rPr>
        <w:t>, J.-T. und Fischer, M. (2018). “</w:t>
      </w:r>
      <w:r w:rsidRPr="005759A4">
        <w:rPr>
          <w:i/>
          <w:iCs/>
          <w:lang w:val="en-US"/>
        </w:rPr>
        <w:t>The effect of ambulance response time on survival following Out-of-Hospital Cardiac arrest</w:t>
      </w:r>
      <w:r w:rsidRPr="00F42DF7">
        <w:rPr>
          <w:lang w:val="en-US"/>
        </w:rPr>
        <w:t xml:space="preserve">,” </w:t>
      </w:r>
      <w:proofErr w:type="spellStart"/>
      <w:r w:rsidRPr="00F42DF7">
        <w:rPr>
          <w:i/>
          <w:iCs/>
          <w:lang w:val="en-US"/>
        </w:rPr>
        <w:t>Deutsches</w:t>
      </w:r>
      <w:proofErr w:type="spellEnd"/>
      <w:r w:rsidRPr="00F42DF7">
        <w:rPr>
          <w:i/>
          <w:iCs/>
          <w:lang w:val="en-US"/>
        </w:rPr>
        <w:t xml:space="preserve"> </w:t>
      </w:r>
      <w:proofErr w:type="spellStart"/>
      <w:r w:rsidRPr="00F42DF7">
        <w:rPr>
          <w:i/>
          <w:iCs/>
          <w:lang w:val="en-US"/>
        </w:rPr>
        <w:t>Ärzteblatt</w:t>
      </w:r>
      <w:proofErr w:type="spellEnd"/>
      <w:r w:rsidRPr="00F42DF7">
        <w:rPr>
          <w:i/>
          <w:iCs/>
          <w:lang w:val="en-US"/>
        </w:rPr>
        <w:t xml:space="preserve"> International</w:t>
      </w:r>
      <w:r w:rsidRPr="00F42DF7">
        <w:rPr>
          <w:lang w:val="en-US"/>
        </w:rPr>
        <w:t xml:space="preserve"> [Preprint]. Available at: </w:t>
      </w:r>
      <w:hyperlink r:id="rId8" w:history="1">
        <w:r w:rsidRPr="00886D96">
          <w:rPr>
            <w:rStyle w:val="Hyperlink"/>
            <w:lang w:val="en-US"/>
          </w:rPr>
          <w:t>https://doi.org/10.3238/arztebl.2018.0541</w:t>
        </w:r>
      </w:hyperlink>
      <w:r w:rsidRPr="00F42DF7">
        <w:rPr>
          <w:lang w:val="en-US"/>
        </w:rPr>
        <w:t>.</w:t>
      </w:r>
    </w:p>
    <w:p w14:paraId="579B7043" w14:textId="77777777" w:rsidR="00F42DF7" w:rsidRPr="00F42DF7" w:rsidRDefault="00F42DF7" w:rsidP="00F42DF7">
      <w:pPr>
        <w:pStyle w:val="ListParagraph"/>
        <w:numPr>
          <w:ilvl w:val="0"/>
          <w:numId w:val="1"/>
        </w:numPr>
        <w:rPr>
          <w:lang w:val="en-US"/>
        </w:rPr>
      </w:pPr>
      <w:r w:rsidRPr="00F42DF7">
        <w:rPr>
          <w:lang w:val="en-US"/>
        </w:rPr>
        <w:t xml:space="preserve">Eastwood, K., Morgans, A., Smith, K., Hodgkinson, A., Becker, G., and </w:t>
      </w:r>
      <w:proofErr w:type="spellStart"/>
      <w:r w:rsidRPr="00F42DF7">
        <w:rPr>
          <w:lang w:val="en-US"/>
        </w:rPr>
        <w:t>Stoelwinder</w:t>
      </w:r>
      <w:proofErr w:type="spellEnd"/>
      <w:r w:rsidRPr="00F42DF7">
        <w:rPr>
          <w:lang w:val="en-US"/>
        </w:rPr>
        <w:t>, J. (2015). “</w:t>
      </w:r>
      <w:r w:rsidRPr="005759A4">
        <w:rPr>
          <w:i/>
          <w:iCs/>
          <w:lang w:val="en-US"/>
        </w:rPr>
        <w:t>A novel approach for managing the growing demand for ambulance services by low-acuity patients,”</w:t>
      </w:r>
      <w:r w:rsidRPr="00F42DF7">
        <w:rPr>
          <w:lang w:val="en-US"/>
        </w:rPr>
        <w:t xml:space="preserve"> </w:t>
      </w:r>
      <w:r w:rsidRPr="00F42DF7">
        <w:rPr>
          <w:i/>
          <w:iCs/>
          <w:lang w:val="en-US"/>
        </w:rPr>
        <w:t>Australian Health Review</w:t>
      </w:r>
      <w:r w:rsidRPr="00F42DF7">
        <w:rPr>
          <w:lang w:val="en-US"/>
        </w:rPr>
        <w:t>, 40(4), p. 378. Available at: https://doi.org/10.1071/ah15134.</w:t>
      </w:r>
    </w:p>
    <w:p w14:paraId="4A62DB79" w14:textId="5E87F231" w:rsidR="00F42DF7" w:rsidRPr="00F42DF7" w:rsidRDefault="00F42DF7" w:rsidP="00F42DF7">
      <w:pPr>
        <w:pStyle w:val="ListParagraph"/>
        <w:numPr>
          <w:ilvl w:val="0"/>
          <w:numId w:val="1"/>
        </w:numPr>
        <w:rPr>
          <w:lang w:val="en-US"/>
        </w:rPr>
      </w:pPr>
      <w:r w:rsidRPr="00F42DF7">
        <w:rPr>
          <w:lang w:val="en-US"/>
        </w:rPr>
        <w:t xml:space="preserve">Ferrari, T., Camara, M.V.O., Nassi, C.D., Ribeiro, G.M., Costa, R.R., Junior, Júnior, C.R. and </w:t>
      </w:r>
      <w:proofErr w:type="spellStart"/>
      <w:r w:rsidRPr="00F42DF7">
        <w:rPr>
          <w:lang w:val="en-US"/>
        </w:rPr>
        <w:t>Bilate</w:t>
      </w:r>
      <w:proofErr w:type="spellEnd"/>
      <w:r w:rsidRPr="00F42DF7">
        <w:rPr>
          <w:lang w:val="en-US"/>
        </w:rPr>
        <w:t xml:space="preserve">, A. (2018) “Analysis of the Location of Rescue Ambulance Dispatch Bases: A Case Study in Rio de Janeiro, Brazil,” </w:t>
      </w:r>
      <w:r w:rsidRPr="00F42DF7">
        <w:rPr>
          <w:i/>
          <w:iCs/>
          <w:lang w:val="en-US"/>
        </w:rPr>
        <w:t>Geographical Analysis</w:t>
      </w:r>
      <w:r w:rsidRPr="00F42DF7">
        <w:rPr>
          <w:lang w:val="en-US"/>
        </w:rPr>
        <w:t>, 50(4), pp. 397–421. Available at: https://doi.org/10.1111/gean.12172.</w:t>
      </w:r>
    </w:p>
    <w:p w14:paraId="261E9575" w14:textId="77777777" w:rsidR="00234AA9" w:rsidRPr="00F42DF7" w:rsidRDefault="00234AA9" w:rsidP="00F42DF7">
      <w:pPr>
        <w:pStyle w:val="ListParagraph"/>
        <w:numPr>
          <w:ilvl w:val="0"/>
          <w:numId w:val="1"/>
        </w:numPr>
        <w:rPr>
          <w:lang w:val="en-US"/>
        </w:rPr>
      </w:pPr>
      <w:r w:rsidRPr="00F42DF7">
        <w:rPr>
          <w:lang w:val="en-US"/>
        </w:rPr>
        <w:t xml:space="preserve">Krska, J., Du Plessis, R. and </w:t>
      </w:r>
      <w:proofErr w:type="spellStart"/>
      <w:r w:rsidRPr="00F42DF7">
        <w:rPr>
          <w:lang w:val="en-US"/>
        </w:rPr>
        <w:t>Chellaswamy</w:t>
      </w:r>
      <w:proofErr w:type="spellEnd"/>
      <w:r w:rsidRPr="00F42DF7">
        <w:rPr>
          <w:lang w:val="en-US"/>
        </w:rPr>
        <w:t xml:space="preserve">, H. (2015) “Views of practice managers and general practitioners on implementing NHS Health Checks,” </w:t>
      </w:r>
      <w:r w:rsidRPr="00F42DF7">
        <w:rPr>
          <w:i/>
          <w:iCs/>
          <w:lang w:val="en-US"/>
        </w:rPr>
        <w:t>Primary Health Care Research &amp; Development</w:t>
      </w:r>
      <w:r w:rsidRPr="00F42DF7">
        <w:rPr>
          <w:lang w:val="en-US"/>
        </w:rPr>
        <w:t>, 17(02), pp. 198–205. Available at: https://doi.org/10.1017/s1463423615000262.</w:t>
      </w:r>
    </w:p>
    <w:p w14:paraId="7E586E36" w14:textId="77777777" w:rsidR="00234AA9" w:rsidRPr="00F42DF7" w:rsidRDefault="00234AA9" w:rsidP="00F42DF7">
      <w:pPr>
        <w:pStyle w:val="ListParagraph"/>
        <w:numPr>
          <w:ilvl w:val="0"/>
          <w:numId w:val="1"/>
        </w:numPr>
        <w:rPr>
          <w:lang w:val="en-US"/>
        </w:rPr>
      </w:pPr>
      <w:r w:rsidRPr="00F42DF7">
        <w:rPr>
          <w:lang w:val="en-US"/>
        </w:rPr>
        <w:t xml:space="preserve">Lasserson, D.S., </w:t>
      </w:r>
      <w:proofErr w:type="spellStart"/>
      <w:r w:rsidRPr="00F42DF7">
        <w:rPr>
          <w:lang w:val="en-US"/>
        </w:rPr>
        <w:t>Subbe</w:t>
      </w:r>
      <w:proofErr w:type="spellEnd"/>
      <w:r w:rsidRPr="00F42DF7">
        <w:rPr>
          <w:lang w:val="en-US"/>
        </w:rPr>
        <w:t>, C., Cooksley</w:t>
      </w:r>
      <w:r w:rsidRPr="005759A4">
        <w:rPr>
          <w:i/>
          <w:iCs/>
          <w:lang w:val="en-US"/>
        </w:rPr>
        <w:t>, T. and Holland, M. (2019) “SAMBA18 Report – A National audit of acute medical care in the</w:t>
      </w:r>
      <w:r w:rsidRPr="00F42DF7">
        <w:rPr>
          <w:lang w:val="en-US"/>
        </w:rPr>
        <w:t xml:space="preserve"> UK,” </w:t>
      </w:r>
      <w:r w:rsidRPr="00F42DF7">
        <w:rPr>
          <w:i/>
          <w:iCs/>
          <w:lang w:val="en-US"/>
        </w:rPr>
        <w:t>Acute Medicine Journal</w:t>
      </w:r>
      <w:r w:rsidRPr="00F42DF7">
        <w:rPr>
          <w:lang w:val="en-US"/>
        </w:rPr>
        <w:t>, 18(2), pp. 76–87. Available at: https://doi.org/10.52964/amja.0755.</w:t>
      </w:r>
    </w:p>
    <w:p w14:paraId="2188FD1D" w14:textId="77777777" w:rsidR="00234AA9" w:rsidRPr="00F42DF7" w:rsidRDefault="00234AA9" w:rsidP="00F42DF7">
      <w:pPr>
        <w:pStyle w:val="ListParagraph"/>
        <w:numPr>
          <w:ilvl w:val="0"/>
          <w:numId w:val="1"/>
        </w:numPr>
        <w:rPr>
          <w:lang w:val="en-US"/>
        </w:rPr>
      </w:pPr>
      <w:r w:rsidRPr="00F42DF7">
        <w:rPr>
          <w:lang w:val="en-US"/>
        </w:rPr>
        <w:t xml:space="preserve">Molchanov, M.A. (2016). </w:t>
      </w:r>
      <w:r w:rsidRPr="00F42DF7">
        <w:rPr>
          <w:i/>
          <w:iCs/>
          <w:lang w:val="en-US"/>
        </w:rPr>
        <w:t xml:space="preserve">The Ashgate Research </w:t>
      </w:r>
      <w:proofErr w:type="gramStart"/>
      <w:r w:rsidRPr="00F42DF7">
        <w:rPr>
          <w:i/>
          <w:iCs/>
          <w:lang w:val="en-US"/>
        </w:rPr>
        <w:t>companion</w:t>
      </w:r>
      <w:proofErr w:type="gramEnd"/>
      <w:r w:rsidRPr="00F42DF7">
        <w:rPr>
          <w:i/>
          <w:iCs/>
          <w:lang w:val="en-US"/>
        </w:rPr>
        <w:t xml:space="preserve"> to </w:t>
      </w:r>
      <w:proofErr w:type="gramStart"/>
      <w:r w:rsidRPr="00F42DF7">
        <w:rPr>
          <w:i/>
          <w:iCs/>
          <w:lang w:val="en-US"/>
        </w:rPr>
        <w:t>political leadership</w:t>
      </w:r>
      <w:proofErr w:type="gramEnd"/>
      <w:r w:rsidRPr="00F42DF7">
        <w:rPr>
          <w:lang w:val="en-US"/>
        </w:rPr>
        <w:t>. Routledge. Available at: https://www.researchgate.net/publication/288629221_The_Ashgate_research_companion_to_political_leadership.</w:t>
      </w:r>
    </w:p>
    <w:p w14:paraId="1F62FFCE" w14:textId="704D3E9B" w:rsidR="00234AA9" w:rsidRPr="00F42DF7" w:rsidRDefault="00234AA9" w:rsidP="00F42DF7">
      <w:pPr>
        <w:pStyle w:val="ListParagraph"/>
        <w:numPr>
          <w:ilvl w:val="0"/>
          <w:numId w:val="1"/>
        </w:numPr>
        <w:rPr>
          <w:lang w:val="en-US"/>
        </w:rPr>
      </w:pPr>
      <w:r w:rsidRPr="00F42DF7">
        <w:rPr>
          <w:lang w:val="en-US"/>
        </w:rPr>
        <w:t>Mounier-Jack, S., Mayhew, S.H. and Mays, N. (2017) “</w:t>
      </w:r>
      <w:r w:rsidRPr="005759A4">
        <w:rPr>
          <w:i/>
          <w:iCs/>
          <w:lang w:val="en-US"/>
        </w:rPr>
        <w:t>Integrated care: learning between high-income, and low- and middle-income country health systems,” Health Policy and</w:t>
      </w:r>
      <w:r w:rsidRPr="00F42DF7">
        <w:rPr>
          <w:i/>
          <w:iCs/>
          <w:lang w:val="en-US"/>
        </w:rPr>
        <w:t xml:space="preserve"> Planning</w:t>
      </w:r>
      <w:r w:rsidRPr="00F42DF7">
        <w:rPr>
          <w:lang w:val="en-US"/>
        </w:rPr>
        <w:t xml:space="preserve">, 32(suppl_4), pp. iv6–iv12. Available at: </w:t>
      </w:r>
      <w:hyperlink r:id="rId9" w:history="1">
        <w:r w:rsidR="00F42DF7" w:rsidRPr="00F42DF7">
          <w:rPr>
            <w:rStyle w:val="Hyperlink"/>
            <w:lang w:val="en-US"/>
          </w:rPr>
          <w:t>https://doi.org/10.1093/heapol/czx039</w:t>
        </w:r>
      </w:hyperlink>
      <w:r w:rsidRPr="00F42DF7">
        <w:rPr>
          <w:lang w:val="en-US"/>
        </w:rPr>
        <w:t>.</w:t>
      </w:r>
    </w:p>
    <w:p w14:paraId="0F7A6A82" w14:textId="77777777" w:rsidR="00F42DF7" w:rsidRPr="00F42DF7" w:rsidRDefault="00F42DF7" w:rsidP="00F42DF7">
      <w:pPr>
        <w:pStyle w:val="ListParagraph"/>
        <w:numPr>
          <w:ilvl w:val="0"/>
          <w:numId w:val="1"/>
        </w:numPr>
        <w:rPr>
          <w:lang w:val="en-US"/>
        </w:rPr>
      </w:pPr>
      <w:proofErr w:type="spellStart"/>
      <w:r w:rsidRPr="00F42DF7">
        <w:rPr>
          <w:lang w:val="en-US"/>
        </w:rPr>
        <w:t>Pfannstiel</w:t>
      </w:r>
      <w:proofErr w:type="spellEnd"/>
      <w:r w:rsidRPr="00F42DF7">
        <w:rPr>
          <w:lang w:val="en-US"/>
        </w:rPr>
        <w:t xml:space="preserve">, M.A. und Rasche, C. (2018). </w:t>
      </w:r>
      <w:r w:rsidRPr="00F42DF7">
        <w:rPr>
          <w:i/>
          <w:iCs/>
          <w:lang w:val="en-US"/>
        </w:rPr>
        <w:t>Service design and service thinking in healthcare and hospital management: Theory, Concepts, Practice</w:t>
      </w:r>
      <w:r w:rsidRPr="00F42DF7">
        <w:rPr>
          <w:lang w:val="en-US"/>
        </w:rPr>
        <w:t>. Springer. Available at: https://rudyct.com/lit.man.rs/Service%20Design%20and%20Service%20Thinking%20in%20Healthcare%20and%20Hospital%20Management%20Theory,%20Concepts,%20Practice-2019.pdf.</w:t>
      </w:r>
    </w:p>
    <w:p w14:paraId="6654A756" w14:textId="77777777" w:rsidR="00F42DF7" w:rsidRPr="00F42DF7" w:rsidRDefault="00F42DF7" w:rsidP="00F42DF7">
      <w:pPr>
        <w:pStyle w:val="ListParagraph"/>
        <w:numPr>
          <w:ilvl w:val="0"/>
          <w:numId w:val="1"/>
        </w:numPr>
        <w:rPr>
          <w:lang w:val="en-US"/>
        </w:rPr>
      </w:pPr>
      <w:r w:rsidRPr="00F42DF7">
        <w:rPr>
          <w:lang w:val="en-US"/>
        </w:rPr>
        <w:t xml:space="preserve">Sharma, A. and Kumar, R. (2019) “Service-Level Agreement—Energy Cooperative quickest ambulance routing for critical healthcare services,” </w:t>
      </w:r>
      <w:r w:rsidRPr="00F42DF7">
        <w:rPr>
          <w:i/>
          <w:iCs/>
          <w:lang w:val="en-US"/>
        </w:rPr>
        <w:t>Arabian Journal for Science and Engineering</w:t>
      </w:r>
      <w:r w:rsidRPr="00F42DF7">
        <w:rPr>
          <w:lang w:val="en-US"/>
        </w:rPr>
        <w:t>, 44(4), pp. 3831–3848. Available at: https://doi.org/10.1007/s13369-018-3687-z.</w:t>
      </w:r>
    </w:p>
    <w:p w14:paraId="58A46B3A" w14:textId="77777777" w:rsidR="00F42DF7" w:rsidRPr="00F42DF7" w:rsidRDefault="00F42DF7" w:rsidP="00F42DF7">
      <w:pPr>
        <w:pStyle w:val="ListParagraph"/>
        <w:numPr>
          <w:ilvl w:val="0"/>
          <w:numId w:val="1"/>
        </w:numPr>
        <w:rPr>
          <w:lang w:val="en-US"/>
        </w:rPr>
      </w:pPr>
      <w:r w:rsidRPr="00F42DF7">
        <w:rPr>
          <w:lang w:val="en-US"/>
        </w:rPr>
        <w:t xml:space="preserve">Woodyard, D., Jr (2023). </w:t>
      </w:r>
      <w:r w:rsidRPr="00F42DF7">
        <w:rPr>
          <w:i/>
          <w:iCs/>
          <w:lang w:val="en-US"/>
        </w:rPr>
        <w:t>EMS in the United States: Fragmented past, future of opportunity</w:t>
      </w:r>
      <w:r w:rsidRPr="00F42DF7">
        <w:rPr>
          <w:lang w:val="en-US"/>
        </w:rPr>
        <w:t>. Donnie Woodyard. Available at: https://www.researchgate.net/publication/8649723_International_EMS_Systems_The_United_States_Past_present_and_future.</w:t>
      </w:r>
    </w:p>
    <w:p w14:paraId="36B279DF" w14:textId="77777777" w:rsidR="00F42DF7" w:rsidRPr="00F42DF7" w:rsidRDefault="00F42DF7" w:rsidP="00F42DF7"/>
    <w:p w14:paraId="77FA25C4" w14:textId="77777777" w:rsidR="00F42DF7" w:rsidRPr="00F42DF7" w:rsidRDefault="00F42DF7" w:rsidP="00F42DF7"/>
    <w:p w14:paraId="111A3FD7" w14:textId="77777777" w:rsidR="00F42DF7" w:rsidRPr="00087B96" w:rsidRDefault="00F42DF7" w:rsidP="00234AA9">
      <w:pPr>
        <w:rPr>
          <w:lang w:val="en-US"/>
        </w:rPr>
      </w:pPr>
    </w:p>
    <w:p w14:paraId="2CA9B3F4" w14:textId="77777777" w:rsidR="00F5396C" w:rsidRDefault="00F5396C"/>
    <w:sectPr w:rsidR="00F5396C" w:rsidSect="00655575">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245DE5"/>
    <w:multiLevelType w:val="hybridMultilevel"/>
    <w:tmpl w:val="AB3209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6662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5AC"/>
    <w:rsid w:val="00022543"/>
    <w:rsid w:val="000A05AC"/>
    <w:rsid w:val="001039BF"/>
    <w:rsid w:val="00136E86"/>
    <w:rsid w:val="0022140E"/>
    <w:rsid w:val="00234AA9"/>
    <w:rsid w:val="00290715"/>
    <w:rsid w:val="004543D8"/>
    <w:rsid w:val="004B7E57"/>
    <w:rsid w:val="005759A4"/>
    <w:rsid w:val="00576044"/>
    <w:rsid w:val="005C7EC9"/>
    <w:rsid w:val="005E1A05"/>
    <w:rsid w:val="00655575"/>
    <w:rsid w:val="006D01E1"/>
    <w:rsid w:val="00724ED8"/>
    <w:rsid w:val="007753E2"/>
    <w:rsid w:val="008C3773"/>
    <w:rsid w:val="008F2D49"/>
    <w:rsid w:val="00931435"/>
    <w:rsid w:val="0095068C"/>
    <w:rsid w:val="009761A0"/>
    <w:rsid w:val="00990278"/>
    <w:rsid w:val="00B36D99"/>
    <w:rsid w:val="00B46231"/>
    <w:rsid w:val="00B6772D"/>
    <w:rsid w:val="00C57C3E"/>
    <w:rsid w:val="00C8014C"/>
    <w:rsid w:val="00CB70EA"/>
    <w:rsid w:val="00CC7237"/>
    <w:rsid w:val="00DB0D5C"/>
    <w:rsid w:val="00F0215F"/>
    <w:rsid w:val="00F42DF7"/>
    <w:rsid w:val="00F5396C"/>
    <w:rsid w:val="00F94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944FD"/>
  <w15:chartTrackingRefBased/>
  <w15:docId w15:val="{E9B007B6-1587-49E2-8531-2F1A60C7B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044"/>
    <w:pPr>
      <w:spacing w:after="120" w:line="360" w:lineRule="auto"/>
      <w:jc w:val="both"/>
    </w:pPr>
    <w:rPr>
      <w:rFonts w:ascii="Arial" w:eastAsiaTheme="minorEastAsia" w:hAnsi="Arial"/>
      <w:kern w:val="0"/>
      <w:szCs w:val="20"/>
      <w14:ligatures w14:val="none"/>
    </w:rPr>
  </w:style>
  <w:style w:type="paragraph" w:styleId="Heading1">
    <w:name w:val="heading 1"/>
    <w:basedOn w:val="Normal"/>
    <w:next w:val="Normal"/>
    <w:link w:val="Heading1Char"/>
    <w:uiPriority w:val="9"/>
    <w:qFormat/>
    <w:rsid w:val="000A05AC"/>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0A05AC"/>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0A05AC"/>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A05AC"/>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Cs w:val="22"/>
      <w14:ligatures w14:val="standardContextual"/>
    </w:rPr>
  </w:style>
  <w:style w:type="paragraph" w:styleId="Heading5">
    <w:name w:val="heading 5"/>
    <w:basedOn w:val="Normal"/>
    <w:next w:val="Normal"/>
    <w:link w:val="Heading5Char"/>
    <w:uiPriority w:val="9"/>
    <w:semiHidden/>
    <w:unhideWhenUsed/>
    <w:qFormat/>
    <w:rsid w:val="000A05AC"/>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Cs w:val="22"/>
      <w14:ligatures w14:val="standardContextual"/>
    </w:rPr>
  </w:style>
  <w:style w:type="paragraph" w:styleId="Heading6">
    <w:name w:val="heading 6"/>
    <w:basedOn w:val="Normal"/>
    <w:next w:val="Normal"/>
    <w:link w:val="Heading6Char"/>
    <w:uiPriority w:val="9"/>
    <w:semiHidden/>
    <w:unhideWhenUsed/>
    <w:qFormat/>
    <w:rsid w:val="000A05AC"/>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Cs w:val="22"/>
      <w14:ligatures w14:val="standardContextual"/>
    </w:rPr>
  </w:style>
  <w:style w:type="paragraph" w:styleId="Heading7">
    <w:name w:val="heading 7"/>
    <w:basedOn w:val="Normal"/>
    <w:next w:val="Normal"/>
    <w:link w:val="Heading7Char"/>
    <w:uiPriority w:val="9"/>
    <w:semiHidden/>
    <w:unhideWhenUsed/>
    <w:qFormat/>
    <w:rsid w:val="000A05AC"/>
    <w:pPr>
      <w:keepNext/>
      <w:keepLines/>
      <w:spacing w:before="40" w:after="0" w:line="259" w:lineRule="auto"/>
      <w:jc w:val="left"/>
      <w:outlineLvl w:val="6"/>
    </w:pPr>
    <w:rPr>
      <w:rFonts w:asciiTheme="minorHAnsi" w:eastAsiaTheme="majorEastAsia" w:hAnsiTheme="minorHAnsi" w:cstheme="majorBidi"/>
      <w:color w:val="595959" w:themeColor="text1" w:themeTint="A6"/>
      <w:kern w:val="2"/>
      <w:szCs w:val="22"/>
      <w14:ligatures w14:val="standardContextual"/>
    </w:rPr>
  </w:style>
  <w:style w:type="paragraph" w:styleId="Heading8">
    <w:name w:val="heading 8"/>
    <w:basedOn w:val="Normal"/>
    <w:next w:val="Normal"/>
    <w:link w:val="Heading8Char"/>
    <w:uiPriority w:val="9"/>
    <w:semiHidden/>
    <w:unhideWhenUsed/>
    <w:qFormat/>
    <w:rsid w:val="000A05AC"/>
    <w:pPr>
      <w:keepNext/>
      <w:keepLines/>
      <w:spacing w:after="0" w:line="259" w:lineRule="auto"/>
      <w:jc w:val="left"/>
      <w:outlineLvl w:val="7"/>
    </w:pPr>
    <w:rPr>
      <w:rFonts w:asciiTheme="minorHAnsi" w:eastAsiaTheme="majorEastAsia" w:hAnsiTheme="minorHAnsi" w:cstheme="majorBidi"/>
      <w:i/>
      <w:iCs/>
      <w:color w:val="272727" w:themeColor="text1" w:themeTint="D8"/>
      <w:kern w:val="2"/>
      <w:szCs w:val="22"/>
      <w14:ligatures w14:val="standardContextual"/>
    </w:rPr>
  </w:style>
  <w:style w:type="paragraph" w:styleId="Heading9">
    <w:name w:val="heading 9"/>
    <w:basedOn w:val="Normal"/>
    <w:next w:val="Normal"/>
    <w:link w:val="Heading9Char"/>
    <w:uiPriority w:val="9"/>
    <w:semiHidden/>
    <w:unhideWhenUsed/>
    <w:qFormat/>
    <w:rsid w:val="000A05AC"/>
    <w:pPr>
      <w:keepNext/>
      <w:keepLines/>
      <w:spacing w:after="0" w:line="259" w:lineRule="auto"/>
      <w:jc w:val="left"/>
      <w:outlineLvl w:val="8"/>
    </w:pPr>
    <w:rPr>
      <w:rFonts w:asciiTheme="minorHAnsi" w:eastAsiaTheme="majorEastAsia" w:hAnsiTheme="minorHAnsi" w:cstheme="majorBidi"/>
      <w:color w:val="272727" w:themeColor="text1" w:themeTint="D8"/>
      <w:kern w:val="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5AC"/>
    <w:rPr>
      <w:rFonts w:eastAsiaTheme="majorEastAsia" w:cstheme="majorBidi"/>
      <w:color w:val="272727" w:themeColor="text1" w:themeTint="D8"/>
    </w:rPr>
  </w:style>
  <w:style w:type="paragraph" w:styleId="Title">
    <w:name w:val="Title"/>
    <w:basedOn w:val="Normal"/>
    <w:next w:val="Normal"/>
    <w:link w:val="TitleChar"/>
    <w:uiPriority w:val="10"/>
    <w:qFormat/>
    <w:rsid w:val="000A05AC"/>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A0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5AC"/>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A0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5AC"/>
    <w:pPr>
      <w:spacing w:before="160" w:after="160" w:line="259" w:lineRule="auto"/>
      <w:jc w:val="center"/>
    </w:pPr>
    <w:rPr>
      <w:rFonts w:asciiTheme="minorHAnsi" w:eastAsiaTheme="minorHAnsi" w:hAnsiTheme="minorHAnsi"/>
      <w:i/>
      <w:iCs/>
      <w:color w:val="404040" w:themeColor="text1" w:themeTint="BF"/>
      <w:kern w:val="2"/>
      <w:szCs w:val="22"/>
      <w14:ligatures w14:val="standardContextual"/>
    </w:rPr>
  </w:style>
  <w:style w:type="character" w:customStyle="1" w:styleId="QuoteChar">
    <w:name w:val="Quote Char"/>
    <w:basedOn w:val="DefaultParagraphFont"/>
    <w:link w:val="Quote"/>
    <w:uiPriority w:val="29"/>
    <w:rsid w:val="000A05AC"/>
    <w:rPr>
      <w:i/>
      <w:iCs/>
      <w:color w:val="404040" w:themeColor="text1" w:themeTint="BF"/>
    </w:rPr>
  </w:style>
  <w:style w:type="paragraph" w:styleId="ListParagraph">
    <w:name w:val="List Paragraph"/>
    <w:basedOn w:val="Normal"/>
    <w:uiPriority w:val="34"/>
    <w:qFormat/>
    <w:rsid w:val="000A05AC"/>
    <w:pPr>
      <w:spacing w:after="160" w:line="259" w:lineRule="auto"/>
      <w:ind w:left="720"/>
      <w:contextualSpacing/>
      <w:jc w:val="left"/>
    </w:pPr>
    <w:rPr>
      <w:rFonts w:asciiTheme="minorHAnsi" w:eastAsiaTheme="minorHAnsi" w:hAnsiTheme="minorHAnsi"/>
      <w:kern w:val="2"/>
      <w:szCs w:val="22"/>
      <w14:ligatures w14:val="standardContextual"/>
    </w:rPr>
  </w:style>
  <w:style w:type="character" w:styleId="IntenseEmphasis">
    <w:name w:val="Intense Emphasis"/>
    <w:basedOn w:val="DefaultParagraphFont"/>
    <w:uiPriority w:val="21"/>
    <w:qFormat/>
    <w:rsid w:val="000A05AC"/>
    <w:rPr>
      <w:i/>
      <w:iCs/>
      <w:color w:val="0F4761" w:themeColor="accent1" w:themeShade="BF"/>
    </w:rPr>
  </w:style>
  <w:style w:type="paragraph" w:styleId="IntenseQuote">
    <w:name w:val="Intense Quote"/>
    <w:basedOn w:val="Normal"/>
    <w:next w:val="Normal"/>
    <w:link w:val="IntenseQuoteChar"/>
    <w:uiPriority w:val="30"/>
    <w:qFormat/>
    <w:rsid w:val="000A05A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i/>
      <w:iCs/>
      <w:color w:val="0F4761" w:themeColor="accent1" w:themeShade="BF"/>
      <w:kern w:val="2"/>
      <w:szCs w:val="22"/>
      <w14:ligatures w14:val="standardContextual"/>
    </w:rPr>
  </w:style>
  <w:style w:type="character" w:customStyle="1" w:styleId="IntenseQuoteChar">
    <w:name w:val="Intense Quote Char"/>
    <w:basedOn w:val="DefaultParagraphFont"/>
    <w:link w:val="IntenseQuote"/>
    <w:uiPriority w:val="30"/>
    <w:rsid w:val="000A05AC"/>
    <w:rPr>
      <w:i/>
      <w:iCs/>
      <w:color w:val="0F4761" w:themeColor="accent1" w:themeShade="BF"/>
    </w:rPr>
  </w:style>
  <w:style w:type="character" w:styleId="IntenseReference">
    <w:name w:val="Intense Reference"/>
    <w:basedOn w:val="DefaultParagraphFont"/>
    <w:uiPriority w:val="32"/>
    <w:qFormat/>
    <w:rsid w:val="000A05AC"/>
    <w:rPr>
      <w:b/>
      <w:bCs/>
      <w:smallCaps/>
      <w:color w:val="0F4761" w:themeColor="accent1" w:themeShade="BF"/>
      <w:spacing w:val="5"/>
    </w:rPr>
  </w:style>
  <w:style w:type="character" w:styleId="Hyperlink">
    <w:name w:val="Hyperlink"/>
    <w:basedOn w:val="DefaultParagraphFont"/>
    <w:uiPriority w:val="99"/>
    <w:unhideWhenUsed/>
    <w:rsid w:val="00F42DF7"/>
    <w:rPr>
      <w:color w:val="467886" w:themeColor="hyperlink"/>
      <w:u w:val="single"/>
    </w:rPr>
  </w:style>
  <w:style w:type="character" w:styleId="UnresolvedMention">
    <w:name w:val="Unresolved Mention"/>
    <w:basedOn w:val="DefaultParagraphFont"/>
    <w:uiPriority w:val="99"/>
    <w:semiHidden/>
    <w:unhideWhenUsed/>
    <w:rsid w:val="00F42D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238/arztebl.2018.0541" TargetMode="External"/><Relationship Id="rId3" Type="http://schemas.openxmlformats.org/officeDocument/2006/relationships/settings" Target="settings.xml"/><Relationship Id="rId7" Type="http://schemas.openxmlformats.org/officeDocument/2006/relationships/hyperlink" Target="https://doi.org/10.1111/spol.1275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93/heapol/czx0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1264</Words>
  <Characters>7205</Characters>
  <Application>Microsoft Office Word</Application>
  <DocSecurity>0</DocSecurity>
  <Lines>60</Lines>
  <Paragraphs>16</Paragraphs>
  <ScaleCrop>false</ScaleCrop>
  <Company/>
  <LinksUpToDate>false</LinksUpToDate>
  <CharactersWithSpaces>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anisuzzaman</dc:creator>
  <cp:keywords/>
  <dc:description/>
  <cp:lastModifiedBy>md anisuzzaman</cp:lastModifiedBy>
  <cp:revision>2</cp:revision>
  <dcterms:created xsi:type="dcterms:W3CDTF">2025-11-16T14:57:00Z</dcterms:created>
  <dcterms:modified xsi:type="dcterms:W3CDTF">2025-11-16T14:57:00Z</dcterms:modified>
</cp:coreProperties>
</file>