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80A2F" w14:textId="77777777" w:rsidR="00EE54B1" w:rsidRPr="00821096" w:rsidRDefault="00EE54B1" w:rsidP="00EE54B1">
      <w:pPr>
        <w:jc w:val="center"/>
        <w:rPr>
          <w:rFonts w:ascii="Arial" w:hAnsi="Arial" w:cs="Arial"/>
        </w:rPr>
      </w:pPr>
      <w:bookmarkStart w:id="0" w:name="_Hlk224484534"/>
      <w:bookmarkEnd w:id="0"/>
      <w:r w:rsidRPr="00821096">
        <w:rPr>
          <w:rFonts w:ascii="Arial" w:hAnsi="Arial" w:cs="Arial"/>
          <w:noProof/>
        </w:rPr>
        <w:drawing>
          <wp:inline distT="0" distB="0" distL="0" distR="0" wp14:anchorId="22D7A871" wp14:editId="4665B15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821096">
        <w:rPr>
          <w:rFonts w:ascii="Arial" w:hAnsi="Arial" w:cs="Arial"/>
        </w:rPr>
        <w:fldChar w:fldCharType="begin"/>
      </w:r>
      <w:r w:rsidRPr="00821096">
        <w:rPr>
          <w:rFonts w:ascii="Arial" w:hAnsi="Arial" w:cs="Arial"/>
        </w:rPr>
        <w:instrText xml:space="preserve"> INCLUDEPICTURE "C:\\Users\\AzZedin01\\Library\\Group Containers\\UBF8T346G9.ms\\WebArchiveCopyPasteTempFiles\\com.microsoft.Word\\8P2xdp3q1g646AAAAAElFTkSuQmCC" \* MERGEFORMAT </w:instrText>
      </w:r>
      <w:r w:rsidRPr="00821096">
        <w:rPr>
          <w:rFonts w:ascii="Arial" w:hAnsi="Arial" w:cs="Arial"/>
        </w:rPr>
        <w:fldChar w:fldCharType="end"/>
      </w:r>
    </w:p>
    <w:p w14:paraId="3ABBA7E2" w14:textId="77777777" w:rsidR="00EE54B1" w:rsidRPr="00821096" w:rsidRDefault="00EE54B1" w:rsidP="00EE54B1">
      <w:pPr>
        <w:rPr>
          <w:rFonts w:ascii="Arial" w:hAnsi="Arial" w:cs="Arial"/>
        </w:rPr>
      </w:pPr>
    </w:p>
    <w:p w14:paraId="29483C7E" w14:textId="53798845" w:rsidR="00EE54B1" w:rsidRDefault="00EE54B1" w:rsidP="00EE54B1">
      <w:pPr>
        <w:jc w:val="center"/>
        <w:rPr>
          <w:rFonts w:ascii="Arial" w:hAnsi="Arial" w:cs="Arial"/>
          <w:b/>
          <w:bCs/>
          <w:sz w:val="28"/>
          <w:szCs w:val="28"/>
        </w:rPr>
      </w:pPr>
      <w:r w:rsidRPr="00F03B0F">
        <w:rPr>
          <w:rFonts w:ascii="Arial" w:hAnsi="Arial" w:cs="Arial"/>
          <w:b/>
          <w:bCs/>
          <w:kern w:val="36"/>
          <w:sz w:val="28"/>
          <w:szCs w:val="28"/>
        </w:rPr>
        <w:t xml:space="preserve">Report on: </w:t>
      </w:r>
      <w:r w:rsidRPr="00EE54B1">
        <w:rPr>
          <w:rFonts w:ascii="Arial" w:hAnsi="Arial" w:cs="Arial"/>
          <w:b/>
          <w:bCs/>
          <w:sz w:val="28"/>
          <w:szCs w:val="28"/>
        </w:rPr>
        <w:t>Strategic Evaluation of Unilever's Dove Personal Care Business in the United Kingdom</w:t>
      </w:r>
    </w:p>
    <w:p w14:paraId="786D9A07" w14:textId="77777777" w:rsidR="00EE54B1" w:rsidRPr="00821096" w:rsidRDefault="00EE54B1" w:rsidP="00EE54B1">
      <w:pPr>
        <w:jc w:val="center"/>
        <w:rPr>
          <w:rFonts w:ascii="Arial" w:hAnsi="Arial" w:cs="Arial"/>
        </w:rPr>
      </w:pPr>
    </w:p>
    <w:p w14:paraId="6AD74B46" w14:textId="77777777" w:rsidR="00EE54B1" w:rsidRDefault="00EE54B1" w:rsidP="00EE54B1">
      <w:pPr>
        <w:jc w:val="center"/>
        <w:rPr>
          <w:rFonts w:ascii="Arial" w:hAnsi="Arial" w:cs="Arial"/>
          <w:b/>
          <w:bCs/>
          <w:sz w:val="28"/>
          <w:szCs w:val="28"/>
        </w:rPr>
      </w:pPr>
      <w:r>
        <w:rPr>
          <w:rFonts w:ascii="Arial" w:hAnsi="Arial" w:cs="Arial"/>
          <w:b/>
          <w:bCs/>
          <w:sz w:val="28"/>
          <w:szCs w:val="28"/>
        </w:rPr>
        <w:t>Student Name: Tahmina Aktar</w:t>
      </w:r>
    </w:p>
    <w:p w14:paraId="00DAB27A" w14:textId="6A436A07" w:rsidR="00EE54B1" w:rsidRDefault="00EE54B1" w:rsidP="00EE54B1">
      <w:pPr>
        <w:jc w:val="center"/>
        <w:rPr>
          <w:rFonts w:ascii="Arial" w:hAnsi="Arial" w:cs="Arial"/>
          <w:b/>
          <w:bCs/>
          <w:sz w:val="28"/>
          <w:szCs w:val="28"/>
        </w:rPr>
      </w:pPr>
      <w:r>
        <w:rPr>
          <w:rFonts w:ascii="Arial" w:hAnsi="Arial" w:cs="Arial"/>
          <w:b/>
          <w:bCs/>
          <w:sz w:val="28"/>
          <w:szCs w:val="28"/>
        </w:rPr>
        <w:t>Student ID: 2508483</w:t>
      </w:r>
    </w:p>
    <w:p w14:paraId="37478C59" w14:textId="77777777" w:rsidR="00EE54B1" w:rsidRPr="00821096" w:rsidRDefault="00EE54B1" w:rsidP="00EE54B1">
      <w:pPr>
        <w:jc w:val="center"/>
        <w:rPr>
          <w:rFonts w:ascii="Arial" w:hAnsi="Arial" w:cs="Arial"/>
          <w:b/>
          <w:bCs/>
          <w:sz w:val="28"/>
          <w:szCs w:val="28"/>
        </w:rPr>
      </w:pPr>
    </w:p>
    <w:p w14:paraId="60FD990E" w14:textId="77777777" w:rsidR="00EE54B1" w:rsidRPr="00F32319" w:rsidRDefault="00EE54B1" w:rsidP="00EE54B1">
      <w:pPr>
        <w:jc w:val="center"/>
        <w:rPr>
          <w:rFonts w:ascii="Arial" w:hAnsi="Arial" w:cs="Arial"/>
          <w:b/>
          <w:sz w:val="28"/>
          <w:szCs w:val="28"/>
        </w:rPr>
      </w:pPr>
      <w:proofErr w:type="spellStart"/>
      <w:r w:rsidRPr="00F32319">
        <w:rPr>
          <w:rFonts w:ascii="Arial" w:hAnsi="Arial" w:cs="Arial"/>
          <w:b/>
          <w:sz w:val="28"/>
          <w:szCs w:val="28"/>
        </w:rPr>
        <w:t>Programme</w:t>
      </w:r>
      <w:proofErr w:type="spellEnd"/>
      <w:r w:rsidRPr="00F32319">
        <w:rPr>
          <w:rFonts w:ascii="Arial" w:hAnsi="Arial" w:cs="Arial"/>
          <w:b/>
          <w:sz w:val="28"/>
          <w:szCs w:val="28"/>
        </w:rPr>
        <w:t>: Master of Business Administration</w:t>
      </w:r>
    </w:p>
    <w:p w14:paraId="7BE5AAC4" w14:textId="77777777" w:rsidR="00EE54B1" w:rsidRPr="00F32319" w:rsidRDefault="00EE54B1" w:rsidP="00EE54B1">
      <w:pPr>
        <w:jc w:val="center"/>
        <w:rPr>
          <w:rFonts w:ascii="Arial" w:hAnsi="Arial" w:cs="Arial"/>
          <w:b/>
          <w:sz w:val="28"/>
          <w:szCs w:val="28"/>
        </w:rPr>
      </w:pPr>
      <w:r w:rsidRPr="00F32319">
        <w:rPr>
          <w:rFonts w:ascii="Arial" w:hAnsi="Arial" w:cs="Arial"/>
          <w:b/>
          <w:sz w:val="28"/>
          <w:szCs w:val="28"/>
        </w:rPr>
        <w:t>Module Name</w:t>
      </w:r>
      <w:r w:rsidRPr="00970707">
        <w:rPr>
          <w:rFonts w:ascii="Arial" w:hAnsi="Arial" w:cs="Arial"/>
          <w:b/>
          <w:sz w:val="28"/>
          <w:szCs w:val="28"/>
        </w:rPr>
        <w:t>: Strategic Management</w:t>
      </w:r>
    </w:p>
    <w:p w14:paraId="34D51019" w14:textId="77777777" w:rsidR="00EE54B1" w:rsidRPr="00F32319" w:rsidRDefault="00EE54B1" w:rsidP="00EE54B1">
      <w:pPr>
        <w:jc w:val="center"/>
        <w:rPr>
          <w:rFonts w:ascii="Arial" w:hAnsi="Arial" w:cs="Arial"/>
          <w:b/>
          <w:sz w:val="28"/>
          <w:szCs w:val="28"/>
        </w:rPr>
      </w:pPr>
      <w:r w:rsidRPr="00F32319">
        <w:rPr>
          <w:rFonts w:ascii="Arial" w:hAnsi="Arial" w:cs="Arial"/>
          <w:b/>
          <w:sz w:val="28"/>
          <w:szCs w:val="28"/>
        </w:rPr>
        <w:t>Module Code: LCMB7003</w:t>
      </w:r>
    </w:p>
    <w:p w14:paraId="6CD76253" w14:textId="77777777" w:rsidR="00EE54B1" w:rsidRPr="00F32319" w:rsidRDefault="00EE54B1" w:rsidP="00EE54B1">
      <w:pPr>
        <w:rPr>
          <w:rFonts w:ascii="Arial" w:hAnsi="Arial" w:cs="Arial"/>
          <w:b/>
          <w:sz w:val="28"/>
          <w:szCs w:val="28"/>
        </w:rPr>
      </w:pPr>
    </w:p>
    <w:p w14:paraId="09BBB0D9" w14:textId="77777777" w:rsidR="00AB7EAE" w:rsidRDefault="00EE54B1" w:rsidP="00EE54B1">
      <w:pPr>
        <w:jc w:val="center"/>
        <w:rPr>
          <w:rFonts w:ascii="Arial" w:hAnsi="Arial" w:cs="Arial"/>
          <w:b/>
          <w:sz w:val="28"/>
          <w:szCs w:val="28"/>
        </w:rPr>
      </w:pPr>
      <w:r w:rsidRPr="00F32319">
        <w:rPr>
          <w:rFonts w:ascii="Arial" w:hAnsi="Arial" w:cs="Arial"/>
          <w:b/>
          <w:sz w:val="28"/>
          <w:szCs w:val="28"/>
        </w:rPr>
        <w:t xml:space="preserve">Lecturer’s Name: </w:t>
      </w:r>
      <w:r w:rsidR="00AB7EAE" w:rsidRPr="00AB7EAE">
        <w:rPr>
          <w:rFonts w:ascii="Arial" w:hAnsi="Arial" w:cs="Arial"/>
          <w:b/>
          <w:sz w:val="28"/>
          <w:szCs w:val="28"/>
        </w:rPr>
        <w:t>Gladius Kulothungan</w:t>
      </w:r>
    </w:p>
    <w:p w14:paraId="28A8D61C" w14:textId="007C1C2C" w:rsidR="00EE54B1" w:rsidRDefault="00EE54B1" w:rsidP="00EE54B1">
      <w:pPr>
        <w:jc w:val="center"/>
        <w:rPr>
          <w:rFonts w:ascii="Arial" w:hAnsi="Arial" w:cs="Arial"/>
          <w:b/>
          <w:sz w:val="28"/>
          <w:szCs w:val="28"/>
        </w:rPr>
      </w:pPr>
    </w:p>
    <w:p w14:paraId="34518553" w14:textId="77777777" w:rsidR="00AB7EAE" w:rsidRPr="00F32319" w:rsidRDefault="00AB7EAE" w:rsidP="00EE54B1">
      <w:pPr>
        <w:jc w:val="center"/>
        <w:rPr>
          <w:rFonts w:ascii="Arial" w:hAnsi="Arial" w:cs="Arial"/>
          <w:b/>
          <w:sz w:val="28"/>
          <w:szCs w:val="28"/>
        </w:rPr>
      </w:pPr>
    </w:p>
    <w:p w14:paraId="702AB6AD" w14:textId="76A5BFB8" w:rsidR="00EE54B1" w:rsidRDefault="00EE54B1" w:rsidP="00EE54B1">
      <w:pPr>
        <w:jc w:val="center"/>
        <w:rPr>
          <w:rFonts w:ascii="Arial" w:hAnsi="Arial" w:cs="Arial"/>
          <w:b/>
          <w:sz w:val="28"/>
          <w:szCs w:val="28"/>
        </w:rPr>
      </w:pPr>
      <w:r w:rsidRPr="00F32319">
        <w:rPr>
          <w:rFonts w:ascii="Arial" w:hAnsi="Arial" w:cs="Arial"/>
          <w:b/>
          <w:sz w:val="28"/>
          <w:szCs w:val="28"/>
        </w:rPr>
        <w:t xml:space="preserve">Work Count: </w:t>
      </w:r>
      <w:r>
        <w:rPr>
          <w:rFonts w:ascii="Arial" w:hAnsi="Arial" w:cs="Arial"/>
          <w:b/>
          <w:sz w:val="28"/>
          <w:szCs w:val="28"/>
        </w:rPr>
        <w:t>5277</w:t>
      </w:r>
    </w:p>
    <w:p w14:paraId="4FB8EB41" w14:textId="77777777" w:rsidR="00112AAD" w:rsidRPr="00F32319" w:rsidRDefault="00112AAD" w:rsidP="00EE54B1">
      <w:pPr>
        <w:jc w:val="center"/>
        <w:rPr>
          <w:rFonts w:ascii="Arial" w:hAnsi="Arial" w:cs="Arial"/>
          <w:b/>
          <w:sz w:val="28"/>
          <w:szCs w:val="28"/>
        </w:rPr>
      </w:pPr>
    </w:p>
    <w:p w14:paraId="6DF44532" w14:textId="31AF0821" w:rsidR="00886BCD" w:rsidRDefault="00EE54B1" w:rsidP="00EE54B1">
      <w:pPr>
        <w:jc w:val="center"/>
        <w:rPr>
          <w:rFonts w:ascii="Arial" w:hAnsi="Arial" w:cs="Arial"/>
        </w:rPr>
      </w:pPr>
      <w:r w:rsidRPr="00F32319">
        <w:rPr>
          <w:rFonts w:ascii="Arial" w:hAnsi="Arial" w:cs="Arial"/>
          <w:b/>
          <w:sz w:val="28"/>
          <w:szCs w:val="28"/>
        </w:rPr>
        <w:t>Submission Date: 12 August, 2026</w:t>
      </w:r>
    </w:p>
    <w:p w14:paraId="2094B693" w14:textId="77777777" w:rsidR="00886BCD" w:rsidRDefault="00886BCD">
      <w:pPr>
        <w:rPr>
          <w:rFonts w:ascii="Arial" w:hAnsi="Arial" w:cs="Arial"/>
        </w:rPr>
      </w:pPr>
      <w:r>
        <w:rPr>
          <w:rFonts w:ascii="Arial" w:hAnsi="Arial" w:cs="Arial"/>
        </w:rPr>
        <w:br w:type="page"/>
      </w:r>
    </w:p>
    <w:sdt>
      <w:sdtPr>
        <w:rPr>
          <w:rFonts w:ascii="Arial" w:eastAsiaTheme="minorHAnsi" w:hAnsi="Arial" w:cs="Arial"/>
          <w:color w:val="auto"/>
          <w:sz w:val="24"/>
          <w:szCs w:val="24"/>
        </w:rPr>
        <w:id w:val="259801544"/>
        <w:docPartObj>
          <w:docPartGallery w:val="Table of Contents"/>
          <w:docPartUnique/>
        </w:docPartObj>
      </w:sdtPr>
      <w:sdtEndPr>
        <w:rPr>
          <w:b/>
          <w:bCs/>
          <w:noProof/>
        </w:rPr>
      </w:sdtEndPr>
      <w:sdtContent>
        <w:p w14:paraId="7AD68EE5" w14:textId="7E64CDAF" w:rsidR="004D0686" w:rsidRPr="004D0686" w:rsidRDefault="004D0686">
          <w:pPr>
            <w:pStyle w:val="TOCHeading"/>
            <w:rPr>
              <w:rFonts w:ascii="Arial" w:hAnsi="Arial" w:cs="Arial"/>
              <w:sz w:val="24"/>
              <w:szCs w:val="24"/>
            </w:rPr>
          </w:pPr>
          <w:r w:rsidRPr="004D0686">
            <w:rPr>
              <w:rFonts w:ascii="Arial" w:hAnsi="Arial" w:cs="Arial"/>
              <w:sz w:val="24"/>
              <w:szCs w:val="24"/>
            </w:rPr>
            <w:t>Table of Contents</w:t>
          </w:r>
        </w:p>
        <w:p w14:paraId="748E1306" w14:textId="7C0C8BF8" w:rsidR="004D0686" w:rsidRPr="004D0686" w:rsidRDefault="004D0686">
          <w:pPr>
            <w:pStyle w:val="TOC2"/>
            <w:tabs>
              <w:tab w:val="right" w:leader="dot" w:pos="9016"/>
            </w:tabs>
            <w:rPr>
              <w:rFonts w:ascii="Arial" w:hAnsi="Arial" w:cs="Arial"/>
              <w:noProof/>
              <w:szCs w:val="24"/>
            </w:rPr>
          </w:pPr>
          <w:r w:rsidRPr="004D0686">
            <w:rPr>
              <w:rFonts w:ascii="Arial" w:hAnsi="Arial" w:cs="Arial"/>
              <w:szCs w:val="24"/>
            </w:rPr>
            <w:fldChar w:fldCharType="begin"/>
          </w:r>
          <w:r w:rsidRPr="004D0686">
            <w:rPr>
              <w:rFonts w:ascii="Arial" w:hAnsi="Arial" w:cs="Arial"/>
              <w:szCs w:val="24"/>
            </w:rPr>
            <w:instrText xml:space="preserve"> TOC \o "1-3" \h \z \u </w:instrText>
          </w:r>
          <w:r w:rsidRPr="004D0686">
            <w:rPr>
              <w:rFonts w:ascii="Arial" w:hAnsi="Arial" w:cs="Arial"/>
              <w:szCs w:val="24"/>
            </w:rPr>
            <w:fldChar w:fldCharType="separate"/>
          </w:r>
          <w:hyperlink w:anchor="_Toc236776215" w:history="1">
            <w:r w:rsidRPr="004D0686">
              <w:rPr>
                <w:rStyle w:val="Hyperlink"/>
                <w:rFonts w:ascii="Arial" w:hAnsi="Arial" w:cs="Arial"/>
                <w:noProof/>
                <w:szCs w:val="24"/>
              </w:rPr>
              <w:t>1. Introduction</w:t>
            </w:r>
            <w:r w:rsidRPr="004D0686">
              <w:rPr>
                <w:rFonts w:ascii="Arial" w:hAnsi="Arial" w:cs="Arial"/>
                <w:noProof/>
                <w:webHidden/>
                <w:szCs w:val="24"/>
              </w:rPr>
              <w:tab/>
            </w:r>
            <w:r w:rsidRPr="004D0686">
              <w:rPr>
                <w:rFonts w:ascii="Arial" w:hAnsi="Arial" w:cs="Arial"/>
                <w:noProof/>
                <w:webHidden/>
                <w:szCs w:val="24"/>
              </w:rPr>
              <w:fldChar w:fldCharType="begin"/>
            </w:r>
            <w:r w:rsidRPr="004D0686">
              <w:rPr>
                <w:rFonts w:ascii="Arial" w:hAnsi="Arial" w:cs="Arial"/>
                <w:noProof/>
                <w:webHidden/>
                <w:szCs w:val="24"/>
              </w:rPr>
              <w:instrText xml:space="preserve"> PAGEREF _Toc236776215 \h </w:instrText>
            </w:r>
            <w:r w:rsidRPr="004D0686">
              <w:rPr>
                <w:rFonts w:ascii="Arial" w:hAnsi="Arial" w:cs="Arial"/>
                <w:noProof/>
                <w:webHidden/>
                <w:szCs w:val="24"/>
              </w:rPr>
            </w:r>
            <w:r w:rsidRPr="004D0686">
              <w:rPr>
                <w:rFonts w:ascii="Arial" w:hAnsi="Arial" w:cs="Arial"/>
                <w:noProof/>
                <w:webHidden/>
                <w:szCs w:val="24"/>
              </w:rPr>
              <w:fldChar w:fldCharType="separate"/>
            </w:r>
            <w:r>
              <w:rPr>
                <w:rFonts w:ascii="Arial" w:hAnsi="Arial" w:cs="Arial"/>
                <w:noProof/>
                <w:webHidden/>
                <w:szCs w:val="24"/>
              </w:rPr>
              <w:t>5</w:t>
            </w:r>
            <w:r w:rsidRPr="004D0686">
              <w:rPr>
                <w:rFonts w:ascii="Arial" w:hAnsi="Arial" w:cs="Arial"/>
                <w:noProof/>
                <w:webHidden/>
                <w:szCs w:val="24"/>
              </w:rPr>
              <w:fldChar w:fldCharType="end"/>
            </w:r>
          </w:hyperlink>
        </w:p>
        <w:p w14:paraId="097CB170" w14:textId="4C1F791E" w:rsidR="004D0686" w:rsidRPr="004D0686" w:rsidRDefault="008E3EEF">
          <w:pPr>
            <w:pStyle w:val="TOC2"/>
            <w:tabs>
              <w:tab w:val="right" w:leader="dot" w:pos="9016"/>
            </w:tabs>
            <w:rPr>
              <w:rFonts w:ascii="Arial" w:hAnsi="Arial" w:cs="Arial"/>
              <w:noProof/>
              <w:szCs w:val="24"/>
            </w:rPr>
          </w:pPr>
          <w:hyperlink w:anchor="_Toc236776216" w:history="1">
            <w:r w:rsidR="004D0686" w:rsidRPr="004D0686">
              <w:rPr>
                <w:rStyle w:val="Hyperlink"/>
                <w:rFonts w:ascii="Arial" w:hAnsi="Arial" w:cs="Arial"/>
                <w:noProof/>
                <w:szCs w:val="24"/>
              </w:rPr>
              <w:t>2. Organisational Context and Overview</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_Toc236776216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6</w:t>
            </w:r>
            <w:r w:rsidR="004D0686" w:rsidRPr="004D0686">
              <w:rPr>
                <w:rFonts w:ascii="Arial" w:hAnsi="Arial" w:cs="Arial"/>
                <w:noProof/>
                <w:webHidden/>
                <w:szCs w:val="24"/>
              </w:rPr>
              <w:fldChar w:fldCharType="end"/>
            </w:r>
          </w:hyperlink>
        </w:p>
        <w:p w14:paraId="0FAFCAAA" w14:textId="4BB0BBE9" w:rsidR="004D0686" w:rsidRPr="004D0686" w:rsidRDefault="008E3EEF">
          <w:pPr>
            <w:pStyle w:val="TOC2"/>
            <w:tabs>
              <w:tab w:val="right" w:leader="dot" w:pos="9016"/>
            </w:tabs>
            <w:rPr>
              <w:rFonts w:ascii="Arial" w:hAnsi="Arial" w:cs="Arial"/>
              <w:noProof/>
              <w:szCs w:val="24"/>
            </w:rPr>
          </w:pPr>
          <w:hyperlink w:anchor="_Toc236776217" w:history="1">
            <w:r w:rsidR="004D0686" w:rsidRPr="004D0686">
              <w:rPr>
                <w:rStyle w:val="Hyperlink"/>
                <w:rFonts w:ascii="Arial" w:hAnsi="Arial" w:cs="Arial"/>
                <w:noProof/>
                <w:szCs w:val="24"/>
              </w:rPr>
              <w:t>3. External and Internal Strategic Analysis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_Toc236776217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8</w:t>
            </w:r>
            <w:r w:rsidR="004D0686" w:rsidRPr="004D0686">
              <w:rPr>
                <w:rFonts w:ascii="Arial" w:hAnsi="Arial" w:cs="Arial"/>
                <w:noProof/>
                <w:webHidden/>
                <w:szCs w:val="24"/>
              </w:rPr>
              <w:fldChar w:fldCharType="end"/>
            </w:r>
          </w:hyperlink>
        </w:p>
        <w:p w14:paraId="65FE9F57" w14:textId="7E49BA64" w:rsidR="004D0686" w:rsidRPr="004D0686" w:rsidRDefault="008E3EEF">
          <w:pPr>
            <w:pStyle w:val="TOC2"/>
            <w:tabs>
              <w:tab w:val="right" w:leader="dot" w:pos="9016"/>
            </w:tabs>
            <w:rPr>
              <w:rFonts w:ascii="Arial" w:hAnsi="Arial" w:cs="Arial"/>
              <w:noProof/>
              <w:szCs w:val="24"/>
            </w:rPr>
          </w:pPr>
          <w:hyperlink w:anchor="_Toc236776218" w:history="1">
            <w:r w:rsidR="004D0686" w:rsidRPr="004D0686">
              <w:rPr>
                <w:rStyle w:val="Hyperlink"/>
                <w:rFonts w:ascii="Arial" w:hAnsi="Arial" w:cs="Arial"/>
                <w:noProof/>
                <w:szCs w:val="24"/>
              </w:rPr>
              <w:t>3.1 External Environment Analysis (PESTLE Analysis)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_Toc236776218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8</w:t>
            </w:r>
            <w:r w:rsidR="004D0686" w:rsidRPr="004D0686">
              <w:rPr>
                <w:rFonts w:ascii="Arial" w:hAnsi="Arial" w:cs="Arial"/>
                <w:noProof/>
                <w:webHidden/>
                <w:szCs w:val="24"/>
              </w:rPr>
              <w:fldChar w:fldCharType="end"/>
            </w:r>
          </w:hyperlink>
        </w:p>
        <w:p w14:paraId="7433C6A9" w14:textId="751FE939" w:rsidR="004D0686" w:rsidRPr="004D0686" w:rsidRDefault="008E3EEF">
          <w:pPr>
            <w:pStyle w:val="TOC2"/>
            <w:tabs>
              <w:tab w:val="right" w:leader="dot" w:pos="9016"/>
            </w:tabs>
            <w:rPr>
              <w:rFonts w:ascii="Arial" w:hAnsi="Arial" w:cs="Arial"/>
              <w:noProof/>
              <w:szCs w:val="24"/>
            </w:rPr>
          </w:pPr>
          <w:hyperlink w:anchor="_Toc236776219" w:history="1">
            <w:r w:rsidR="004D0686" w:rsidRPr="004D0686">
              <w:rPr>
                <w:rStyle w:val="Hyperlink"/>
                <w:rFonts w:ascii="Arial" w:hAnsi="Arial" w:cs="Arial"/>
                <w:noProof/>
                <w:szCs w:val="24"/>
              </w:rPr>
              <w:t>Political</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_Toc236776219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9</w:t>
            </w:r>
            <w:r w:rsidR="004D0686" w:rsidRPr="004D0686">
              <w:rPr>
                <w:rFonts w:ascii="Arial" w:hAnsi="Arial" w:cs="Arial"/>
                <w:noProof/>
                <w:webHidden/>
                <w:szCs w:val="24"/>
              </w:rPr>
              <w:fldChar w:fldCharType="end"/>
            </w:r>
          </w:hyperlink>
        </w:p>
        <w:p w14:paraId="01593D7B" w14:textId="7F7DDBCE" w:rsidR="004D0686" w:rsidRPr="004D0686" w:rsidRDefault="008E3EEF">
          <w:pPr>
            <w:pStyle w:val="TOC2"/>
            <w:tabs>
              <w:tab w:val="right" w:leader="dot" w:pos="9016"/>
            </w:tabs>
            <w:rPr>
              <w:rFonts w:ascii="Arial" w:hAnsi="Arial" w:cs="Arial"/>
              <w:noProof/>
              <w:szCs w:val="24"/>
            </w:rPr>
          </w:pPr>
          <w:hyperlink w:anchor="_Toc236776220" w:history="1">
            <w:r w:rsidR="004D0686" w:rsidRPr="004D0686">
              <w:rPr>
                <w:rStyle w:val="Hyperlink"/>
                <w:rFonts w:ascii="Arial" w:hAnsi="Arial" w:cs="Arial"/>
                <w:noProof/>
                <w:szCs w:val="24"/>
              </w:rPr>
              <w:t>Economic</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_Toc236776220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9</w:t>
            </w:r>
            <w:r w:rsidR="004D0686" w:rsidRPr="004D0686">
              <w:rPr>
                <w:rFonts w:ascii="Arial" w:hAnsi="Arial" w:cs="Arial"/>
                <w:noProof/>
                <w:webHidden/>
                <w:szCs w:val="24"/>
              </w:rPr>
              <w:fldChar w:fldCharType="end"/>
            </w:r>
          </w:hyperlink>
        </w:p>
        <w:p w14:paraId="5798435E" w14:textId="639E89B9" w:rsidR="004D0686" w:rsidRPr="004D0686" w:rsidRDefault="008E3EEF">
          <w:pPr>
            <w:pStyle w:val="TOC2"/>
            <w:tabs>
              <w:tab w:val="right" w:leader="dot" w:pos="9016"/>
            </w:tabs>
            <w:rPr>
              <w:rFonts w:ascii="Arial" w:hAnsi="Arial" w:cs="Arial"/>
              <w:noProof/>
              <w:szCs w:val="24"/>
            </w:rPr>
          </w:pPr>
          <w:hyperlink w:anchor="_Toc236776221" w:history="1">
            <w:r w:rsidR="004D0686" w:rsidRPr="004D0686">
              <w:rPr>
                <w:rStyle w:val="Hyperlink"/>
                <w:rFonts w:ascii="Arial" w:hAnsi="Arial" w:cs="Arial"/>
                <w:noProof/>
                <w:szCs w:val="24"/>
              </w:rPr>
              <w:t>Social</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_Toc236776221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9</w:t>
            </w:r>
            <w:r w:rsidR="004D0686" w:rsidRPr="004D0686">
              <w:rPr>
                <w:rFonts w:ascii="Arial" w:hAnsi="Arial" w:cs="Arial"/>
                <w:noProof/>
                <w:webHidden/>
                <w:szCs w:val="24"/>
              </w:rPr>
              <w:fldChar w:fldCharType="end"/>
            </w:r>
          </w:hyperlink>
        </w:p>
        <w:p w14:paraId="075D4305" w14:textId="7CF0FFD7" w:rsidR="004D0686" w:rsidRPr="004D0686" w:rsidRDefault="008E3EEF">
          <w:pPr>
            <w:pStyle w:val="TOC2"/>
            <w:tabs>
              <w:tab w:val="right" w:leader="dot" w:pos="9016"/>
            </w:tabs>
            <w:rPr>
              <w:rFonts w:ascii="Arial" w:hAnsi="Arial" w:cs="Arial"/>
              <w:noProof/>
              <w:szCs w:val="24"/>
            </w:rPr>
          </w:pPr>
          <w:hyperlink w:anchor="_Toc236776222" w:history="1">
            <w:r w:rsidR="004D0686" w:rsidRPr="004D0686">
              <w:rPr>
                <w:rStyle w:val="Hyperlink"/>
                <w:rFonts w:ascii="Arial" w:hAnsi="Arial" w:cs="Arial"/>
                <w:noProof/>
                <w:szCs w:val="24"/>
              </w:rPr>
              <w:t>Technological</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_Toc236776222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10</w:t>
            </w:r>
            <w:r w:rsidR="004D0686" w:rsidRPr="004D0686">
              <w:rPr>
                <w:rFonts w:ascii="Arial" w:hAnsi="Arial" w:cs="Arial"/>
                <w:noProof/>
                <w:webHidden/>
                <w:szCs w:val="24"/>
              </w:rPr>
              <w:fldChar w:fldCharType="end"/>
            </w:r>
          </w:hyperlink>
        </w:p>
        <w:p w14:paraId="1FE0DBE7" w14:textId="773198CA" w:rsidR="004D0686" w:rsidRPr="004D0686" w:rsidRDefault="008E3EEF">
          <w:pPr>
            <w:pStyle w:val="TOC2"/>
            <w:tabs>
              <w:tab w:val="right" w:leader="dot" w:pos="9016"/>
            </w:tabs>
            <w:rPr>
              <w:rFonts w:ascii="Arial" w:hAnsi="Arial" w:cs="Arial"/>
              <w:noProof/>
              <w:szCs w:val="24"/>
            </w:rPr>
          </w:pPr>
          <w:hyperlink w:anchor="_Toc236776223" w:history="1">
            <w:r w:rsidR="004D0686" w:rsidRPr="004D0686">
              <w:rPr>
                <w:rStyle w:val="Hyperlink"/>
                <w:rFonts w:ascii="Arial" w:hAnsi="Arial" w:cs="Arial"/>
                <w:noProof/>
                <w:szCs w:val="24"/>
              </w:rPr>
              <w:t>Environmental</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_Toc236776223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10</w:t>
            </w:r>
            <w:r w:rsidR="004D0686" w:rsidRPr="004D0686">
              <w:rPr>
                <w:rFonts w:ascii="Arial" w:hAnsi="Arial" w:cs="Arial"/>
                <w:noProof/>
                <w:webHidden/>
                <w:szCs w:val="24"/>
              </w:rPr>
              <w:fldChar w:fldCharType="end"/>
            </w:r>
          </w:hyperlink>
        </w:p>
        <w:p w14:paraId="1060F288" w14:textId="023BCA11" w:rsidR="004D0686" w:rsidRPr="004D0686" w:rsidRDefault="008E3EEF">
          <w:pPr>
            <w:pStyle w:val="TOC2"/>
            <w:tabs>
              <w:tab w:val="right" w:leader="dot" w:pos="9016"/>
            </w:tabs>
            <w:rPr>
              <w:rFonts w:ascii="Arial" w:hAnsi="Arial" w:cs="Arial"/>
              <w:noProof/>
              <w:szCs w:val="24"/>
            </w:rPr>
          </w:pPr>
          <w:hyperlink w:anchor="_Toc236776224" w:history="1">
            <w:r w:rsidR="004D0686" w:rsidRPr="004D0686">
              <w:rPr>
                <w:rStyle w:val="Hyperlink"/>
                <w:rFonts w:ascii="Arial" w:hAnsi="Arial" w:cs="Arial"/>
                <w:noProof/>
                <w:szCs w:val="24"/>
              </w:rPr>
              <w:t>Legal</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_Toc236776224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10</w:t>
            </w:r>
            <w:r w:rsidR="004D0686" w:rsidRPr="004D0686">
              <w:rPr>
                <w:rFonts w:ascii="Arial" w:hAnsi="Arial" w:cs="Arial"/>
                <w:noProof/>
                <w:webHidden/>
                <w:szCs w:val="24"/>
              </w:rPr>
              <w:fldChar w:fldCharType="end"/>
            </w:r>
          </w:hyperlink>
        </w:p>
        <w:p w14:paraId="7244F510" w14:textId="4E25F4F4" w:rsidR="004D0686" w:rsidRPr="004D0686" w:rsidRDefault="008E3EEF">
          <w:pPr>
            <w:pStyle w:val="TOC2"/>
            <w:tabs>
              <w:tab w:val="right" w:leader="dot" w:pos="9016"/>
            </w:tabs>
            <w:rPr>
              <w:rFonts w:ascii="Arial" w:hAnsi="Arial" w:cs="Arial"/>
              <w:noProof/>
              <w:szCs w:val="24"/>
            </w:rPr>
          </w:pPr>
          <w:hyperlink w:anchor="_Toc236776225" w:history="1">
            <w:r w:rsidR="004D0686" w:rsidRPr="004D0686">
              <w:rPr>
                <w:rStyle w:val="Hyperlink"/>
                <w:rFonts w:ascii="Arial" w:hAnsi="Arial" w:cs="Arial"/>
                <w:noProof/>
                <w:szCs w:val="24"/>
              </w:rPr>
              <w:t>3.2 Industry Structure Analysis (Porter's Five Forces)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_Toc236776225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12</w:t>
            </w:r>
            <w:r w:rsidR="004D0686" w:rsidRPr="004D0686">
              <w:rPr>
                <w:rFonts w:ascii="Arial" w:hAnsi="Arial" w:cs="Arial"/>
                <w:noProof/>
                <w:webHidden/>
                <w:szCs w:val="24"/>
              </w:rPr>
              <w:fldChar w:fldCharType="end"/>
            </w:r>
          </w:hyperlink>
        </w:p>
        <w:p w14:paraId="5A7A66B7" w14:textId="404644C4" w:rsidR="004D0686" w:rsidRPr="004D0686" w:rsidRDefault="008E3EEF">
          <w:pPr>
            <w:pStyle w:val="TOC2"/>
            <w:tabs>
              <w:tab w:val="right" w:leader="dot" w:pos="9016"/>
            </w:tabs>
            <w:rPr>
              <w:rFonts w:ascii="Arial" w:hAnsi="Arial" w:cs="Arial"/>
              <w:noProof/>
              <w:szCs w:val="24"/>
            </w:rPr>
          </w:pPr>
          <w:hyperlink w:anchor="_Toc236776226" w:history="1">
            <w:r w:rsidR="004D0686" w:rsidRPr="004D0686">
              <w:rPr>
                <w:rStyle w:val="Hyperlink"/>
                <w:rFonts w:ascii="Arial" w:hAnsi="Arial" w:cs="Arial"/>
                <w:noProof/>
                <w:szCs w:val="24"/>
              </w:rPr>
              <w:t>3.3 External Strategic Implications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_Toc236776226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13</w:t>
            </w:r>
            <w:r w:rsidR="004D0686" w:rsidRPr="004D0686">
              <w:rPr>
                <w:rFonts w:ascii="Arial" w:hAnsi="Arial" w:cs="Arial"/>
                <w:noProof/>
                <w:webHidden/>
                <w:szCs w:val="24"/>
              </w:rPr>
              <w:fldChar w:fldCharType="end"/>
            </w:r>
          </w:hyperlink>
        </w:p>
        <w:p w14:paraId="24C356B8" w14:textId="53683794" w:rsidR="004D0686" w:rsidRPr="004D0686" w:rsidRDefault="008E3EEF">
          <w:pPr>
            <w:pStyle w:val="TOC2"/>
            <w:tabs>
              <w:tab w:val="right" w:leader="dot" w:pos="9016"/>
            </w:tabs>
            <w:rPr>
              <w:rFonts w:ascii="Arial" w:hAnsi="Arial" w:cs="Arial"/>
              <w:noProof/>
              <w:szCs w:val="24"/>
            </w:rPr>
          </w:pPr>
          <w:hyperlink w:anchor="_Toc236776227" w:history="1">
            <w:r w:rsidR="004D0686" w:rsidRPr="004D0686">
              <w:rPr>
                <w:rStyle w:val="Hyperlink"/>
                <w:rFonts w:ascii="Arial" w:hAnsi="Arial" w:cs="Arial"/>
                <w:noProof/>
                <w:szCs w:val="24"/>
              </w:rPr>
              <w:t>3.4 Internal Environment Analysis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_Toc236776227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14</w:t>
            </w:r>
            <w:r w:rsidR="004D0686" w:rsidRPr="004D0686">
              <w:rPr>
                <w:rFonts w:ascii="Arial" w:hAnsi="Arial" w:cs="Arial"/>
                <w:noProof/>
                <w:webHidden/>
                <w:szCs w:val="24"/>
              </w:rPr>
              <w:fldChar w:fldCharType="end"/>
            </w:r>
          </w:hyperlink>
        </w:p>
        <w:p w14:paraId="74E29B52" w14:textId="21303C27" w:rsidR="004D0686" w:rsidRPr="004D0686" w:rsidRDefault="008E3EEF">
          <w:pPr>
            <w:pStyle w:val="TOC2"/>
            <w:tabs>
              <w:tab w:val="right" w:leader="dot" w:pos="9016"/>
            </w:tabs>
            <w:rPr>
              <w:rFonts w:ascii="Arial" w:hAnsi="Arial" w:cs="Arial"/>
              <w:noProof/>
              <w:szCs w:val="24"/>
            </w:rPr>
          </w:pPr>
          <w:hyperlink w:anchor="_Toc236776228" w:history="1">
            <w:r w:rsidR="004D0686" w:rsidRPr="004D0686">
              <w:rPr>
                <w:rStyle w:val="Hyperlink"/>
                <w:rFonts w:ascii="Arial" w:hAnsi="Arial" w:cs="Arial"/>
                <w:noProof/>
                <w:szCs w:val="24"/>
              </w:rPr>
              <w:t>Resource-Based View (RBV)</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_Toc236776228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14</w:t>
            </w:r>
            <w:r w:rsidR="004D0686" w:rsidRPr="004D0686">
              <w:rPr>
                <w:rFonts w:ascii="Arial" w:hAnsi="Arial" w:cs="Arial"/>
                <w:noProof/>
                <w:webHidden/>
                <w:szCs w:val="24"/>
              </w:rPr>
              <w:fldChar w:fldCharType="end"/>
            </w:r>
          </w:hyperlink>
        </w:p>
        <w:p w14:paraId="346D87C2" w14:textId="256C300A" w:rsidR="004D0686" w:rsidRPr="004D0686" w:rsidRDefault="008E3EEF">
          <w:pPr>
            <w:pStyle w:val="TOC2"/>
            <w:tabs>
              <w:tab w:val="right" w:leader="dot" w:pos="9016"/>
            </w:tabs>
            <w:rPr>
              <w:rFonts w:ascii="Arial" w:hAnsi="Arial" w:cs="Arial"/>
              <w:noProof/>
              <w:szCs w:val="24"/>
            </w:rPr>
          </w:pPr>
          <w:hyperlink w:anchor="_Toc236776229" w:history="1">
            <w:r w:rsidR="004D0686" w:rsidRPr="004D0686">
              <w:rPr>
                <w:rStyle w:val="Hyperlink"/>
                <w:rFonts w:ascii="Arial" w:hAnsi="Arial" w:cs="Arial"/>
                <w:noProof/>
                <w:szCs w:val="24"/>
              </w:rPr>
              <w:t>VRIO Analysis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_Toc236776229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14</w:t>
            </w:r>
            <w:r w:rsidR="004D0686" w:rsidRPr="004D0686">
              <w:rPr>
                <w:rFonts w:ascii="Arial" w:hAnsi="Arial" w:cs="Arial"/>
                <w:noProof/>
                <w:webHidden/>
                <w:szCs w:val="24"/>
              </w:rPr>
              <w:fldChar w:fldCharType="end"/>
            </w:r>
          </w:hyperlink>
        </w:p>
        <w:p w14:paraId="68FDF7C3" w14:textId="1FF30F64" w:rsidR="004D0686" w:rsidRPr="004D0686" w:rsidRDefault="008E3EEF">
          <w:pPr>
            <w:pStyle w:val="TOC2"/>
            <w:tabs>
              <w:tab w:val="right" w:leader="dot" w:pos="9016"/>
            </w:tabs>
            <w:rPr>
              <w:rFonts w:ascii="Arial" w:hAnsi="Arial" w:cs="Arial"/>
              <w:noProof/>
              <w:szCs w:val="24"/>
            </w:rPr>
          </w:pPr>
          <w:hyperlink w:anchor="_Toc236776230" w:history="1">
            <w:r w:rsidR="004D0686" w:rsidRPr="004D0686">
              <w:rPr>
                <w:rStyle w:val="Hyperlink"/>
                <w:rFonts w:ascii="Arial" w:hAnsi="Arial" w:cs="Arial"/>
                <w:noProof/>
                <w:szCs w:val="24"/>
              </w:rPr>
              <w:t>Internal Strategic Implications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_Toc236776230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15</w:t>
            </w:r>
            <w:r w:rsidR="004D0686" w:rsidRPr="004D0686">
              <w:rPr>
                <w:rFonts w:ascii="Arial" w:hAnsi="Arial" w:cs="Arial"/>
                <w:noProof/>
                <w:webHidden/>
                <w:szCs w:val="24"/>
              </w:rPr>
              <w:fldChar w:fldCharType="end"/>
            </w:r>
          </w:hyperlink>
        </w:p>
        <w:p w14:paraId="7216EF52" w14:textId="4E428F47" w:rsidR="004D0686" w:rsidRPr="004D0686" w:rsidRDefault="008E3EEF">
          <w:pPr>
            <w:pStyle w:val="TOC2"/>
            <w:tabs>
              <w:tab w:val="right" w:leader="dot" w:pos="9016"/>
            </w:tabs>
            <w:rPr>
              <w:rFonts w:ascii="Arial" w:hAnsi="Arial" w:cs="Arial"/>
              <w:noProof/>
              <w:szCs w:val="24"/>
            </w:rPr>
          </w:pPr>
          <w:hyperlink w:anchor="_Toc236776231" w:history="1">
            <w:r w:rsidR="004D0686" w:rsidRPr="004D0686">
              <w:rPr>
                <w:rStyle w:val="Hyperlink"/>
                <w:rFonts w:ascii="Arial" w:hAnsi="Arial" w:cs="Arial"/>
                <w:noProof/>
                <w:szCs w:val="24"/>
              </w:rPr>
              <w:t>3.5 Strategic Diagnosis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_Toc236776231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16</w:t>
            </w:r>
            <w:r w:rsidR="004D0686" w:rsidRPr="004D0686">
              <w:rPr>
                <w:rFonts w:ascii="Arial" w:hAnsi="Arial" w:cs="Arial"/>
                <w:noProof/>
                <w:webHidden/>
                <w:szCs w:val="24"/>
              </w:rPr>
              <w:fldChar w:fldCharType="end"/>
            </w:r>
          </w:hyperlink>
        </w:p>
        <w:p w14:paraId="74E803D0" w14:textId="34DA567E" w:rsidR="004D0686" w:rsidRPr="004D0686" w:rsidRDefault="008E3EEF">
          <w:pPr>
            <w:pStyle w:val="TOC2"/>
            <w:tabs>
              <w:tab w:val="right" w:leader="dot" w:pos="9016"/>
            </w:tabs>
            <w:rPr>
              <w:rFonts w:ascii="Arial" w:hAnsi="Arial" w:cs="Arial"/>
              <w:noProof/>
              <w:szCs w:val="24"/>
            </w:rPr>
          </w:pPr>
          <w:hyperlink w:anchor="_Toc236776232" w:history="1">
            <w:r w:rsidR="004D0686" w:rsidRPr="004D0686">
              <w:rPr>
                <w:rStyle w:val="Hyperlink"/>
                <w:rFonts w:ascii="Arial" w:hAnsi="Arial" w:cs="Arial"/>
                <w:noProof/>
                <w:szCs w:val="24"/>
              </w:rPr>
              <w:t>SWOT Matrix</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_Toc236776232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16</w:t>
            </w:r>
            <w:r w:rsidR="004D0686" w:rsidRPr="004D0686">
              <w:rPr>
                <w:rFonts w:ascii="Arial" w:hAnsi="Arial" w:cs="Arial"/>
                <w:noProof/>
                <w:webHidden/>
                <w:szCs w:val="24"/>
              </w:rPr>
              <w:fldChar w:fldCharType="end"/>
            </w:r>
          </w:hyperlink>
        </w:p>
        <w:p w14:paraId="03E7397A" w14:textId="03FD28DF" w:rsidR="004D0686" w:rsidRPr="004D0686" w:rsidRDefault="008E3EEF">
          <w:pPr>
            <w:pStyle w:val="TOC2"/>
            <w:tabs>
              <w:tab w:val="right" w:leader="dot" w:pos="9016"/>
            </w:tabs>
            <w:rPr>
              <w:rFonts w:ascii="Arial" w:hAnsi="Arial" w:cs="Arial"/>
              <w:noProof/>
              <w:szCs w:val="24"/>
            </w:rPr>
          </w:pPr>
          <w:hyperlink w:anchor="_Toc236776233" w:history="1">
            <w:r w:rsidR="004D0686" w:rsidRPr="004D0686">
              <w:rPr>
                <w:rStyle w:val="Hyperlink"/>
                <w:rFonts w:ascii="Arial" w:hAnsi="Arial" w:cs="Arial"/>
                <w:noProof/>
                <w:szCs w:val="24"/>
              </w:rPr>
              <w:t>Strategic Interpretation of SWOT</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_Toc236776233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17</w:t>
            </w:r>
            <w:r w:rsidR="004D0686" w:rsidRPr="004D0686">
              <w:rPr>
                <w:rFonts w:ascii="Arial" w:hAnsi="Arial" w:cs="Arial"/>
                <w:noProof/>
                <w:webHidden/>
                <w:szCs w:val="24"/>
              </w:rPr>
              <w:fldChar w:fldCharType="end"/>
            </w:r>
          </w:hyperlink>
        </w:p>
        <w:p w14:paraId="5894BAFC" w14:textId="3105F916" w:rsidR="004D0686" w:rsidRPr="004D0686" w:rsidRDefault="008E3EEF">
          <w:pPr>
            <w:pStyle w:val="TOC2"/>
            <w:tabs>
              <w:tab w:val="right" w:leader="dot" w:pos="9016"/>
            </w:tabs>
            <w:rPr>
              <w:rFonts w:ascii="Arial" w:hAnsi="Arial" w:cs="Arial"/>
              <w:noProof/>
              <w:szCs w:val="24"/>
            </w:rPr>
          </w:pPr>
          <w:hyperlink w:anchor="_Toc236776234" w:history="1">
            <w:r w:rsidR="004D0686" w:rsidRPr="004D0686">
              <w:rPr>
                <w:rStyle w:val="Hyperlink"/>
                <w:rFonts w:ascii="Arial" w:hAnsi="Arial" w:cs="Arial"/>
                <w:noProof/>
                <w:szCs w:val="24"/>
              </w:rPr>
              <w:t>4. Comprehensive and Holistic Evaluation</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_Toc236776234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17</w:t>
            </w:r>
            <w:r w:rsidR="004D0686" w:rsidRPr="004D0686">
              <w:rPr>
                <w:rFonts w:ascii="Arial" w:hAnsi="Arial" w:cs="Arial"/>
                <w:noProof/>
                <w:webHidden/>
                <w:szCs w:val="24"/>
              </w:rPr>
              <w:fldChar w:fldCharType="end"/>
            </w:r>
          </w:hyperlink>
        </w:p>
        <w:p w14:paraId="5CD64231" w14:textId="02897501" w:rsidR="004D0686" w:rsidRPr="004D0686" w:rsidRDefault="008E3EEF">
          <w:pPr>
            <w:pStyle w:val="TOC2"/>
            <w:tabs>
              <w:tab w:val="right" w:leader="dot" w:pos="9016"/>
            </w:tabs>
            <w:rPr>
              <w:rFonts w:ascii="Arial" w:hAnsi="Arial" w:cs="Arial"/>
              <w:noProof/>
              <w:szCs w:val="24"/>
            </w:rPr>
          </w:pPr>
          <w:hyperlink w:anchor="_Toc236776235" w:history="1">
            <w:r w:rsidR="004D0686" w:rsidRPr="004D0686">
              <w:rPr>
                <w:rStyle w:val="Hyperlink"/>
                <w:rFonts w:ascii="Arial" w:hAnsi="Arial" w:cs="Arial"/>
                <w:noProof/>
                <w:szCs w:val="24"/>
              </w:rPr>
              <w:t>4.1 Corporate Social Responsibility (CSR)</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_Toc236776235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17</w:t>
            </w:r>
            <w:r w:rsidR="004D0686" w:rsidRPr="004D0686">
              <w:rPr>
                <w:rFonts w:ascii="Arial" w:hAnsi="Arial" w:cs="Arial"/>
                <w:noProof/>
                <w:webHidden/>
                <w:szCs w:val="24"/>
              </w:rPr>
              <w:fldChar w:fldCharType="end"/>
            </w:r>
          </w:hyperlink>
        </w:p>
        <w:p w14:paraId="22B63A2E" w14:textId="1AF44070" w:rsidR="004D0686" w:rsidRPr="004D0686" w:rsidRDefault="008E3EEF">
          <w:pPr>
            <w:pStyle w:val="TOC2"/>
            <w:tabs>
              <w:tab w:val="right" w:leader="dot" w:pos="9016"/>
            </w:tabs>
            <w:rPr>
              <w:rFonts w:ascii="Arial" w:hAnsi="Arial" w:cs="Arial"/>
              <w:noProof/>
              <w:szCs w:val="24"/>
            </w:rPr>
          </w:pPr>
          <w:hyperlink w:anchor="_Toc236776236" w:history="1">
            <w:r w:rsidR="004D0686" w:rsidRPr="004D0686">
              <w:rPr>
                <w:rStyle w:val="Hyperlink"/>
                <w:rFonts w:ascii="Arial" w:hAnsi="Arial" w:cs="Arial"/>
                <w:noProof/>
                <w:szCs w:val="24"/>
              </w:rPr>
              <w:t>CSR Alignment with Business Objectives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_Toc236776236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18</w:t>
            </w:r>
            <w:r w:rsidR="004D0686" w:rsidRPr="004D0686">
              <w:rPr>
                <w:rFonts w:ascii="Arial" w:hAnsi="Arial" w:cs="Arial"/>
                <w:noProof/>
                <w:webHidden/>
                <w:szCs w:val="24"/>
              </w:rPr>
              <w:fldChar w:fldCharType="end"/>
            </w:r>
          </w:hyperlink>
        </w:p>
        <w:p w14:paraId="43E2AB29" w14:textId="14D80AAC" w:rsidR="004D0686" w:rsidRPr="004D0686" w:rsidRDefault="008E3EEF">
          <w:pPr>
            <w:pStyle w:val="TOC2"/>
            <w:tabs>
              <w:tab w:val="right" w:leader="dot" w:pos="9016"/>
            </w:tabs>
            <w:rPr>
              <w:rFonts w:ascii="Arial" w:hAnsi="Arial" w:cs="Arial"/>
              <w:noProof/>
              <w:szCs w:val="24"/>
            </w:rPr>
          </w:pPr>
          <w:hyperlink w:anchor="_Toc236776237" w:history="1">
            <w:r w:rsidR="004D0686" w:rsidRPr="004D0686">
              <w:rPr>
                <w:rStyle w:val="Hyperlink"/>
                <w:rFonts w:ascii="Arial" w:hAnsi="Arial" w:cs="Arial"/>
                <w:noProof/>
                <w:szCs w:val="24"/>
              </w:rPr>
              <w:t>Critical Evaluation</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_Toc236776237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18</w:t>
            </w:r>
            <w:r w:rsidR="004D0686" w:rsidRPr="004D0686">
              <w:rPr>
                <w:rFonts w:ascii="Arial" w:hAnsi="Arial" w:cs="Arial"/>
                <w:noProof/>
                <w:webHidden/>
                <w:szCs w:val="24"/>
              </w:rPr>
              <w:fldChar w:fldCharType="end"/>
            </w:r>
          </w:hyperlink>
        </w:p>
        <w:p w14:paraId="69CD236D" w14:textId="004907DF" w:rsidR="004D0686" w:rsidRPr="004D0686" w:rsidRDefault="008E3EEF">
          <w:pPr>
            <w:pStyle w:val="TOC2"/>
            <w:tabs>
              <w:tab w:val="right" w:leader="dot" w:pos="9016"/>
            </w:tabs>
            <w:rPr>
              <w:rFonts w:ascii="Arial" w:hAnsi="Arial" w:cs="Arial"/>
              <w:noProof/>
              <w:szCs w:val="24"/>
            </w:rPr>
          </w:pPr>
          <w:hyperlink w:anchor="_Toc236776238" w:history="1">
            <w:r w:rsidR="004D0686" w:rsidRPr="004D0686">
              <w:rPr>
                <w:rStyle w:val="Hyperlink"/>
                <w:rFonts w:ascii="Arial" w:hAnsi="Arial" w:cs="Arial"/>
                <w:noProof/>
                <w:szCs w:val="24"/>
              </w:rPr>
              <w:t>4.2 Balanced Scorecard</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_Toc236776238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20</w:t>
            </w:r>
            <w:r w:rsidR="004D0686" w:rsidRPr="004D0686">
              <w:rPr>
                <w:rFonts w:ascii="Arial" w:hAnsi="Arial" w:cs="Arial"/>
                <w:noProof/>
                <w:webHidden/>
                <w:szCs w:val="24"/>
              </w:rPr>
              <w:fldChar w:fldCharType="end"/>
            </w:r>
          </w:hyperlink>
        </w:p>
        <w:p w14:paraId="7DD4FD23" w14:textId="30B627FF" w:rsidR="004D0686" w:rsidRPr="004D0686" w:rsidRDefault="008E3EEF">
          <w:pPr>
            <w:pStyle w:val="TOC2"/>
            <w:tabs>
              <w:tab w:val="right" w:leader="dot" w:pos="9016"/>
            </w:tabs>
            <w:rPr>
              <w:rFonts w:ascii="Arial" w:hAnsi="Arial" w:cs="Arial"/>
              <w:noProof/>
              <w:szCs w:val="24"/>
            </w:rPr>
          </w:pPr>
          <w:hyperlink w:anchor="_Toc236776239" w:history="1">
            <w:r w:rsidR="004D0686" w:rsidRPr="004D0686">
              <w:rPr>
                <w:rStyle w:val="Hyperlink"/>
                <w:rFonts w:ascii="Arial" w:hAnsi="Arial" w:cs="Arial"/>
                <w:noProof/>
                <w:szCs w:val="24"/>
              </w:rPr>
              <w:t>Financial perspective</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_Toc236776239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21</w:t>
            </w:r>
            <w:r w:rsidR="004D0686" w:rsidRPr="004D0686">
              <w:rPr>
                <w:rFonts w:ascii="Arial" w:hAnsi="Arial" w:cs="Arial"/>
                <w:noProof/>
                <w:webHidden/>
                <w:szCs w:val="24"/>
              </w:rPr>
              <w:fldChar w:fldCharType="end"/>
            </w:r>
          </w:hyperlink>
        </w:p>
        <w:p w14:paraId="6F00212C" w14:textId="63C42E0D" w:rsidR="004D0686" w:rsidRPr="004D0686" w:rsidRDefault="008E3EEF">
          <w:pPr>
            <w:pStyle w:val="TOC2"/>
            <w:tabs>
              <w:tab w:val="right" w:leader="dot" w:pos="9016"/>
            </w:tabs>
            <w:rPr>
              <w:rFonts w:ascii="Arial" w:hAnsi="Arial" w:cs="Arial"/>
              <w:noProof/>
              <w:szCs w:val="24"/>
            </w:rPr>
          </w:pPr>
          <w:hyperlink w:anchor="_Toc236776240" w:history="1">
            <w:r w:rsidR="004D0686" w:rsidRPr="004D0686">
              <w:rPr>
                <w:rStyle w:val="Hyperlink"/>
                <w:rFonts w:ascii="Arial" w:hAnsi="Arial" w:cs="Arial"/>
                <w:noProof/>
                <w:szCs w:val="24"/>
              </w:rPr>
              <w:t>Customer Perspective</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_Toc236776240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21</w:t>
            </w:r>
            <w:r w:rsidR="004D0686" w:rsidRPr="004D0686">
              <w:rPr>
                <w:rFonts w:ascii="Arial" w:hAnsi="Arial" w:cs="Arial"/>
                <w:noProof/>
                <w:webHidden/>
                <w:szCs w:val="24"/>
              </w:rPr>
              <w:fldChar w:fldCharType="end"/>
            </w:r>
          </w:hyperlink>
        </w:p>
        <w:p w14:paraId="73057FC1" w14:textId="20FEE682" w:rsidR="004D0686" w:rsidRPr="004D0686" w:rsidRDefault="008E3EEF">
          <w:pPr>
            <w:pStyle w:val="TOC2"/>
            <w:tabs>
              <w:tab w:val="right" w:leader="dot" w:pos="9016"/>
            </w:tabs>
            <w:rPr>
              <w:rFonts w:ascii="Arial" w:hAnsi="Arial" w:cs="Arial"/>
              <w:noProof/>
              <w:szCs w:val="24"/>
            </w:rPr>
          </w:pPr>
          <w:hyperlink w:anchor="_Toc236776241" w:history="1">
            <w:r w:rsidR="004D0686" w:rsidRPr="004D0686">
              <w:rPr>
                <w:rStyle w:val="Hyperlink"/>
                <w:rFonts w:ascii="Arial" w:hAnsi="Arial" w:cs="Arial"/>
                <w:noProof/>
                <w:szCs w:val="24"/>
              </w:rPr>
              <w:t>Internal Business Process Perspective</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_Toc236776241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21</w:t>
            </w:r>
            <w:r w:rsidR="004D0686" w:rsidRPr="004D0686">
              <w:rPr>
                <w:rFonts w:ascii="Arial" w:hAnsi="Arial" w:cs="Arial"/>
                <w:noProof/>
                <w:webHidden/>
                <w:szCs w:val="24"/>
              </w:rPr>
              <w:fldChar w:fldCharType="end"/>
            </w:r>
          </w:hyperlink>
        </w:p>
        <w:p w14:paraId="3503092C" w14:textId="735FE03A" w:rsidR="004D0686" w:rsidRPr="004D0686" w:rsidRDefault="008E3EEF">
          <w:pPr>
            <w:pStyle w:val="TOC2"/>
            <w:tabs>
              <w:tab w:val="right" w:leader="dot" w:pos="9016"/>
            </w:tabs>
            <w:rPr>
              <w:rFonts w:ascii="Arial" w:hAnsi="Arial" w:cs="Arial"/>
              <w:noProof/>
              <w:szCs w:val="24"/>
            </w:rPr>
          </w:pPr>
          <w:hyperlink w:anchor="_Toc236776242" w:history="1">
            <w:r w:rsidR="004D0686" w:rsidRPr="004D0686">
              <w:rPr>
                <w:rStyle w:val="Hyperlink"/>
                <w:rFonts w:ascii="Arial" w:hAnsi="Arial" w:cs="Arial"/>
                <w:noProof/>
                <w:szCs w:val="24"/>
              </w:rPr>
              <w:t>Learning And Growth Perspective</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_Toc236776242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22</w:t>
            </w:r>
            <w:r w:rsidR="004D0686" w:rsidRPr="004D0686">
              <w:rPr>
                <w:rFonts w:ascii="Arial" w:hAnsi="Arial" w:cs="Arial"/>
                <w:noProof/>
                <w:webHidden/>
                <w:szCs w:val="24"/>
              </w:rPr>
              <w:fldChar w:fldCharType="end"/>
            </w:r>
          </w:hyperlink>
        </w:p>
        <w:p w14:paraId="5083B2C7" w14:textId="25B520E8" w:rsidR="004D0686" w:rsidRPr="004D0686" w:rsidRDefault="008E3EEF">
          <w:pPr>
            <w:pStyle w:val="TOC2"/>
            <w:tabs>
              <w:tab w:val="right" w:leader="dot" w:pos="9016"/>
            </w:tabs>
            <w:rPr>
              <w:rFonts w:ascii="Arial" w:hAnsi="Arial" w:cs="Arial"/>
              <w:noProof/>
              <w:szCs w:val="24"/>
            </w:rPr>
          </w:pPr>
          <w:hyperlink w:anchor="_Toc236776243" w:history="1">
            <w:r w:rsidR="004D0686" w:rsidRPr="004D0686">
              <w:rPr>
                <w:rStyle w:val="Hyperlink"/>
                <w:rFonts w:ascii="Arial" w:hAnsi="Arial" w:cs="Arial"/>
                <w:noProof/>
                <w:szCs w:val="24"/>
              </w:rPr>
              <w:t>5. Strategic Choices and Implementation</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_Toc236776243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22</w:t>
            </w:r>
            <w:r w:rsidR="004D0686" w:rsidRPr="004D0686">
              <w:rPr>
                <w:rFonts w:ascii="Arial" w:hAnsi="Arial" w:cs="Arial"/>
                <w:noProof/>
                <w:webHidden/>
                <w:szCs w:val="24"/>
              </w:rPr>
              <w:fldChar w:fldCharType="end"/>
            </w:r>
          </w:hyperlink>
        </w:p>
        <w:p w14:paraId="676E554E" w14:textId="3ECDB246" w:rsidR="004D0686" w:rsidRPr="004D0686" w:rsidRDefault="008E3EEF">
          <w:pPr>
            <w:pStyle w:val="TOC2"/>
            <w:tabs>
              <w:tab w:val="right" w:leader="dot" w:pos="9016"/>
            </w:tabs>
            <w:rPr>
              <w:rFonts w:ascii="Arial" w:hAnsi="Arial" w:cs="Arial"/>
              <w:noProof/>
              <w:szCs w:val="24"/>
            </w:rPr>
          </w:pPr>
          <w:hyperlink w:anchor="_Toc236776244" w:history="1">
            <w:r w:rsidR="004D0686" w:rsidRPr="004D0686">
              <w:rPr>
                <w:rStyle w:val="Hyperlink"/>
                <w:rFonts w:ascii="Arial" w:hAnsi="Arial" w:cs="Arial"/>
                <w:noProof/>
                <w:szCs w:val="24"/>
              </w:rPr>
              <w:t>5.1 Strategic Alternatives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_Toc236776244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22</w:t>
            </w:r>
            <w:r w:rsidR="004D0686" w:rsidRPr="004D0686">
              <w:rPr>
                <w:rFonts w:ascii="Arial" w:hAnsi="Arial" w:cs="Arial"/>
                <w:noProof/>
                <w:webHidden/>
                <w:szCs w:val="24"/>
              </w:rPr>
              <w:fldChar w:fldCharType="end"/>
            </w:r>
          </w:hyperlink>
        </w:p>
        <w:p w14:paraId="0ECB8973" w14:textId="61BFF8BF" w:rsidR="004D0686" w:rsidRPr="004D0686" w:rsidRDefault="008E3EEF">
          <w:pPr>
            <w:pStyle w:val="TOC2"/>
            <w:tabs>
              <w:tab w:val="right" w:leader="dot" w:pos="9016"/>
            </w:tabs>
            <w:rPr>
              <w:rFonts w:ascii="Arial" w:hAnsi="Arial" w:cs="Arial"/>
              <w:noProof/>
              <w:szCs w:val="24"/>
            </w:rPr>
          </w:pPr>
          <w:hyperlink w:anchor="_Toc236776245" w:history="1">
            <w:r w:rsidR="004D0686" w:rsidRPr="004D0686">
              <w:rPr>
                <w:rStyle w:val="Hyperlink"/>
                <w:rFonts w:ascii="Arial" w:hAnsi="Arial" w:cs="Arial"/>
                <w:noProof/>
                <w:szCs w:val="24"/>
              </w:rPr>
              <w:t>Option 1 - Premium Differentiation Strategy</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_Toc236776245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23</w:t>
            </w:r>
            <w:r w:rsidR="004D0686" w:rsidRPr="004D0686">
              <w:rPr>
                <w:rFonts w:ascii="Arial" w:hAnsi="Arial" w:cs="Arial"/>
                <w:noProof/>
                <w:webHidden/>
                <w:szCs w:val="24"/>
              </w:rPr>
              <w:fldChar w:fldCharType="end"/>
            </w:r>
          </w:hyperlink>
        </w:p>
        <w:p w14:paraId="3164BAC6" w14:textId="276BFC03" w:rsidR="004D0686" w:rsidRPr="004D0686" w:rsidRDefault="008E3EEF">
          <w:pPr>
            <w:pStyle w:val="TOC2"/>
            <w:tabs>
              <w:tab w:val="right" w:leader="dot" w:pos="9016"/>
            </w:tabs>
            <w:rPr>
              <w:rFonts w:ascii="Arial" w:hAnsi="Arial" w:cs="Arial"/>
              <w:noProof/>
              <w:szCs w:val="24"/>
            </w:rPr>
          </w:pPr>
          <w:hyperlink w:anchor="_Toc236776246" w:history="1">
            <w:r w:rsidR="004D0686" w:rsidRPr="004D0686">
              <w:rPr>
                <w:rStyle w:val="Hyperlink"/>
                <w:rFonts w:ascii="Arial" w:hAnsi="Arial" w:cs="Arial"/>
                <w:noProof/>
                <w:szCs w:val="24"/>
              </w:rPr>
              <w:t>Option 2 - Sustainable Product Innovation Strategy</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_Toc236776246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23</w:t>
            </w:r>
            <w:r w:rsidR="004D0686" w:rsidRPr="004D0686">
              <w:rPr>
                <w:rFonts w:ascii="Arial" w:hAnsi="Arial" w:cs="Arial"/>
                <w:noProof/>
                <w:webHidden/>
                <w:szCs w:val="24"/>
              </w:rPr>
              <w:fldChar w:fldCharType="end"/>
            </w:r>
          </w:hyperlink>
        </w:p>
        <w:p w14:paraId="005E080A" w14:textId="193EB2D8" w:rsidR="004D0686" w:rsidRPr="004D0686" w:rsidRDefault="008E3EEF">
          <w:pPr>
            <w:pStyle w:val="TOC2"/>
            <w:tabs>
              <w:tab w:val="right" w:leader="dot" w:pos="9016"/>
            </w:tabs>
            <w:rPr>
              <w:rFonts w:ascii="Arial" w:hAnsi="Arial" w:cs="Arial"/>
              <w:noProof/>
              <w:szCs w:val="24"/>
            </w:rPr>
          </w:pPr>
          <w:hyperlink w:anchor="_Toc236776247" w:history="1">
            <w:r w:rsidR="004D0686" w:rsidRPr="004D0686">
              <w:rPr>
                <w:rStyle w:val="Hyperlink"/>
                <w:rFonts w:ascii="Arial" w:eastAsia="Times New Roman" w:hAnsi="Arial" w:cs="Arial"/>
                <w:noProof/>
                <w:szCs w:val="24"/>
              </w:rPr>
              <w:t>Option 3 - Digital Consumer Engagement Strategy</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_Toc236776247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23</w:t>
            </w:r>
            <w:r w:rsidR="004D0686" w:rsidRPr="004D0686">
              <w:rPr>
                <w:rFonts w:ascii="Arial" w:hAnsi="Arial" w:cs="Arial"/>
                <w:noProof/>
                <w:webHidden/>
                <w:szCs w:val="24"/>
              </w:rPr>
              <w:fldChar w:fldCharType="end"/>
            </w:r>
          </w:hyperlink>
        </w:p>
        <w:p w14:paraId="32670D66" w14:textId="143B8A47" w:rsidR="004D0686" w:rsidRPr="004D0686" w:rsidRDefault="008E3EEF">
          <w:pPr>
            <w:pStyle w:val="TOC2"/>
            <w:tabs>
              <w:tab w:val="right" w:leader="dot" w:pos="9016"/>
            </w:tabs>
            <w:rPr>
              <w:rFonts w:ascii="Arial" w:hAnsi="Arial" w:cs="Arial"/>
              <w:noProof/>
              <w:szCs w:val="24"/>
            </w:rPr>
          </w:pPr>
          <w:hyperlink w:anchor="_Toc236776248" w:history="1">
            <w:r w:rsidR="004D0686" w:rsidRPr="004D0686">
              <w:rPr>
                <w:rStyle w:val="Hyperlink"/>
                <w:rFonts w:ascii="Arial" w:hAnsi="Arial" w:cs="Arial"/>
                <w:noProof/>
                <w:szCs w:val="24"/>
              </w:rPr>
              <w:t>5.2 Evaluation of Strategic Alternatives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_Toc236776248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24</w:t>
            </w:r>
            <w:r w:rsidR="004D0686" w:rsidRPr="004D0686">
              <w:rPr>
                <w:rFonts w:ascii="Arial" w:hAnsi="Arial" w:cs="Arial"/>
                <w:noProof/>
                <w:webHidden/>
                <w:szCs w:val="24"/>
              </w:rPr>
              <w:fldChar w:fldCharType="end"/>
            </w:r>
          </w:hyperlink>
        </w:p>
        <w:p w14:paraId="3679CA83" w14:textId="3B392E68" w:rsidR="004D0686" w:rsidRPr="004D0686" w:rsidRDefault="008E3EEF">
          <w:pPr>
            <w:pStyle w:val="TOC2"/>
            <w:tabs>
              <w:tab w:val="right" w:leader="dot" w:pos="9016"/>
            </w:tabs>
            <w:rPr>
              <w:rFonts w:ascii="Arial" w:hAnsi="Arial" w:cs="Arial"/>
              <w:noProof/>
              <w:szCs w:val="24"/>
            </w:rPr>
          </w:pPr>
          <w:hyperlink w:anchor="_Toc236776249" w:history="1">
            <w:r w:rsidR="004D0686" w:rsidRPr="004D0686">
              <w:rPr>
                <w:rStyle w:val="Hyperlink"/>
                <w:rFonts w:ascii="Arial" w:hAnsi="Arial" w:cs="Arial"/>
                <w:noProof/>
                <w:szCs w:val="24"/>
              </w:rPr>
              <w:t>Porter's Generic Strategies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_Toc236776249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24</w:t>
            </w:r>
            <w:r w:rsidR="004D0686" w:rsidRPr="004D0686">
              <w:rPr>
                <w:rFonts w:ascii="Arial" w:hAnsi="Arial" w:cs="Arial"/>
                <w:noProof/>
                <w:webHidden/>
                <w:szCs w:val="24"/>
              </w:rPr>
              <w:fldChar w:fldCharType="end"/>
            </w:r>
          </w:hyperlink>
        </w:p>
        <w:p w14:paraId="795ADE40" w14:textId="33EB2C29" w:rsidR="004D0686" w:rsidRPr="004D0686" w:rsidRDefault="008E3EEF">
          <w:pPr>
            <w:pStyle w:val="TOC2"/>
            <w:tabs>
              <w:tab w:val="right" w:leader="dot" w:pos="9016"/>
            </w:tabs>
            <w:rPr>
              <w:rFonts w:ascii="Arial" w:hAnsi="Arial" w:cs="Arial"/>
              <w:noProof/>
              <w:szCs w:val="24"/>
            </w:rPr>
          </w:pPr>
          <w:hyperlink w:anchor="_Toc236776250" w:history="1">
            <w:r w:rsidR="004D0686" w:rsidRPr="004D0686">
              <w:rPr>
                <w:rStyle w:val="Hyperlink"/>
                <w:rFonts w:ascii="Arial" w:hAnsi="Arial" w:cs="Arial"/>
                <w:noProof/>
                <w:szCs w:val="24"/>
              </w:rPr>
              <w:t>Ansoff Matrix</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_Toc236776250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24</w:t>
            </w:r>
            <w:r w:rsidR="004D0686" w:rsidRPr="004D0686">
              <w:rPr>
                <w:rFonts w:ascii="Arial" w:hAnsi="Arial" w:cs="Arial"/>
                <w:noProof/>
                <w:webHidden/>
                <w:szCs w:val="24"/>
              </w:rPr>
              <w:fldChar w:fldCharType="end"/>
            </w:r>
          </w:hyperlink>
        </w:p>
        <w:p w14:paraId="2E0D3536" w14:textId="7A188DA3" w:rsidR="004D0686" w:rsidRPr="004D0686" w:rsidRDefault="008E3EEF">
          <w:pPr>
            <w:pStyle w:val="TOC2"/>
            <w:tabs>
              <w:tab w:val="right" w:leader="dot" w:pos="9016"/>
            </w:tabs>
            <w:rPr>
              <w:rFonts w:ascii="Arial" w:hAnsi="Arial" w:cs="Arial"/>
              <w:noProof/>
              <w:szCs w:val="24"/>
            </w:rPr>
          </w:pPr>
          <w:hyperlink w:anchor="_Toc236776251" w:history="1">
            <w:r w:rsidR="004D0686" w:rsidRPr="004D0686">
              <w:rPr>
                <w:rStyle w:val="Hyperlink"/>
                <w:rFonts w:ascii="Arial" w:hAnsi="Arial" w:cs="Arial"/>
                <w:noProof/>
                <w:szCs w:val="24"/>
              </w:rPr>
              <w:t>BCG Matrix</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_Toc236776251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26</w:t>
            </w:r>
            <w:r w:rsidR="004D0686" w:rsidRPr="004D0686">
              <w:rPr>
                <w:rFonts w:ascii="Arial" w:hAnsi="Arial" w:cs="Arial"/>
                <w:noProof/>
                <w:webHidden/>
                <w:szCs w:val="24"/>
              </w:rPr>
              <w:fldChar w:fldCharType="end"/>
            </w:r>
          </w:hyperlink>
        </w:p>
        <w:p w14:paraId="4BBF2B1D" w14:textId="3693A4FF" w:rsidR="004D0686" w:rsidRPr="004D0686" w:rsidRDefault="008E3EEF">
          <w:pPr>
            <w:pStyle w:val="TOC2"/>
            <w:tabs>
              <w:tab w:val="right" w:leader="dot" w:pos="9016"/>
            </w:tabs>
            <w:rPr>
              <w:rFonts w:ascii="Arial" w:hAnsi="Arial" w:cs="Arial"/>
              <w:noProof/>
              <w:szCs w:val="24"/>
            </w:rPr>
          </w:pPr>
          <w:hyperlink w:anchor="_Toc236776252" w:history="1">
            <w:r w:rsidR="004D0686" w:rsidRPr="004D0686">
              <w:rPr>
                <w:rStyle w:val="Hyperlink"/>
                <w:rFonts w:ascii="Arial" w:hAnsi="Arial" w:cs="Arial"/>
                <w:noProof/>
                <w:szCs w:val="24"/>
              </w:rPr>
              <w:t>SAFe Evaluation Matrix</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_Toc236776252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26</w:t>
            </w:r>
            <w:r w:rsidR="004D0686" w:rsidRPr="004D0686">
              <w:rPr>
                <w:rFonts w:ascii="Arial" w:hAnsi="Arial" w:cs="Arial"/>
                <w:noProof/>
                <w:webHidden/>
                <w:szCs w:val="24"/>
              </w:rPr>
              <w:fldChar w:fldCharType="end"/>
            </w:r>
          </w:hyperlink>
        </w:p>
        <w:p w14:paraId="7FE5D0D9" w14:textId="47FA4342" w:rsidR="004D0686" w:rsidRPr="004D0686" w:rsidRDefault="008E3EEF">
          <w:pPr>
            <w:pStyle w:val="TOC2"/>
            <w:tabs>
              <w:tab w:val="right" w:leader="dot" w:pos="9016"/>
            </w:tabs>
            <w:rPr>
              <w:rFonts w:ascii="Arial" w:hAnsi="Arial" w:cs="Arial"/>
              <w:noProof/>
              <w:szCs w:val="24"/>
            </w:rPr>
          </w:pPr>
          <w:hyperlink w:anchor="_Toc236776253" w:history="1">
            <w:r w:rsidR="004D0686" w:rsidRPr="004D0686">
              <w:rPr>
                <w:rStyle w:val="Hyperlink"/>
                <w:rFonts w:ascii="Arial" w:eastAsia="Times New Roman" w:hAnsi="Arial" w:cs="Arial"/>
                <w:noProof/>
                <w:szCs w:val="24"/>
              </w:rPr>
              <w:t>5.3 Recommended Strategy and Implementation</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_Toc236776253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27</w:t>
            </w:r>
            <w:r w:rsidR="004D0686" w:rsidRPr="004D0686">
              <w:rPr>
                <w:rFonts w:ascii="Arial" w:hAnsi="Arial" w:cs="Arial"/>
                <w:noProof/>
                <w:webHidden/>
                <w:szCs w:val="24"/>
              </w:rPr>
              <w:fldChar w:fldCharType="end"/>
            </w:r>
          </w:hyperlink>
        </w:p>
        <w:p w14:paraId="2E8A0274" w14:textId="16DCC2D1" w:rsidR="004D0686" w:rsidRPr="004D0686" w:rsidRDefault="008E3EEF">
          <w:pPr>
            <w:pStyle w:val="TOC2"/>
            <w:tabs>
              <w:tab w:val="right" w:leader="dot" w:pos="9016"/>
            </w:tabs>
            <w:rPr>
              <w:rFonts w:ascii="Arial" w:hAnsi="Arial" w:cs="Arial"/>
              <w:noProof/>
              <w:szCs w:val="24"/>
            </w:rPr>
          </w:pPr>
          <w:hyperlink w:anchor="_Toc236776254" w:history="1">
            <w:r w:rsidR="004D0686" w:rsidRPr="004D0686">
              <w:rPr>
                <w:rStyle w:val="Hyperlink"/>
                <w:rFonts w:ascii="Arial" w:eastAsia="Times New Roman" w:hAnsi="Arial" w:cs="Arial"/>
                <w:noProof/>
                <w:szCs w:val="24"/>
              </w:rPr>
              <w:t>Recommended Strategy</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_Toc236776254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27</w:t>
            </w:r>
            <w:r w:rsidR="004D0686" w:rsidRPr="004D0686">
              <w:rPr>
                <w:rFonts w:ascii="Arial" w:hAnsi="Arial" w:cs="Arial"/>
                <w:noProof/>
                <w:webHidden/>
                <w:szCs w:val="24"/>
              </w:rPr>
              <w:fldChar w:fldCharType="end"/>
            </w:r>
          </w:hyperlink>
        </w:p>
        <w:p w14:paraId="7F8CEC16" w14:textId="2F7A8330" w:rsidR="004D0686" w:rsidRPr="004D0686" w:rsidRDefault="008E3EEF">
          <w:pPr>
            <w:pStyle w:val="TOC2"/>
            <w:tabs>
              <w:tab w:val="right" w:leader="dot" w:pos="9016"/>
            </w:tabs>
            <w:rPr>
              <w:rFonts w:ascii="Arial" w:hAnsi="Arial" w:cs="Arial"/>
              <w:noProof/>
              <w:szCs w:val="24"/>
            </w:rPr>
          </w:pPr>
          <w:hyperlink w:anchor="_Toc236776255" w:history="1">
            <w:r w:rsidR="004D0686" w:rsidRPr="004D0686">
              <w:rPr>
                <w:rStyle w:val="Hyperlink"/>
                <w:rFonts w:ascii="Arial" w:hAnsi="Arial" w:cs="Arial"/>
                <w:noProof/>
                <w:szCs w:val="24"/>
              </w:rPr>
              <w:t>Implementation Roadmap (2026</w:t>
            </w:r>
            <w:r w:rsidR="004D0686" w:rsidRPr="004D0686">
              <w:rPr>
                <w:rStyle w:val="Hyperlink"/>
                <w:rFonts w:ascii="Arial" w:hAnsi="Arial" w:cs="Arial"/>
                <w:i/>
                <w:iCs/>
                <w:noProof/>
                <w:szCs w:val="24"/>
              </w:rPr>
              <w:t>-</w:t>
            </w:r>
            <w:r w:rsidR="004D0686" w:rsidRPr="004D0686">
              <w:rPr>
                <w:rStyle w:val="Hyperlink"/>
                <w:rFonts w:ascii="Arial" w:hAnsi="Arial" w:cs="Arial"/>
                <w:noProof/>
                <w:szCs w:val="24"/>
              </w:rPr>
              <w:t>2030)</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_Toc236776255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27</w:t>
            </w:r>
            <w:r w:rsidR="004D0686" w:rsidRPr="004D0686">
              <w:rPr>
                <w:rFonts w:ascii="Arial" w:hAnsi="Arial" w:cs="Arial"/>
                <w:noProof/>
                <w:webHidden/>
                <w:szCs w:val="24"/>
              </w:rPr>
              <w:fldChar w:fldCharType="end"/>
            </w:r>
          </w:hyperlink>
        </w:p>
        <w:p w14:paraId="5C4A00ED" w14:textId="5D856208" w:rsidR="004D0686" w:rsidRPr="004D0686" w:rsidRDefault="008E3EEF">
          <w:pPr>
            <w:pStyle w:val="TOC2"/>
            <w:tabs>
              <w:tab w:val="right" w:leader="dot" w:pos="9016"/>
            </w:tabs>
            <w:rPr>
              <w:rFonts w:ascii="Arial" w:hAnsi="Arial" w:cs="Arial"/>
              <w:noProof/>
              <w:szCs w:val="24"/>
            </w:rPr>
          </w:pPr>
          <w:hyperlink w:anchor="_Toc236776256" w:history="1">
            <w:r w:rsidR="004D0686" w:rsidRPr="004D0686">
              <w:rPr>
                <w:rStyle w:val="Hyperlink"/>
                <w:rFonts w:ascii="Arial" w:hAnsi="Arial" w:cs="Arial"/>
                <w:noProof/>
                <w:szCs w:val="24"/>
              </w:rPr>
              <w:t>Implementation Challenges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_Toc236776256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28</w:t>
            </w:r>
            <w:r w:rsidR="004D0686" w:rsidRPr="004D0686">
              <w:rPr>
                <w:rFonts w:ascii="Arial" w:hAnsi="Arial" w:cs="Arial"/>
                <w:noProof/>
                <w:webHidden/>
                <w:szCs w:val="24"/>
              </w:rPr>
              <w:fldChar w:fldCharType="end"/>
            </w:r>
          </w:hyperlink>
        </w:p>
        <w:p w14:paraId="1E126488" w14:textId="0A115FB5" w:rsidR="004D0686" w:rsidRPr="004D0686" w:rsidRDefault="008E3EEF">
          <w:pPr>
            <w:pStyle w:val="TOC2"/>
            <w:tabs>
              <w:tab w:val="right" w:leader="dot" w:pos="9016"/>
            </w:tabs>
            <w:rPr>
              <w:rFonts w:ascii="Arial" w:hAnsi="Arial" w:cs="Arial"/>
              <w:noProof/>
              <w:szCs w:val="24"/>
            </w:rPr>
          </w:pPr>
          <w:hyperlink w:anchor="_Toc236776257" w:history="1">
            <w:r w:rsidR="004D0686" w:rsidRPr="004D0686">
              <w:rPr>
                <w:rStyle w:val="Hyperlink"/>
                <w:rFonts w:ascii="Arial" w:hAnsi="Arial" w:cs="Arial"/>
                <w:noProof/>
                <w:szCs w:val="24"/>
              </w:rPr>
              <w:t>Risk Mitigation Strategies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_Toc236776257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28</w:t>
            </w:r>
            <w:r w:rsidR="004D0686" w:rsidRPr="004D0686">
              <w:rPr>
                <w:rFonts w:ascii="Arial" w:hAnsi="Arial" w:cs="Arial"/>
                <w:noProof/>
                <w:webHidden/>
                <w:szCs w:val="24"/>
              </w:rPr>
              <w:fldChar w:fldCharType="end"/>
            </w:r>
          </w:hyperlink>
        </w:p>
        <w:p w14:paraId="42A7867B" w14:textId="00AB2452" w:rsidR="004D0686" w:rsidRPr="004D0686" w:rsidRDefault="008E3EEF">
          <w:pPr>
            <w:pStyle w:val="TOC2"/>
            <w:tabs>
              <w:tab w:val="right" w:leader="dot" w:pos="9016"/>
            </w:tabs>
            <w:rPr>
              <w:rFonts w:ascii="Arial" w:hAnsi="Arial" w:cs="Arial"/>
              <w:noProof/>
              <w:szCs w:val="24"/>
            </w:rPr>
          </w:pPr>
          <w:hyperlink w:anchor="_Toc236776258" w:history="1">
            <w:r w:rsidR="004D0686" w:rsidRPr="004D0686">
              <w:rPr>
                <w:rStyle w:val="Hyperlink"/>
                <w:rFonts w:ascii="Arial" w:hAnsi="Arial" w:cs="Arial"/>
                <w:noProof/>
                <w:szCs w:val="24"/>
              </w:rPr>
              <w:t>Key Performance Indicators (KPIs)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_Toc236776258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29</w:t>
            </w:r>
            <w:r w:rsidR="004D0686" w:rsidRPr="004D0686">
              <w:rPr>
                <w:rFonts w:ascii="Arial" w:hAnsi="Arial" w:cs="Arial"/>
                <w:noProof/>
                <w:webHidden/>
                <w:szCs w:val="24"/>
              </w:rPr>
              <w:fldChar w:fldCharType="end"/>
            </w:r>
          </w:hyperlink>
        </w:p>
        <w:p w14:paraId="2FDEE4B1" w14:textId="6533494C" w:rsidR="004D0686" w:rsidRPr="004D0686" w:rsidRDefault="008E3EEF">
          <w:pPr>
            <w:pStyle w:val="TOC2"/>
            <w:tabs>
              <w:tab w:val="right" w:leader="dot" w:pos="9016"/>
            </w:tabs>
            <w:rPr>
              <w:rFonts w:ascii="Arial" w:hAnsi="Arial" w:cs="Arial"/>
              <w:noProof/>
              <w:szCs w:val="24"/>
            </w:rPr>
          </w:pPr>
          <w:hyperlink w:anchor="_Toc236776259" w:history="1">
            <w:r w:rsidR="004D0686" w:rsidRPr="004D0686">
              <w:rPr>
                <w:rStyle w:val="Hyperlink"/>
                <w:rFonts w:ascii="Arial" w:hAnsi="Arial" w:cs="Arial"/>
                <w:noProof/>
                <w:szCs w:val="24"/>
              </w:rPr>
              <w:t>Section 2</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_Toc236776259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31</w:t>
            </w:r>
            <w:r w:rsidR="004D0686" w:rsidRPr="004D0686">
              <w:rPr>
                <w:rFonts w:ascii="Arial" w:hAnsi="Arial" w:cs="Arial"/>
                <w:noProof/>
                <w:webHidden/>
                <w:szCs w:val="24"/>
              </w:rPr>
              <w:fldChar w:fldCharType="end"/>
            </w:r>
          </w:hyperlink>
        </w:p>
        <w:p w14:paraId="14F82322" w14:textId="568237AC" w:rsidR="004D0686" w:rsidRPr="004D0686" w:rsidRDefault="008E3EEF">
          <w:pPr>
            <w:pStyle w:val="TOC2"/>
            <w:tabs>
              <w:tab w:val="right" w:leader="dot" w:pos="9016"/>
            </w:tabs>
            <w:rPr>
              <w:rFonts w:ascii="Arial" w:hAnsi="Arial" w:cs="Arial"/>
              <w:noProof/>
              <w:szCs w:val="24"/>
            </w:rPr>
          </w:pPr>
          <w:hyperlink w:anchor="_Toc236776260" w:history="1">
            <w:r w:rsidR="004D0686" w:rsidRPr="004D0686">
              <w:rPr>
                <w:rStyle w:val="Hyperlink"/>
                <w:rFonts w:ascii="Arial" w:hAnsi="Arial" w:cs="Arial"/>
                <w:noProof/>
                <w:szCs w:val="24"/>
              </w:rPr>
              <w:t>Reflective Account (Gibbs' Reflective Cycle):</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_Toc236776260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31</w:t>
            </w:r>
            <w:r w:rsidR="004D0686" w:rsidRPr="004D0686">
              <w:rPr>
                <w:rFonts w:ascii="Arial" w:hAnsi="Arial" w:cs="Arial"/>
                <w:noProof/>
                <w:webHidden/>
                <w:szCs w:val="24"/>
              </w:rPr>
              <w:fldChar w:fldCharType="end"/>
            </w:r>
          </w:hyperlink>
        </w:p>
        <w:p w14:paraId="0E68981C" w14:textId="4B0D1895" w:rsidR="004D0686" w:rsidRPr="004D0686" w:rsidRDefault="008E3EEF">
          <w:pPr>
            <w:pStyle w:val="TOC2"/>
            <w:tabs>
              <w:tab w:val="right" w:leader="dot" w:pos="9016"/>
            </w:tabs>
            <w:rPr>
              <w:rFonts w:ascii="Arial" w:hAnsi="Arial" w:cs="Arial"/>
              <w:noProof/>
              <w:szCs w:val="24"/>
            </w:rPr>
          </w:pPr>
          <w:hyperlink w:anchor="_Toc236776261" w:history="1">
            <w:r w:rsidR="004D0686" w:rsidRPr="004D0686">
              <w:rPr>
                <w:rStyle w:val="Hyperlink"/>
                <w:rFonts w:ascii="Arial" w:hAnsi="Arial" w:cs="Arial"/>
                <w:noProof/>
                <w:szCs w:val="24"/>
              </w:rPr>
              <w:t>Description</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_Toc236776261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32</w:t>
            </w:r>
            <w:r w:rsidR="004D0686" w:rsidRPr="004D0686">
              <w:rPr>
                <w:rFonts w:ascii="Arial" w:hAnsi="Arial" w:cs="Arial"/>
                <w:noProof/>
                <w:webHidden/>
                <w:szCs w:val="24"/>
              </w:rPr>
              <w:fldChar w:fldCharType="end"/>
            </w:r>
          </w:hyperlink>
        </w:p>
        <w:p w14:paraId="5DA02BF5" w14:textId="3225500E" w:rsidR="004D0686" w:rsidRPr="004D0686" w:rsidRDefault="008E3EEF">
          <w:pPr>
            <w:pStyle w:val="TOC2"/>
            <w:tabs>
              <w:tab w:val="right" w:leader="dot" w:pos="9016"/>
            </w:tabs>
            <w:rPr>
              <w:rFonts w:ascii="Arial" w:hAnsi="Arial" w:cs="Arial"/>
              <w:noProof/>
              <w:szCs w:val="24"/>
            </w:rPr>
          </w:pPr>
          <w:hyperlink w:anchor="_Toc236776262" w:history="1">
            <w:r w:rsidR="004D0686" w:rsidRPr="004D0686">
              <w:rPr>
                <w:rStyle w:val="Hyperlink"/>
                <w:rFonts w:ascii="Arial" w:hAnsi="Arial" w:cs="Arial"/>
                <w:noProof/>
                <w:szCs w:val="24"/>
              </w:rPr>
              <w:t>Feelings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_Toc236776262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32</w:t>
            </w:r>
            <w:r w:rsidR="004D0686" w:rsidRPr="004D0686">
              <w:rPr>
                <w:rFonts w:ascii="Arial" w:hAnsi="Arial" w:cs="Arial"/>
                <w:noProof/>
                <w:webHidden/>
                <w:szCs w:val="24"/>
              </w:rPr>
              <w:fldChar w:fldCharType="end"/>
            </w:r>
          </w:hyperlink>
        </w:p>
        <w:p w14:paraId="64C34246" w14:textId="43B50675" w:rsidR="004D0686" w:rsidRPr="004D0686" w:rsidRDefault="008E3EEF">
          <w:pPr>
            <w:pStyle w:val="TOC2"/>
            <w:tabs>
              <w:tab w:val="right" w:leader="dot" w:pos="9016"/>
            </w:tabs>
            <w:rPr>
              <w:rFonts w:ascii="Arial" w:hAnsi="Arial" w:cs="Arial"/>
              <w:noProof/>
              <w:szCs w:val="24"/>
            </w:rPr>
          </w:pPr>
          <w:hyperlink w:anchor="_Toc236776263" w:history="1">
            <w:r w:rsidR="004D0686" w:rsidRPr="004D0686">
              <w:rPr>
                <w:rStyle w:val="Hyperlink"/>
                <w:rFonts w:ascii="Arial" w:hAnsi="Arial" w:cs="Arial"/>
                <w:noProof/>
                <w:szCs w:val="24"/>
              </w:rPr>
              <w:t>Evaluation</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_Toc236776263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32</w:t>
            </w:r>
            <w:r w:rsidR="004D0686" w:rsidRPr="004D0686">
              <w:rPr>
                <w:rFonts w:ascii="Arial" w:hAnsi="Arial" w:cs="Arial"/>
                <w:noProof/>
                <w:webHidden/>
                <w:szCs w:val="24"/>
              </w:rPr>
              <w:fldChar w:fldCharType="end"/>
            </w:r>
          </w:hyperlink>
        </w:p>
        <w:p w14:paraId="31D26354" w14:textId="41B500D4" w:rsidR="004D0686" w:rsidRPr="004D0686" w:rsidRDefault="008E3EEF">
          <w:pPr>
            <w:pStyle w:val="TOC2"/>
            <w:tabs>
              <w:tab w:val="right" w:leader="dot" w:pos="9016"/>
            </w:tabs>
            <w:rPr>
              <w:rFonts w:ascii="Arial" w:hAnsi="Arial" w:cs="Arial"/>
              <w:noProof/>
              <w:szCs w:val="24"/>
            </w:rPr>
          </w:pPr>
          <w:hyperlink w:anchor="_Toc236776264" w:history="1">
            <w:r w:rsidR="004D0686" w:rsidRPr="004D0686">
              <w:rPr>
                <w:rStyle w:val="Hyperlink"/>
                <w:rFonts w:ascii="Arial" w:hAnsi="Arial" w:cs="Arial"/>
                <w:noProof/>
                <w:szCs w:val="24"/>
              </w:rPr>
              <w:t>Analysis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_Toc236776264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33</w:t>
            </w:r>
            <w:r w:rsidR="004D0686" w:rsidRPr="004D0686">
              <w:rPr>
                <w:rFonts w:ascii="Arial" w:hAnsi="Arial" w:cs="Arial"/>
                <w:noProof/>
                <w:webHidden/>
                <w:szCs w:val="24"/>
              </w:rPr>
              <w:fldChar w:fldCharType="end"/>
            </w:r>
          </w:hyperlink>
        </w:p>
        <w:p w14:paraId="6F395691" w14:textId="521687AE" w:rsidR="004D0686" w:rsidRPr="004D0686" w:rsidRDefault="008E3EEF">
          <w:pPr>
            <w:pStyle w:val="TOC2"/>
            <w:tabs>
              <w:tab w:val="right" w:leader="dot" w:pos="9016"/>
            </w:tabs>
            <w:rPr>
              <w:rFonts w:ascii="Arial" w:hAnsi="Arial" w:cs="Arial"/>
              <w:noProof/>
              <w:szCs w:val="24"/>
            </w:rPr>
          </w:pPr>
          <w:hyperlink w:anchor="_Toc236776265" w:history="1">
            <w:r w:rsidR="004D0686" w:rsidRPr="004D0686">
              <w:rPr>
                <w:rStyle w:val="Hyperlink"/>
                <w:rFonts w:ascii="Arial" w:hAnsi="Arial" w:cs="Arial"/>
                <w:noProof/>
                <w:szCs w:val="24"/>
              </w:rPr>
              <w:t>Conclusion</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_Toc236776265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33</w:t>
            </w:r>
            <w:r w:rsidR="004D0686" w:rsidRPr="004D0686">
              <w:rPr>
                <w:rFonts w:ascii="Arial" w:hAnsi="Arial" w:cs="Arial"/>
                <w:noProof/>
                <w:webHidden/>
                <w:szCs w:val="24"/>
              </w:rPr>
              <w:fldChar w:fldCharType="end"/>
            </w:r>
          </w:hyperlink>
        </w:p>
        <w:p w14:paraId="05BAFCB4" w14:textId="0C013050" w:rsidR="004D0686" w:rsidRPr="004D0686" w:rsidRDefault="008E3EEF">
          <w:pPr>
            <w:pStyle w:val="TOC2"/>
            <w:tabs>
              <w:tab w:val="right" w:leader="dot" w:pos="9016"/>
            </w:tabs>
            <w:rPr>
              <w:rFonts w:ascii="Arial" w:hAnsi="Arial" w:cs="Arial"/>
              <w:noProof/>
              <w:szCs w:val="24"/>
            </w:rPr>
          </w:pPr>
          <w:hyperlink w:anchor="_Toc236776266" w:history="1">
            <w:r w:rsidR="004D0686" w:rsidRPr="004D0686">
              <w:rPr>
                <w:rStyle w:val="Hyperlink"/>
                <w:rFonts w:ascii="Arial" w:hAnsi="Arial" w:cs="Arial"/>
                <w:noProof/>
                <w:szCs w:val="24"/>
              </w:rPr>
              <w:t>Action Plan</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_Toc236776266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33</w:t>
            </w:r>
            <w:r w:rsidR="004D0686" w:rsidRPr="004D0686">
              <w:rPr>
                <w:rFonts w:ascii="Arial" w:hAnsi="Arial" w:cs="Arial"/>
                <w:noProof/>
                <w:webHidden/>
                <w:szCs w:val="24"/>
              </w:rPr>
              <w:fldChar w:fldCharType="end"/>
            </w:r>
          </w:hyperlink>
        </w:p>
        <w:p w14:paraId="717D3AF6" w14:textId="3DA5FCA1" w:rsidR="004D0686" w:rsidRPr="004D0686" w:rsidRDefault="008E3EEF">
          <w:pPr>
            <w:pStyle w:val="TOC2"/>
            <w:tabs>
              <w:tab w:val="right" w:leader="dot" w:pos="9016"/>
            </w:tabs>
            <w:rPr>
              <w:rFonts w:ascii="Arial" w:hAnsi="Arial" w:cs="Arial"/>
              <w:noProof/>
              <w:szCs w:val="24"/>
            </w:rPr>
          </w:pPr>
          <w:hyperlink w:anchor="_Toc236776267" w:history="1">
            <w:r w:rsidR="004D0686" w:rsidRPr="004D0686">
              <w:rPr>
                <w:rStyle w:val="Hyperlink"/>
                <w:rFonts w:ascii="Arial" w:hAnsi="Arial" w:cs="Arial"/>
                <w:noProof/>
                <w:szCs w:val="24"/>
              </w:rPr>
              <w:t>References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_Toc236776267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34</w:t>
            </w:r>
            <w:r w:rsidR="004D0686" w:rsidRPr="004D0686">
              <w:rPr>
                <w:rFonts w:ascii="Arial" w:hAnsi="Arial" w:cs="Arial"/>
                <w:noProof/>
                <w:webHidden/>
                <w:szCs w:val="24"/>
              </w:rPr>
              <w:fldChar w:fldCharType="end"/>
            </w:r>
          </w:hyperlink>
        </w:p>
        <w:p w14:paraId="1434D856" w14:textId="6B5386BC" w:rsidR="004D0686" w:rsidRPr="004D0686" w:rsidRDefault="004D0686">
          <w:pPr>
            <w:rPr>
              <w:rFonts w:ascii="Arial" w:hAnsi="Arial" w:cs="Arial"/>
              <w:szCs w:val="24"/>
            </w:rPr>
          </w:pPr>
          <w:r w:rsidRPr="004D0686">
            <w:rPr>
              <w:rFonts w:ascii="Arial" w:hAnsi="Arial" w:cs="Arial"/>
              <w:b/>
              <w:bCs/>
              <w:noProof/>
              <w:szCs w:val="24"/>
            </w:rPr>
            <w:fldChar w:fldCharType="end"/>
          </w:r>
        </w:p>
      </w:sdtContent>
    </w:sdt>
    <w:p w14:paraId="4CAE68A6" w14:textId="08628BAC" w:rsidR="004D0686" w:rsidRPr="004D0686" w:rsidRDefault="004D0686">
      <w:pPr>
        <w:pStyle w:val="TableofFigures"/>
        <w:tabs>
          <w:tab w:val="right" w:leader="dot" w:pos="9016"/>
        </w:tabs>
        <w:rPr>
          <w:rFonts w:ascii="Arial" w:hAnsi="Arial" w:cs="Arial"/>
          <w:noProof/>
          <w:szCs w:val="24"/>
        </w:rPr>
      </w:pPr>
      <w:r w:rsidRPr="004D0686">
        <w:rPr>
          <w:rFonts w:ascii="Arial" w:hAnsi="Arial" w:cs="Arial"/>
          <w:szCs w:val="24"/>
        </w:rPr>
        <w:lastRenderedPageBreak/>
        <w:fldChar w:fldCharType="begin"/>
      </w:r>
      <w:r w:rsidRPr="004D0686">
        <w:rPr>
          <w:rFonts w:ascii="Arial" w:hAnsi="Arial" w:cs="Arial"/>
          <w:szCs w:val="24"/>
        </w:rPr>
        <w:instrText xml:space="preserve"> TOC \h \z \c "Table" </w:instrText>
      </w:r>
      <w:r w:rsidRPr="004D0686">
        <w:rPr>
          <w:rFonts w:ascii="Arial" w:hAnsi="Arial" w:cs="Arial"/>
          <w:szCs w:val="24"/>
        </w:rPr>
        <w:fldChar w:fldCharType="separate"/>
      </w:r>
      <w:hyperlink w:anchor="_Toc236776268" w:history="1">
        <w:r w:rsidRPr="004D0686">
          <w:rPr>
            <w:rStyle w:val="Hyperlink"/>
            <w:rFonts w:ascii="Arial" w:hAnsi="Arial" w:cs="Arial"/>
            <w:noProof/>
            <w:color w:val="auto"/>
            <w:szCs w:val="24"/>
          </w:rPr>
          <w:t>Table 1: PESTLE Analysis of Dove Personal Care in the United Kingdom</w:t>
        </w:r>
        <w:r w:rsidRPr="004D0686">
          <w:rPr>
            <w:rFonts w:ascii="Arial" w:hAnsi="Arial" w:cs="Arial"/>
            <w:noProof/>
            <w:webHidden/>
            <w:szCs w:val="24"/>
          </w:rPr>
          <w:tab/>
        </w:r>
        <w:r w:rsidRPr="004D0686">
          <w:rPr>
            <w:rFonts w:ascii="Arial" w:hAnsi="Arial" w:cs="Arial"/>
            <w:noProof/>
            <w:webHidden/>
            <w:szCs w:val="24"/>
          </w:rPr>
          <w:fldChar w:fldCharType="begin"/>
        </w:r>
        <w:r w:rsidRPr="004D0686">
          <w:rPr>
            <w:rFonts w:ascii="Arial" w:hAnsi="Arial" w:cs="Arial"/>
            <w:noProof/>
            <w:webHidden/>
            <w:szCs w:val="24"/>
          </w:rPr>
          <w:instrText xml:space="preserve"> PAGEREF _Toc236776268 \h </w:instrText>
        </w:r>
        <w:r w:rsidRPr="004D0686">
          <w:rPr>
            <w:rFonts w:ascii="Arial" w:hAnsi="Arial" w:cs="Arial"/>
            <w:noProof/>
            <w:webHidden/>
            <w:szCs w:val="24"/>
          </w:rPr>
        </w:r>
        <w:r w:rsidRPr="004D0686">
          <w:rPr>
            <w:rFonts w:ascii="Arial" w:hAnsi="Arial" w:cs="Arial"/>
            <w:noProof/>
            <w:webHidden/>
            <w:szCs w:val="24"/>
          </w:rPr>
          <w:fldChar w:fldCharType="separate"/>
        </w:r>
        <w:r>
          <w:rPr>
            <w:rFonts w:ascii="Arial" w:hAnsi="Arial" w:cs="Arial"/>
            <w:noProof/>
            <w:webHidden/>
            <w:szCs w:val="24"/>
          </w:rPr>
          <w:t>11</w:t>
        </w:r>
        <w:r w:rsidRPr="004D0686">
          <w:rPr>
            <w:rFonts w:ascii="Arial" w:hAnsi="Arial" w:cs="Arial"/>
            <w:noProof/>
            <w:webHidden/>
            <w:szCs w:val="24"/>
          </w:rPr>
          <w:fldChar w:fldCharType="end"/>
        </w:r>
      </w:hyperlink>
    </w:p>
    <w:p w14:paraId="59F198B2" w14:textId="390BA7F2" w:rsidR="004D0686" w:rsidRPr="004D0686" w:rsidRDefault="008E3EEF">
      <w:pPr>
        <w:pStyle w:val="TableofFigures"/>
        <w:tabs>
          <w:tab w:val="right" w:leader="dot" w:pos="9016"/>
        </w:tabs>
        <w:rPr>
          <w:rFonts w:ascii="Arial" w:hAnsi="Arial" w:cs="Arial"/>
          <w:noProof/>
          <w:szCs w:val="24"/>
        </w:rPr>
      </w:pPr>
      <w:hyperlink w:anchor="_Toc236776269" w:history="1">
        <w:r w:rsidR="004D0686" w:rsidRPr="004D0686">
          <w:rPr>
            <w:rStyle w:val="Hyperlink"/>
            <w:rFonts w:ascii="Arial" w:hAnsi="Arial" w:cs="Arial"/>
            <w:noProof/>
            <w:color w:val="auto"/>
            <w:szCs w:val="24"/>
          </w:rPr>
          <w:t>Table 2: VRIO Analysis of Dove Personal Care in the United Kingdom</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_Toc236776269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15</w:t>
        </w:r>
        <w:r w:rsidR="004D0686" w:rsidRPr="004D0686">
          <w:rPr>
            <w:rFonts w:ascii="Arial" w:hAnsi="Arial" w:cs="Arial"/>
            <w:noProof/>
            <w:webHidden/>
            <w:szCs w:val="24"/>
          </w:rPr>
          <w:fldChar w:fldCharType="end"/>
        </w:r>
      </w:hyperlink>
    </w:p>
    <w:p w14:paraId="5FCC483F" w14:textId="77777777" w:rsidR="004D0686" w:rsidRPr="004D0686" w:rsidRDefault="004D0686" w:rsidP="00886BCD">
      <w:pPr>
        <w:rPr>
          <w:rFonts w:ascii="Arial" w:hAnsi="Arial" w:cs="Arial"/>
          <w:noProof/>
          <w:szCs w:val="24"/>
        </w:rPr>
      </w:pPr>
      <w:r w:rsidRPr="004D0686">
        <w:rPr>
          <w:rFonts w:ascii="Arial" w:hAnsi="Arial" w:cs="Arial"/>
          <w:szCs w:val="24"/>
        </w:rPr>
        <w:fldChar w:fldCharType="end"/>
      </w:r>
      <w:r w:rsidRPr="004D0686">
        <w:rPr>
          <w:rFonts w:ascii="Arial" w:hAnsi="Arial" w:cs="Arial"/>
          <w:szCs w:val="24"/>
        </w:rPr>
        <w:fldChar w:fldCharType="begin"/>
      </w:r>
      <w:r w:rsidRPr="004D0686">
        <w:rPr>
          <w:rFonts w:ascii="Arial" w:hAnsi="Arial" w:cs="Arial"/>
          <w:szCs w:val="24"/>
        </w:rPr>
        <w:instrText xml:space="preserve"> TOC \h \z \c "Figure" </w:instrText>
      </w:r>
      <w:r w:rsidRPr="004D0686">
        <w:rPr>
          <w:rFonts w:ascii="Arial" w:hAnsi="Arial" w:cs="Arial"/>
          <w:szCs w:val="24"/>
        </w:rPr>
        <w:fldChar w:fldCharType="separate"/>
      </w:r>
    </w:p>
    <w:p w14:paraId="01A1DD0F" w14:textId="3E08049C" w:rsidR="004D0686" w:rsidRPr="004D0686" w:rsidRDefault="008E3EEF">
      <w:pPr>
        <w:pStyle w:val="TableofFigures"/>
        <w:tabs>
          <w:tab w:val="right" w:leader="dot" w:pos="9016"/>
        </w:tabs>
        <w:rPr>
          <w:rFonts w:ascii="Arial" w:eastAsiaTheme="minorEastAsia" w:hAnsi="Arial" w:cs="Arial"/>
          <w:noProof/>
          <w:szCs w:val="24"/>
        </w:rPr>
      </w:pPr>
      <w:hyperlink w:anchor="_Toc236776270" w:history="1">
        <w:r w:rsidR="004D0686" w:rsidRPr="004D0686">
          <w:rPr>
            <w:rStyle w:val="Hyperlink"/>
            <w:rFonts w:ascii="Arial" w:hAnsi="Arial" w:cs="Arial"/>
            <w:noProof/>
            <w:szCs w:val="24"/>
          </w:rPr>
          <w:t>Figure 1: Report Framework and Analytical Process</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_Toc236776270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6</w:t>
        </w:r>
        <w:r w:rsidR="004D0686" w:rsidRPr="004D0686">
          <w:rPr>
            <w:rFonts w:ascii="Arial" w:hAnsi="Arial" w:cs="Arial"/>
            <w:noProof/>
            <w:webHidden/>
            <w:szCs w:val="24"/>
          </w:rPr>
          <w:fldChar w:fldCharType="end"/>
        </w:r>
      </w:hyperlink>
    </w:p>
    <w:p w14:paraId="39AA2872" w14:textId="734447D6" w:rsidR="004D0686" w:rsidRPr="004D0686" w:rsidRDefault="008E3EEF">
      <w:pPr>
        <w:pStyle w:val="TableofFigures"/>
        <w:tabs>
          <w:tab w:val="right" w:leader="dot" w:pos="9016"/>
        </w:tabs>
        <w:rPr>
          <w:rFonts w:ascii="Arial" w:eastAsiaTheme="minorEastAsia" w:hAnsi="Arial" w:cs="Arial"/>
          <w:noProof/>
          <w:szCs w:val="24"/>
        </w:rPr>
      </w:pPr>
      <w:hyperlink w:anchor="_Toc236776271" w:history="1">
        <w:r w:rsidR="004D0686" w:rsidRPr="004D0686">
          <w:rPr>
            <w:rStyle w:val="Hyperlink"/>
            <w:rFonts w:ascii="Arial" w:hAnsi="Arial" w:cs="Arial"/>
            <w:noProof/>
            <w:szCs w:val="24"/>
          </w:rPr>
          <w:t>Figure 2: Organisational Context of Unilever's Dove Personal Care Business in the United Kingdom</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_Toc236776271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8</w:t>
        </w:r>
        <w:r w:rsidR="004D0686" w:rsidRPr="004D0686">
          <w:rPr>
            <w:rFonts w:ascii="Arial" w:hAnsi="Arial" w:cs="Arial"/>
            <w:noProof/>
            <w:webHidden/>
            <w:szCs w:val="24"/>
          </w:rPr>
          <w:fldChar w:fldCharType="end"/>
        </w:r>
      </w:hyperlink>
    </w:p>
    <w:p w14:paraId="4FDE6665" w14:textId="0C006E65" w:rsidR="004D0686" w:rsidRPr="004D0686" w:rsidRDefault="008E3EEF">
      <w:pPr>
        <w:pStyle w:val="TableofFigures"/>
        <w:tabs>
          <w:tab w:val="right" w:leader="dot" w:pos="9016"/>
        </w:tabs>
        <w:rPr>
          <w:rFonts w:ascii="Arial" w:eastAsiaTheme="minorEastAsia" w:hAnsi="Arial" w:cs="Arial"/>
          <w:noProof/>
          <w:szCs w:val="24"/>
        </w:rPr>
      </w:pPr>
      <w:hyperlink w:anchor="_Toc236776272" w:history="1">
        <w:r w:rsidR="004D0686" w:rsidRPr="004D0686">
          <w:rPr>
            <w:rStyle w:val="Hyperlink"/>
            <w:rFonts w:ascii="Arial" w:hAnsi="Arial" w:cs="Arial"/>
            <w:noProof/>
            <w:szCs w:val="24"/>
          </w:rPr>
          <w:t>Figure 3: PESTLE Framework - Macro Environment</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_Toc236776272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9</w:t>
        </w:r>
        <w:r w:rsidR="004D0686" w:rsidRPr="004D0686">
          <w:rPr>
            <w:rFonts w:ascii="Arial" w:hAnsi="Arial" w:cs="Arial"/>
            <w:noProof/>
            <w:webHidden/>
            <w:szCs w:val="24"/>
          </w:rPr>
          <w:fldChar w:fldCharType="end"/>
        </w:r>
      </w:hyperlink>
    </w:p>
    <w:p w14:paraId="220B12DA" w14:textId="63559840" w:rsidR="004D0686" w:rsidRPr="004D0686" w:rsidRDefault="008E3EEF">
      <w:pPr>
        <w:pStyle w:val="TableofFigures"/>
        <w:tabs>
          <w:tab w:val="right" w:leader="dot" w:pos="9016"/>
        </w:tabs>
        <w:rPr>
          <w:rFonts w:ascii="Arial" w:eastAsiaTheme="minorEastAsia" w:hAnsi="Arial" w:cs="Arial"/>
          <w:noProof/>
          <w:szCs w:val="24"/>
        </w:rPr>
      </w:pPr>
      <w:hyperlink w:anchor="_Toc236776273" w:history="1">
        <w:r w:rsidR="004D0686" w:rsidRPr="004D0686">
          <w:rPr>
            <w:rStyle w:val="Hyperlink"/>
            <w:rFonts w:ascii="Arial" w:hAnsi="Arial" w:cs="Arial"/>
            <w:noProof/>
            <w:szCs w:val="24"/>
          </w:rPr>
          <w:t>Figure 4: Porter's Five Forces Analysis of Dove Personal Care in the United Kingdom</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_Toc236776273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12</w:t>
        </w:r>
        <w:r w:rsidR="004D0686" w:rsidRPr="004D0686">
          <w:rPr>
            <w:rFonts w:ascii="Arial" w:hAnsi="Arial" w:cs="Arial"/>
            <w:noProof/>
            <w:webHidden/>
            <w:szCs w:val="24"/>
          </w:rPr>
          <w:fldChar w:fldCharType="end"/>
        </w:r>
      </w:hyperlink>
    </w:p>
    <w:p w14:paraId="1DDEE6BA" w14:textId="628E594E" w:rsidR="004D0686" w:rsidRPr="004D0686" w:rsidRDefault="008E3EEF">
      <w:pPr>
        <w:pStyle w:val="TableofFigures"/>
        <w:tabs>
          <w:tab w:val="right" w:leader="dot" w:pos="9016"/>
        </w:tabs>
        <w:rPr>
          <w:rFonts w:ascii="Arial" w:eastAsiaTheme="minorEastAsia" w:hAnsi="Arial" w:cs="Arial"/>
          <w:noProof/>
          <w:szCs w:val="24"/>
        </w:rPr>
      </w:pPr>
      <w:hyperlink w:anchor="_Toc236776274" w:history="1">
        <w:r w:rsidR="004D0686" w:rsidRPr="004D0686">
          <w:rPr>
            <w:rStyle w:val="Hyperlink"/>
            <w:rFonts w:ascii="Arial" w:hAnsi="Arial" w:cs="Arial"/>
            <w:noProof/>
            <w:szCs w:val="24"/>
          </w:rPr>
          <w:t>Figure 5: Strategic SWOT Analysis of Dove Personal Care in the United Kingdom</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_Toc236776274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16</w:t>
        </w:r>
        <w:r w:rsidR="004D0686" w:rsidRPr="004D0686">
          <w:rPr>
            <w:rFonts w:ascii="Arial" w:hAnsi="Arial" w:cs="Arial"/>
            <w:noProof/>
            <w:webHidden/>
            <w:szCs w:val="24"/>
          </w:rPr>
          <w:fldChar w:fldCharType="end"/>
        </w:r>
      </w:hyperlink>
    </w:p>
    <w:p w14:paraId="0B462386" w14:textId="79F51BDE" w:rsidR="004D0686" w:rsidRPr="004D0686" w:rsidRDefault="008E3EEF">
      <w:pPr>
        <w:pStyle w:val="TableofFigures"/>
        <w:tabs>
          <w:tab w:val="right" w:leader="dot" w:pos="9016"/>
        </w:tabs>
        <w:rPr>
          <w:rFonts w:ascii="Arial" w:eastAsiaTheme="minorEastAsia" w:hAnsi="Arial" w:cs="Arial"/>
          <w:noProof/>
          <w:szCs w:val="24"/>
        </w:rPr>
      </w:pPr>
      <w:hyperlink w:anchor="_Toc236776275" w:history="1">
        <w:r w:rsidR="004D0686" w:rsidRPr="004D0686">
          <w:rPr>
            <w:rStyle w:val="Hyperlink"/>
            <w:rFonts w:ascii="Arial" w:hAnsi="Arial" w:cs="Arial"/>
            <w:noProof/>
            <w:szCs w:val="24"/>
          </w:rPr>
          <w:t>Figure 6: CSR Strategy Alignment of Dove Personal Care in the United Kingdom</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_Toc236776275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18</w:t>
        </w:r>
        <w:r w:rsidR="004D0686" w:rsidRPr="004D0686">
          <w:rPr>
            <w:rFonts w:ascii="Arial" w:hAnsi="Arial" w:cs="Arial"/>
            <w:noProof/>
            <w:webHidden/>
            <w:szCs w:val="24"/>
          </w:rPr>
          <w:fldChar w:fldCharType="end"/>
        </w:r>
      </w:hyperlink>
    </w:p>
    <w:p w14:paraId="1CCD76C4" w14:textId="3313D3C6" w:rsidR="004D0686" w:rsidRPr="004D0686" w:rsidRDefault="008E3EEF">
      <w:pPr>
        <w:pStyle w:val="TableofFigures"/>
        <w:tabs>
          <w:tab w:val="right" w:leader="dot" w:pos="9016"/>
        </w:tabs>
        <w:rPr>
          <w:rFonts w:ascii="Arial" w:eastAsiaTheme="minorEastAsia" w:hAnsi="Arial" w:cs="Arial"/>
          <w:noProof/>
          <w:szCs w:val="24"/>
        </w:rPr>
      </w:pPr>
      <w:hyperlink w:anchor="_Toc236776276" w:history="1">
        <w:r w:rsidR="004D0686" w:rsidRPr="004D0686">
          <w:rPr>
            <w:rStyle w:val="Hyperlink"/>
            <w:rFonts w:ascii="Arial" w:hAnsi="Arial" w:cs="Arial"/>
            <w:noProof/>
            <w:szCs w:val="24"/>
          </w:rPr>
          <w:t>Figure 7: Balanced Scorecard for Dove Personal Care in the United Kingdom</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_Toc236776276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20</w:t>
        </w:r>
        <w:r w:rsidR="004D0686" w:rsidRPr="004D0686">
          <w:rPr>
            <w:rFonts w:ascii="Arial" w:hAnsi="Arial" w:cs="Arial"/>
            <w:noProof/>
            <w:webHidden/>
            <w:szCs w:val="24"/>
          </w:rPr>
          <w:fldChar w:fldCharType="end"/>
        </w:r>
      </w:hyperlink>
    </w:p>
    <w:p w14:paraId="115201B1" w14:textId="74DA65EA" w:rsidR="004D0686" w:rsidRPr="004D0686" w:rsidRDefault="008E3EEF">
      <w:pPr>
        <w:pStyle w:val="TableofFigures"/>
        <w:tabs>
          <w:tab w:val="right" w:leader="dot" w:pos="9016"/>
        </w:tabs>
        <w:rPr>
          <w:rFonts w:ascii="Arial" w:eastAsiaTheme="minorEastAsia" w:hAnsi="Arial" w:cs="Arial"/>
          <w:noProof/>
          <w:szCs w:val="24"/>
        </w:rPr>
      </w:pPr>
      <w:hyperlink w:anchor="_Toc236776277" w:history="1">
        <w:r w:rsidR="004D0686" w:rsidRPr="004D0686">
          <w:rPr>
            <w:rStyle w:val="Hyperlink"/>
            <w:rFonts w:ascii="Arial" w:hAnsi="Arial" w:cs="Arial"/>
            <w:noProof/>
            <w:szCs w:val="24"/>
          </w:rPr>
          <w:t>Figure 8: Strategic Alternatives for Dove Personal Care in the United Kingdom</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_Toc236776277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22</w:t>
        </w:r>
        <w:r w:rsidR="004D0686" w:rsidRPr="004D0686">
          <w:rPr>
            <w:rFonts w:ascii="Arial" w:hAnsi="Arial" w:cs="Arial"/>
            <w:noProof/>
            <w:webHidden/>
            <w:szCs w:val="24"/>
          </w:rPr>
          <w:fldChar w:fldCharType="end"/>
        </w:r>
      </w:hyperlink>
    </w:p>
    <w:p w14:paraId="12179787" w14:textId="74AB4854" w:rsidR="004D0686" w:rsidRPr="004D0686" w:rsidRDefault="008E3EEF">
      <w:pPr>
        <w:pStyle w:val="TableofFigures"/>
        <w:tabs>
          <w:tab w:val="right" w:leader="dot" w:pos="9016"/>
        </w:tabs>
        <w:rPr>
          <w:rFonts w:ascii="Arial" w:eastAsiaTheme="minorEastAsia" w:hAnsi="Arial" w:cs="Arial"/>
          <w:noProof/>
          <w:szCs w:val="24"/>
        </w:rPr>
      </w:pPr>
      <w:hyperlink w:anchor="_Toc236776278" w:history="1">
        <w:r w:rsidR="004D0686" w:rsidRPr="004D0686">
          <w:rPr>
            <w:rStyle w:val="Hyperlink"/>
            <w:rFonts w:ascii="Arial" w:hAnsi="Arial" w:cs="Arial"/>
            <w:noProof/>
            <w:szCs w:val="24"/>
          </w:rPr>
          <w:t>Figure 9: Porter's Generic Strategies Positioning Map</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_Toc236776278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24</w:t>
        </w:r>
        <w:r w:rsidR="004D0686" w:rsidRPr="004D0686">
          <w:rPr>
            <w:rFonts w:ascii="Arial" w:hAnsi="Arial" w:cs="Arial"/>
            <w:noProof/>
            <w:webHidden/>
            <w:szCs w:val="24"/>
          </w:rPr>
          <w:fldChar w:fldCharType="end"/>
        </w:r>
      </w:hyperlink>
    </w:p>
    <w:p w14:paraId="2E1CE0AC" w14:textId="0763DEB2" w:rsidR="004D0686" w:rsidRPr="004D0686" w:rsidRDefault="008E3EEF">
      <w:pPr>
        <w:pStyle w:val="TableofFigures"/>
        <w:tabs>
          <w:tab w:val="right" w:leader="dot" w:pos="9016"/>
        </w:tabs>
        <w:rPr>
          <w:rFonts w:ascii="Arial" w:eastAsiaTheme="minorEastAsia" w:hAnsi="Arial" w:cs="Arial"/>
          <w:noProof/>
          <w:szCs w:val="24"/>
        </w:rPr>
      </w:pPr>
      <w:hyperlink w:anchor="_Toc236776279" w:history="1">
        <w:r w:rsidR="004D0686" w:rsidRPr="004D0686">
          <w:rPr>
            <w:rStyle w:val="Hyperlink"/>
            <w:rFonts w:ascii="Arial" w:hAnsi="Arial" w:cs="Arial"/>
            <w:noProof/>
            <w:szCs w:val="24"/>
          </w:rPr>
          <w:t>Figure 10: Ansoff Matrix for Dove UK</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_Toc236776279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25</w:t>
        </w:r>
        <w:r w:rsidR="004D0686" w:rsidRPr="004D0686">
          <w:rPr>
            <w:rFonts w:ascii="Arial" w:hAnsi="Arial" w:cs="Arial"/>
            <w:noProof/>
            <w:webHidden/>
            <w:szCs w:val="24"/>
          </w:rPr>
          <w:fldChar w:fldCharType="end"/>
        </w:r>
      </w:hyperlink>
    </w:p>
    <w:p w14:paraId="24E3FD07" w14:textId="7C95F1BC" w:rsidR="004D0686" w:rsidRPr="004D0686" w:rsidRDefault="008E3EEF">
      <w:pPr>
        <w:pStyle w:val="TableofFigures"/>
        <w:tabs>
          <w:tab w:val="right" w:leader="dot" w:pos="9016"/>
        </w:tabs>
        <w:rPr>
          <w:rFonts w:ascii="Arial" w:eastAsiaTheme="minorEastAsia" w:hAnsi="Arial" w:cs="Arial"/>
          <w:noProof/>
          <w:szCs w:val="24"/>
        </w:rPr>
      </w:pPr>
      <w:hyperlink w:anchor="_Toc236776280" w:history="1">
        <w:r w:rsidR="004D0686" w:rsidRPr="004D0686">
          <w:rPr>
            <w:rStyle w:val="Hyperlink"/>
            <w:rFonts w:ascii="Arial" w:hAnsi="Arial" w:cs="Arial"/>
            <w:noProof/>
            <w:szCs w:val="24"/>
          </w:rPr>
          <w:t>Figure 11: BCG Matrix</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_Toc236776280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26</w:t>
        </w:r>
        <w:r w:rsidR="004D0686" w:rsidRPr="004D0686">
          <w:rPr>
            <w:rFonts w:ascii="Arial" w:hAnsi="Arial" w:cs="Arial"/>
            <w:noProof/>
            <w:webHidden/>
            <w:szCs w:val="24"/>
          </w:rPr>
          <w:fldChar w:fldCharType="end"/>
        </w:r>
      </w:hyperlink>
    </w:p>
    <w:p w14:paraId="596EC783" w14:textId="6A66881C" w:rsidR="004D0686" w:rsidRPr="004D0686" w:rsidRDefault="008E3EEF">
      <w:pPr>
        <w:pStyle w:val="TableofFigures"/>
        <w:tabs>
          <w:tab w:val="right" w:leader="dot" w:pos="9016"/>
        </w:tabs>
        <w:rPr>
          <w:rFonts w:ascii="Arial" w:eastAsiaTheme="minorEastAsia" w:hAnsi="Arial" w:cs="Arial"/>
          <w:noProof/>
          <w:szCs w:val="24"/>
        </w:rPr>
      </w:pPr>
      <w:hyperlink w:anchor="_Toc236776281" w:history="1">
        <w:r w:rsidR="004D0686" w:rsidRPr="004D0686">
          <w:rPr>
            <w:rStyle w:val="Hyperlink"/>
            <w:rFonts w:ascii="Arial" w:hAnsi="Arial" w:cs="Arial"/>
            <w:noProof/>
            <w:szCs w:val="24"/>
          </w:rPr>
          <w:t>Figure 12: SAFe Evaluation Radar Chart (Preferred) or Score</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_Toc236776281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27</w:t>
        </w:r>
        <w:r w:rsidR="004D0686" w:rsidRPr="004D0686">
          <w:rPr>
            <w:rFonts w:ascii="Arial" w:hAnsi="Arial" w:cs="Arial"/>
            <w:noProof/>
            <w:webHidden/>
            <w:szCs w:val="24"/>
          </w:rPr>
          <w:fldChar w:fldCharType="end"/>
        </w:r>
      </w:hyperlink>
    </w:p>
    <w:p w14:paraId="09E8E1DB" w14:textId="2DBB7F95" w:rsidR="004D0686" w:rsidRPr="004D0686" w:rsidRDefault="008E3EEF">
      <w:pPr>
        <w:pStyle w:val="TableofFigures"/>
        <w:tabs>
          <w:tab w:val="right" w:leader="dot" w:pos="9016"/>
        </w:tabs>
        <w:rPr>
          <w:rFonts w:ascii="Arial" w:eastAsiaTheme="minorEastAsia" w:hAnsi="Arial" w:cs="Arial"/>
          <w:noProof/>
          <w:szCs w:val="24"/>
        </w:rPr>
      </w:pPr>
      <w:hyperlink w:anchor="_Toc236776282" w:history="1">
        <w:r w:rsidR="004D0686" w:rsidRPr="004D0686">
          <w:rPr>
            <w:rStyle w:val="Hyperlink"/>
            <w:rFonts w:ascii="Arial" w:hAnsi="Arial" w:cs="Arial"/>
            <w:noProof/>
            <w:szCs w:val="24"/>
          </w:rPr>
          <w:t>Figure 13: Implementation Roadmap (2026-2030)</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_Toc236776282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28</w:t>
        </w:r>
        <w:r w:rsidR="004D0686" w:rsidRPr="004D0686">
          <w:rPr>
            <w:rFonts w:ascii="Arial" w:hAnsi="Arial" w:cs="Arial"/>
            <w:noProof/>
            <w:webHidden/>
            <w:szCs w:val="24"/>
          </w:rPr>
          <w:fldChar w:fldCharType="end"/>
        </w:r>
      </w:hyperlink>
    </w:p>
    <w:p w14:paraId="462D4C4D" w14:textId="41F7F5ED" w:rsidR="004D0686" w:rsidRPr="004D0686" w:rsidRDefault="008E3EEF">
      <w:pPr>
        <w:pStyle w:val="TableofFigures"/>
        <w:tabs>
          <w:tab w:val="right" w:leader="dot" w:pos="9016"/>
        </w:tabs>
        <w:rPr>
          <w:rFonts w:ascii="Arial" w:eastAsiaTheme="minorEastAsia" w:hAnsi="Arial" w:cs="Arial"/>
          <w:noProof/>
          <w:szCs w:val="24"/>
        </w:rPr>
      </w:pPr>
      <w:hyperlink w:anchor="_Toc236776283" w:history="1">
        <w:r w:rsidR="004D0686" w:rsidRPr="004D0686">
          <w:rPr>
            <w:rStyle w:val="Hyperlink"/>
            <w:rFonts w:ascii="Arial" w:hAnsi="Arial" w:cs="Arial"/>
            <w:noProof/>
            <w:szCs w:val="24"/>
          </w:rPr>
          <w:t>Figure 14: Risk Mitigation Framework</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_Toc236776283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29</w:t>
        </w:r>
        <w:r w:rsidR="004D0686" w:rsidRPr="004D0686">
          <w:rPr>
            <w:rFonts w:ascii="Arial" w:hAnsi="Arial" w:cs="Arial"/>
            <w:noProof/>
            <w:webHidden/>
            <w:szCs w:val="24"/>
          </w:rPr>
          <w:fldChar w:fldCharType="end"/>
        </w:r>
      </w:hyperlink>
    </w:p>
    <w:p w14:paraId="52D4F339" w14:textId="502C6E57" w:rsidR="004D0686" w:rsidRPr="004D0686" w:rsidRDefault="008E3EEF">
      <w:pPr>
        <w:pStyle w:val="TableofFigures"/>
        <w:tabs>
          <w:tab w:val="right" w:leader="dot" w:pos="9016"/>
        </w:tabs>
        <w:rPr>
          <w:rFonts w:ascii="Arial" w:eastAsiaTheme="minorEastAsia" w:hAnsi="Arial" w:cs="Arial"/>
          <w:noProof/>
          <w:szCs w:val="24"/>
        </w:rPr>
      </w:pPr>
      <w:hyperlink w:anchor="_Toc236776284" w:history="1">
        <w:r w:rsidR="004D0686" w:rsidRPr="004D0686">
          <w:rPr>
            <w:rStyle w:val="Hyperlink"/>
            <w:rFonts w:ascii="Arial" w:hAnsi="Arial" w:cs="Arial"/>
            <w:noProof/>
            <w:szCs w:val="24"/>
          </w:rPr>
          <w:t>Figure 15: KPI Dashboard for Strategy Implementation</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_Toc236776284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30</w:t>
        </w:r>
        <w:r w:rsidR="004D0686" w:rsidRPr="004D0686">
          <w:rPr>
            <w:rFonts w:ascii="Arial" w:hAnsi="Arial" w:cs="Arial"/>
            <w:noProof/>
            <w:webHidden/>
            <w:szCs w:val="24"/>
          </w:rPr>
          <w:fldChar w:fldCharType="end"/>
        </w:r>
      </w:hyperlink>
    </w:p>
    <w:p w14:paraId="4E83B5F6" w14:textId="2085D71A" w:rsidR="004D0686" w:rsidRPr="004D0686" w:rsidRDefault="008E3EEF">
      <w:pPr>
        <w:pStyle w:val="TableofFigures"/>
        <w:tabs>
          <w:tab w:val="right" w:leader="dot" w:pos="9016"/>
        </w:tabs>
        <w:rPr>
          <w:rFonts w:ascii="Arial" w:eastAsiaTheme="minorEastAsia" w:hAnsi="Arial" w:cs="Arial"/>
          <w:noProof/>
          <w:szCs w:val="24"/>
        </w:rPr>
      </w:pPr>
      <w:hyperlink w:anchor="_Toc236776285" w:history="1">
        <w:r w:rsidR="004D0686" w:rsidRPr="004D0686">
          <w:rPr>
            <w:rStyle w:val="Hyperlink"/>
            <w:rFonts w:ascii="Arial" w:hAnsi="Arial" w:cs="Arial"/>
            <w:noProof/>
            <w:szCs w:val="24"/>
          </w:rPr>
          <w:t>Figure 16: Adapted from Gibbs (1988)</w:t>
        </w:r>
        <w:r w:rsidR="004D0686" w:rsidRPr="004D0686">
          <w:rPr>
            <w:rFonts w:ascii="Arial" w:hAnsi="Arial" w:cs="Arial"/>
            <w:noProof/>
            <w:webHidden/>
            <w:szCs w:val="24"/>
          </w:rPr>
          <w:tab/>
        </w:r>
        <w:r w:rsidR="004D0686" w:rsidRPr="004D0686">
          <w:rPr>
            <w:rFonts w:ascii="Arial" w:hAnsi="Arial" w:cs="Arial"/>
            <w:noProof/>
            <w:webHidden/>
            <w:szCs w:val="24"/>
          </w:rPr>
          <w:fldChar w:fldCharType="begin"/>
        </w:r>
        <w:r w:rsidR="004D0686" w:rsidRPr="004D0686">
          <w:rPr>
            <w:rFonts w:ascii="Arial" w:hAnsi="Arial" w:cs="Arial"/>
            <w:noProof/>
            <w:webHidden/>
            <w:szCs w:val="24"/>
          </w:rPr>
          <w:instrText xml:space="preserve"> PAGEREF _Toc236776285 \h </w:instrText>
        </w:r>
        <w:r w:rsidR="004D0686" w:rsidRPr="004D0686">
          <w:rPr>
            <w:rFonts w:ascii="Arial" w:hAnsi="Arial" w:cs="Arial"/>
            <w:noProof/>
            <w:webHidden/>
            <w:szCs w:val="24"/>
          </w:rPr>
        </w:r>
        <w:r w:rsidR="004D0686" w:rsidRPr="004D0686">
          <w:rPr>
            <w:rFonts w:ascii="Arial" w:hAnsi="Arial" w:cs="Arial"/>
            <w:noProof/>
            <w:webHidden/>
            <w:szCs w:val="24"/>
          </w:rPr>
          <w:fldChar w:fldCharType="separate"/>
        </w:r>
        <w:r w:rsidR="004D0686">
          <w:rPr>
            <w:rFonts w:ascii="Arial" w:hAnsi="Arial" w:cs="Arial"/>
            <w:noProof/>
            <w:webHidden/>
            <w:szCs w:val="24"/>
          </w:rPr>
          <w:t>31</w:t>
        </w:r>
        <w:r w:rsidR="004D0686" w:rsidRPr="004D0686">
          <w:rPr>
            <w:rFonts w:ascii="Arial" w:hAnsi="Arial" w:cs="Arial"/>
            <w:noProof/>
            <w:webHidden/>
            <w:szCs w:val="24"/>
          </w:rPr>
          <w:fldChar w:fldCharType="end"/>
        </w:r>
      </w:hyperlink>
    </w:p>
    <w:p w14:paraId="4871D6EF" w14:textId="5B7CDA37" w:rsidR="00886BCD" w:rsidRDefault="004D0686" w:rsidP="00886BCD">
      <w:pPr>
        <w:rPr>
          <w:rFonts w:ascii="Arial" w:hAnsi="Arial" w:cs="Arial"/>
        </w:rPr>
      </w:pPr>
      <w:r w:rsidRPr="004D0686">
        <w:rPr>
          <w:rFonts w:ascii="Arial" w:hAnsi="Arial" w:cs="Arial"/>
          <w:szCs w:val="24"/>
        </w:rPr>
        <w:fldChar w:fldCharType="end"/>
      </w:r>
    </w:p>
    <w:p w14:paraId="4D15A06B" w14:textId="77777777" w:rsidR="00886BCD" w:rsidRDefault="00886BCD">
      <w:pPr>
        <w:rPr>
          <w:rFonts w:ascii="Arial" w:hAnsi="Arial" w:cs="Arial"/>
        </w:rPr>
      </w:pPr>
      <w:r>
        <w:rPr>
          <w:rFonts w:ascii="Arial" w:hAnsi="Arial" w:cs="Arial"/>
        </w:rPr>
        <w:br w:type="page"/>
      </w:r>
    </w:p>
    <w:p w14:paraId="658F0406" w14:textId="524F73AD" w:rsidR="00886BCD" w:rsidRPr="002F0AE1" w:rsidRDefault="00886BCD" w:rsidP="002F0AE1">
      <w:pPr>
        <w:pStyle w:val="Heading2"/>
      </w:pPr>
      <w:bookmarkStart w:id="1" w:name="_Toc236776215"/>
      <w:r w:rsidRPr="002F0AE1">
        <w:lastRenderedPageBreak/>
        <w:t>1. Introduction</w:t>
      </w:r>
      <w:bookmarkEnd w:id="1"/>
      <w:r w:rsidRPr="002F0AE1">
        <w:t xml:space="preserve"> </w:t>
      </w:r>
    </w:p>
    <w:p w14:paraId="3A9A3644" w14:textId="77777777" w:rsidR="00886BCD" w:rsidRPr="00886BCD" w:rsidRDefault="00886BCD" w:rsidP="00886BCD">
      <w:pPr>
        <w:rPr>
          <w:rFonts w:ascii="Arial" w:hAnsi="Arial" w:cs="Arial"/>
        </w:rPr>
      </w:pPr>
      <w:r w:rsidRPr="00886BCD">
        <w:rPr>
          <w:rFonts w:ascii="Arial" w:hAnsi="Arial" w:cs="Arial"/>
        </w:rPr>
        <w:t>This report is a strategic assessment of the Dove Personal Care business for Unilever PLC, from the perspective of a strategic consultant to the Board of Directors, within the United Kingdom. One of Unilever's best known personal care brands, Dove is known for its differentiated value proposition based on functional skin care benefits and its purpose driven marketing, especially with its long-running Real Beauty campaign (Unilever, 2024). Dove is competing in the mature and highly competitive UK personal care market, and is under growing pressure from shifting consumer preferences, sustainability expectations, digital transformation and from a strong competitive position from not only the multinational brands but also niche brands.</w:t>
      </w:r>
    </w:p>
    <w:p w14:paraId="72E48DC7" w14:textId="28D74A68" w:rsidR="00886BCD" w:rsidRDefault="00886BCD" w:rsidP="00886BCD">
      <w:pPr>
        <w:rPr>
          <w:rFonts w:ascii="Arial" w:hAnsi="Arial" w:cs="Arial"/>
        </w:rPr>
      </w:pPr>
      <w:r w:rsidRPr="00886BCD">
        <w:rPr>
          <w:rFonts w:ascii="Arial" w:hAnsi="Arial" w:cs="Arial"/>
        </w:rPr>
        <w:t xml:space="preserve">The purpose of the report is to evaluate Dove's current strategic position by combining various strategic management frameworks and current industry evidence. In particular, it is concerned with the external and internal environments, a review of the brand's corporate social responsibility (CSR) strategy and </w:t>
      </w:r>
      <w:proofErr w:type="spellStart"/>
      <w:r w:rsidRPr="00886BCD">
        <w:rPr>
          <w:rFonts w:ascii="Arial" w:hAnsi="Arial" w:cs="Arial"/>
        </w:rPr>
        <w:t>organisational</w:t>
      </w:r>
      <w:proofErr w:type="spellEnd"/>
      <w:r w:rsidRPr="00886BCD">
        <w:rPr>
          <w:rFonts w:ascii="Arial" w:hAnsi="Arial" w:cs="Arial"/>
        </w:rPr>
        <w:t xml:space="preserve"> performance and a review of strategic alternatives to determine most suitable course of action in sustaining competitive advantage. It is based on the latest academic research in the field, company reports and industry data, and uses tools such as PESTLE, Porter's Five Forces, VRIO, SWOT, Balanced Scorecard, Ansoff Matrix and the </w:t>
      </w:r>
      <w:proofErr w:type="spellStart"/>
      <w:r w:rsidRPr="00886BCD">
        <w:rPr>
          <w:rFonts w:ascii="Arial" w:hAnsi="Arial" w:cs="Arial"/>
        </w:rPr>
        <w:t>SAFe</w:t>
      </w:r>
      <w:proofErr w:type="spellEnd"/>
      <w:r w:rsidRPr="00886BCD">
        <w:rPr>
          <w:rFonts w:ascii="Arial" w:hAnsi="Arial" w:cs="Arial"/>
        </w:rPr>
        <w:t xml:space="preserve"> framework to inform the strategic recommendations (Johnson et al., 2020; Kaplan and Norton, 1992).</w:t>
      </w:r>
    </w:p>
    <w:p w14:paraId="00C1953B" w14:textId="3DB4379F" w:rsidR="00886BCD" w:rsidRDefault="00886BCD" w:rsidP="00886BCD">
      <w:pPr>
        <w:rPr>
          <w:rFonts w:ascii="Arial" w:hAnsi="Arial" w:cs="Arial"/>
        </w:rPr>
      </w:pPr>
    </w:p>
    <w:p w14:paraId="45C6ADD9" w14:textId="72083007" w:rsidR="00886BCD" w:rsidRDefault="00886BCD" w:rsidP="00886BCD">
      <w:pPr>
        <w:rPr>
          <w:rFonts w:ascii="Arial" w:hAnsi="Arial" w:cs="Arial"/>
        </w:rPr>
      </w:pPr>
    </w:p>
    <w:p w14:paraId="3F276059" w14:textId="64A80E12" w:rsidR="00886BCD" w:rsidRDefault="00886BCD" w:rsidP="00886BCD">
      <w:pPr>
        <w:rPr>
          <w:rFonts w:ascii="Arial" w:hAnsi="Arial" w:cs="Arial"/>
        </w:rPr>
      </w:pPr>
    </w:p>
    <w:p w14:paraId="1E30BD48" w14:textId="4EDA267B" w:rsidR="00886BCD" w:rsidRDefault="00886BCD" w:rsidP="00886BCD">
      <w:pPr>
        <w:rPr>
          <w:rFonts w:ascii="Arial" w:hAnsi="Arial" w:cs="Arial"/>
        </w:rPr>
      </w:pPr>
    </w:p>
    <w:p w14:paraId="220326C9" w14:textId="6DF3A849" w:rsidR="00886BCD" w:rsidRDefault="00886BCD" w:rsidP="00886BCD">
      <w:pPr>
        <w:rPr>
          <w:rFonts w:ascii="Arial" w:hAnsi="Arial" w:cs="Arial"/>
        </w:rPr>
      </w:pPr>
    </w:p>
    <w:p w14:paraId="378BEC5C" w14:textId="0DF7585F" w:rsidR="00886BCD" w:rsidRDefault="00886BCD" w:rsidP="00886BCD">
      <w:pPr>
        <w:rPr>
          <w:rFonts w:ascii="Arial" w:hAnsi="Arial" w:cs="Arial"/>
        </w:rPr>
      </w:pPr>
    </w:p>
    <w:p w14:paraId="6505EAE8" w14:textId="2F11C18A" w:rsidR="00886BCD" w:rsidRDefault="00886BCD" w:rsidP="00886BCD">
      <w:pPr>
        <w:rPr>
          <w:rFonts w:ascii="Arial" w:hAnsi="Arial" w:cs="Arial"/>
        </w:rPr>
      </w:pPr>
    </w:p>
    <w:p w14:paraId="573A9D41" w14:textId="7EAFA372" w:rsidR="00886BCD" w:rsidRDefault="00886BCD" w:rsidP="00886BCD">
      <w:pPr>
        <w:rPr>
          <w:rFonts w:ascii="Arial" w:hAnsi="Arial" w:cs="Arial"/>
        </w:rPr>
      </w:pPr>
    </w:p>
    <w:p w14:paraId="152BC9DE" w14:textId="4ADC9E8A" w:rsidR="00886BCD" w:rsidRDefault="00A307D2" w:rsidP="00886BCD">
      <w:pPr>
        <w:rPr>
          <w:rFonts w:ascii="Arial" w:hAnsi="Arial" w:cs="Arial"/>
        </w:rPr>
      </w:pPr>
      <w:r w:rsidRPr="00886BCD">
        <w:rPr>
          <w:rFonts w:ascii="Arial" w:hAnsi="Arial" w:cs="Arial"/>
          <w:noProof/>
        </w:rPr>
        <w:lastRenderedPageBreak/>
        <w:drawing>
          <wp:anchor distT="0" distB="0" distL="114300" distR="114300" simplePos="0" relativeHeight="251658240" behindDoc="0" locked="0" layoutInCell="1" allowOverlap="1" wp14:anchorId="4840AA66" wp14:editId="6DAE5B19">
            <wp:simplePos x="0" y="0"/>
            <wp:positionH relativeFrom="margin">
              <wp:align>left</wp:align>
            </wp:positionH>
            <wp:positionV relativeFrom="paragraph">
              <wp:posOffset>0</wp:posOffset>
            </wp:positionV>
            <wp:extent cx="5810885" cy="3873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10885" cy="3873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BB24C3" w14:textId="28AD0A55" w:rsidR="00886BCD" w:rsidRDefault="00886BCD" w:rsidP="00886BCD">
      <w:pPr>
        <w:pStyle w:val="Caption"/>
        <w:rPr>
          <w:rFonts w:ascii="Arial" w:hAnsi="Arial" w:cs="Arial"/>
        </w:rPr>
      </w:pPr>
      <w:bookmarkStart w:id="2" w:name="_Toc236776270"/>
      <w:r w:rsidRPr="00886BCD">
        <w:rPr>
          <w:rFonts w:ascii="Arial" w:hAnsi="Arial" w:cs="Arial"/>
        </w:rPr>
        <w:t xml:space="preserve">Figure </w:t>
      </w:r>
      <w:r w:rsidRPr="00886BCD">
        <w:rPr>
          <w:rFonts w:ascii="Arial" w:hAnsi="Arial" w:cs="Arial"/>
        </w:rPr>
        <w:fldChar w:fldCharType="begin"/>
      </w:r>
      <w:r w:rsidRPr="00886BCD">
        <w:rPr>
          <w:rFonts w:ascii="Arial" w:hAnsi="Arial" w:cs="Arial"/>
        </w:rPr>
        <w:instrText xml:space="preserve"> SEQ Figure \* ARABIC </w:instrText>
      </w:r>
      <w:r w:rsidRPr="00886BCD">
        <w:rPr>
          <w:rFonts w:ascii="Arial" w:hAnsi="Arial" w:cs="Arial"/>
        </w:rPr>
        <w:fldChar w:fldCharType="separate"/>
      </w:r>
      <w:r w:rsidR="00EE54B1">
        <w:rPr>
          <w:rFonts w:ascii="Arial" w:hAnsi="Arial" w:cs="Arial"/>
          <w:noProof/>
        </w:rPr>
        <w:t>1</w:t>
      </w:r>
      <w:r w:rsidRPr="00886BCD">
        <w:rPr>
          <w:rFonts w:ascii="Arial" w:hAnsi="Arial" w:cs="Arial"/>
        </w:rPr>
        <w:fldChar w:fldCharType="end"/>
      </w:r>
      <w:r w:rsidRPr="00886BCD">
        <w:rPr>
          <w:rFonts w:ascii="Arial" w:hAnsi="Arial" w:cs="Arial"/>
        </w:rPr>
        <w:t>: Report Framework and Analytical Process</w:t>
      </w:r>
      <w:bookmarkEnd w:id="2"/>
    </w:p>
    <w:p w14:paraId="4AF45C11" w14:textId="77777777" w:rsidR="00363640" w:rsidRDefault="00363640" w:rsidP="00363640">
      <w:pPr>
        <w:rPr>
          <w:rStyle w:val="Strong"/>
        </w:rPr>
      </w:pPr>
    </w:p>
    <w:p w14:paraId="41587493" w14:textId="03FDD989" w:rsidR="00363640" w:rsidRPr="002F0AE1" w:rsidRDefault="00363640" w:rsidP="002F0AE1">
      <w:pPr>
        <w:pStyle w:val="Heading2"/>
        <w:rPr>
          <w:rStyle w:val="Strong"/>
          <w:b/>
          <w:bCs w:val="0"/>
        </w:rPr>
      </w:pPr>
      <w:bookmarkStart w:id="3" w:name="_Toc236776216"/>
      <w:r w:rsidRPr="002F0AE1">
        <w:rPr>
          <w:rStyle w:val="Strong"/>
          <w:b/>
          <w:bCs w:val="0"/>
        </w:rPr>
        <w:t xml:space="preserve">2. </w:t>
      </w:r>
      <w:proofErr w:type="spellStart"/>
      <w:r w:rsidRPr="002F0AE1">
        <w:rPr>
          <w:rStyle w:val="Strong"/>
          <w:b/>
          <w:bCs w:val="0"/>
        </w:rPr>
        <w:t>Organisational</w:t>
      </w:r>
      <w:proofErr w:type="spellEnd"/>
      <w:r w:rsidRPr="002F0AE1">
        <w:rPr>
          <w:rStyle w:val="Strong"/>
          <w:b/>
          <w:bCs w:val="0"/>
        </w:rPr>
        <w:t xml:space="preserve"> Context and Overview</w:t>
      </w:r>
      <w:bookmarkEnd w:id="3"/>
    </w:p>
    <w:p w14:paraId="35A364ED" w14:textId="77777777" w:rsidR="005F3959" w:rsidRPr="005F3959" w:rsidRDefault="005F3959" w:rsidP="005F3959">
      <w:pPr>
        <w:rPr>
          <w:rFonts w:ascii="Arial" w:hAnsi="Arial" w:cs="Arial"/>
        </w:rPr>
      </w:pPr>
      <w:r w:rsidRPr="005F3959">
        <w:rPr>
          <w:rFonts w:ascii="Arial" w:hAnsi="Arial" w:cs="Arial"/>
        </w:rPr>
        <w:t xml:space="preserve">Unilever PLC ranks among the world's biggest fast moving consumer goods (FMCG) companies, with its business in over 190 countries across four categories: Beauty &amp; Wellbeing, Personal Care, Home Care, Nutrition and Ice Cream (Unilever, 2024a). The company was created in 1929 when Margarine </w:t>
      </w:r>
      <w:proofErr w:type="spellStart"/>
      <w:r w:rsidRPr="005F3959">
        <w:rPr>
          <w:rFonts w:ascii="Arial" w:hAnsi="Arial" w:cs="Arial"/>
        </w:rPr>
        <w:t>Unie</w:t>
      </w:r>
      <w:proofErr w:type="spellEnd"/>
      <w:r w:rsidRPr="005F3959">
        <w:rPr>
          <w:rFonts w:ascii="Arial" w:hAnsi="Arial" w:cs="Arial"/>
        </w:rPr>
        <w:t xml:space="preserve"> merged with Lever Brothers, and has established a world-wide reputation for innovation, sustainability and purpose driven growth (Jones, 2005). Dove, a flagship brand established in the United States in 1957 with its innovative </w:t>
      </w:r>
      <w:proofErr w:type="spellStart"/>
      <w:r w:rsidRPr="005F3959">
        <w:rPr>
          <w:rFonts w:ascii="Arial" w:hAnsi="Arial" w:cs="Arial"/>
        </w:rPr>
        <w:t>moisturising</w:t>
      </w:r>
      <w:proofErr w:type="spellEnd"/>
      <w:r w:rsidRPr="005F3959">
        <w:rPr>
          <w:rFonts w:ascii="Arial" w:hAnsi="Arial" w:cs="Arial"/>
        </w:rPr>
        <w:t xml:space="preserve"> Beauty Bar, is a leading personal care brand that is grown around the world, selling soaps, body washes, deodorants, shampoos, conditioners, and skincare products (Unilever, 2024b).</w:t>
      </w:r>
    </w:p>
    <w:p w14:paraId="5863B036" w14:textId="590637CC" w:rsidR="005F3959" w:rsidRPr="005F3959" w:rsidRDefault="005F3959" w:rsidP="005F3959">
      <w:pPr>
        <w:rPr>
          <w:rFonts w:ascii="Arial" w:hAnsi="Arial" w:cs="Arial"/>
        </w:rPr>
      </w:pPr>
      <w:r w:rsidRPr="005F3959">
        <w:rPr>
          <w:rFonts w:ascii="Arial" w:hAnsi="Arial" w:cs="Arial"/>
        </w:rPr>
        <w:t xml:space="preserve">Dove's mission is </w:t>
      </w:r>
      <w:r w:rsidRPr="005F3959">
        <w:rPr>
          <w:rStyle w:val="Strong"/>
          <w:rFonts w:ascii="Arial" w:hAnsi="Arial" w:cs="Arial"/>
        </w:rPr>
        <w:t xml:space="preserve">"to help women everywhere develop a positive relationship with the way they look, helping them raise their self-esteem and </w:t>
      </w:r>
      <w:proofErr w:type="spellStart"/>
      <w:r w:rsidRPr="005F3959">
        <w:rPr>
          <w:rStyle w:val="Strong"/>
          <w:rFonts w:ascii="Arial" w:hAnsi="Arial" w:cs="Arial"/>
        </w:rPr>
        <w:t>realise</w:t>
      </w:r>
      <w:proofErr w:type="spellEnd"/>
      <w:r w:rsidRPr="005F3959">
        <w:rPr>
          <w:rStyle w:val="Strong"/>
          <w:rFonts w:ascii="Arial" w:hAnsi="Arial" w:cs="Arial"/>
        </w:rPr>
        <w:t xml:space="preserve"> their full potential"</w:t>
      </w:r>
      <w:r w:rsidRPr="005F3959">
        <w:rPr>
          <w:rFonts w:ascii="Arial" w:hAnsi="Arial" w:cs="Arial"/>
        </w:rPr>
        <w:t xml:space="preserve"> by promoting beauty as a source of confidence rather than anxiety (Dove, 2024). Its vision is to create </w:t>
      </w:r>
      <w:r w:rsidRPr="005F3959">
        <w:rPr>
          <w:rStyle w:val="Strong"/>
          <w:rFonts w:ascii="Arial" w:hAnsi="Arial" w:cs="Arial"/>
        </w:rPr>
        <w:t>"a world where beauty is a source of confidence, not anxiety,"</w:t>
      </w:r>
      <w:r w:rsidRPr="005F3959">
        <w:rPr>
          <w:rFonts w:ascii="Arial" w:hAnsi="Arial" w:cs="Arial"/>
        </w:rPr>
        <w:t xml:space="preserve"> challenging unrealistic beauty standards and empowering women and girls </w:t>
      </w:r>
      <w:r w:rsidRPr="005F3959">
        <w:rPr>
          <w:rFonts w:ascii="Arial" w:hAnsi="Arial" w:cs="Arial"/>
        </w:rPr>
        <w:lastRenderedPageBreak/>
        <w:t>to embrace authentic and inclusive beauty (Dove, 2024). The purpose is in line with Unilever's purpose of making sustainable living commonplace and becoming a global leader on sustainable business through responsible innovation and purpose led growth (Unilever, 2024a). To generate value for consumers and enhance long-term brand loyalty and competitive advantage, Dove's business model relies on scientifically formulated products, continuous innovation, brand equity, distribution through the retail channels, e-commerce platforms, and purpose-driven marketing, particularly the Real Beauty campaign (Aaker, 1996; Unilever, 2024b).</w:t>
      </w:r>
    </w:p>
    <w:p w14:paraId="3C8F205B" w14:textId="1CB1CF3C" w:rsidR="00A61D5A" w:rsidRDefault="005F3959" w:rsidP="005F3959">
      <w:pPr>
        <w:rPr>
          <w:rFonts w:ascii="Arial" w:hAnsi="Arial" w:cs="Arial"/>
        </w:rPr>
      </w:pPr>
      <w:r w:rsidRPr="005F3959">
        <w:rPr>
          <w:rFonts w:ascii="Arial" w:hAnsi="Arial" w:cs="Arial"/>
        </w:rPr>
        <w:t>The United Kingdom is one of Dove's most strategic and developed markets, with high penetration of products and sophisticated consumers, whose demand for sustainable, ethical and premium personal care products is growing (Euromonitor International, 2024). On top of global brands like Nivea (Beiersdorf), L'Oréal Paris (L'Oréal), Palmolive (Colgate-Palmolive) comes a multitude of new natural and premium brands that are gaining ground in the market with innovation, sustainability, pricing and digital engagement. In this highly dynamic market, Dove has built a solid market presence with its purpose-driven brand, trusted product quality and constant innovation, which makes it one of the most successful brands in the personal care industry in the UK and a worthy case study for assessing strategic competitiveness.</w:t>
      </w:r>
    </w:p>
    <w:p w14:paraId="6C67EE29" w14:textId="21C117A5" w:rsidR="005F3959" w:rsidRDefault="005F3959" w:rsidP="005F3959">
      <w:pPr>
        <w:rPr>
          <w:rFonts w:ascii="Arial" w:hAnsi="Arial" w:cs="Arial"/>
        </w:rPr>
      </w:pPr>
    </w:p>
    <w:p w14:paraId="07B4CF9D" w14:textId="3E8D7621" w:rsidR="005F3959" w:rsidRDefault="005F3959" w:rsidP="005F3959">
      <w:pPr>
        <w:rPr>
          <w:rFonts w:ascii="Arial" w:hAnsi="Arial" w:cs="Arial"/>
        </w:rPr>
      </w:pPr>
    </w:p>
    <w:p w14:paraId="53F99D63" w14:textId="2A17D128" w:rsidR="005F3959" w:rsidRDefault="005F3959" w:rsidP="005F3959">
      <w:pPr>
        <w:rPr>
          <w:rFonts w:ascii="Arial" w:hAnsi="Arial" w:cs="Arial"/>
        </w:rPr>
      </w:pPr>
    </w:p>
    <w:p w14:paraId="6EBFBE79" w14:textId="4CFB2B15" w:rsidR="005F3959" w:rsidRDefault="005F3959" w:rsidP="005F3959">
      <w:pPr>
        <w:rPr>
          <w:rFonts w:ascii="Arial" w:hAnsi="Arial" w:cs="Arial"/>
        </w:rPr>
      </w:pPr>
    </w:p>
    <w:p w14:paraId="5AB099AC" w14:textId="44043B8B" w:rsidR="005F3959" w:rsidRDefault="005F3959" w:rsidP="005F3959">
      <w:pPr>
        <w:rPr>
          <w:rFonts w:ascii="Arial" w:hAnsi="Arial" w:cs="Arial"/>
        </w:rPr>
      </w:pPr>
    </w:p>
    <w:p w14:paraId="716D1816" w14:textId="014206F9" w:rsidR="005F3959" w:rsidRDefault="005F3959" w:rsidP="005F3959">
      <w:pPr>
        <w:rPr>
          <w:rFonts w:ascii="Arial" w:hAnsi="Arial" w:cs="Arial"/>
        </w:rPr>
      </w:pPr>
    </w:p>
    <w:p w14:paraId="5D121F0D" w14:textId="1B3E1017" w:rsidR="005F3959" w:rsidRDefault="005F3959" w:rsidP="005F3959">
      <w:pPr>
        <w:rPr>
          <w:rFonts w:ascii="Arial" w:hAnsi="Arial" w:cs="Arial"/>
        </w:rPr>
      </w:pPr>
    </w:p>
    <w:p w14:paraId="36FC038B" w14:textId="7D20C661" w:rsidR="005F3959" w:rsidRDefault="005F3959" w:rsidP="005F3959">
      <w:pPr>
        <w:rPr>
          <w:rFonts w:ascii="Arial" w:hAnsi="Arial" w:cs="Arial"/>
        </w:rPr>
      </w:pPr>
    </w:p>
    <w:p w14:paraId="6D67841A" w14:textId="3743C5DE" w:rsidR="005F3959" w:rsidRDefault="005F3959" w:rsidP="005F3959">
      <w:pPr>
        <w:rPr>
          <w:rFonts w:ascii="Arial" w:hAnsi="Arial" w:cs="Arial"/>
        </w:rPr>
      </w:pPr>
    </w:p>
    <w:p w14:paraId="3E0AA932" w14:textId="3A09AAF2" w:rsidR="005F3959" w:rsidRDefault="005F3959" w:rsidP="005F3959">
      <w:pPr>
        <w:rPr>
          <w:rFonts w:ascii="Arial" w:hAnsi="Arial" w:cs="Arial"/>
        </w:rPr>
      </w:pPr>
    </w:p>
    <w:p w14:paraId="1FEFE034" w14:textId="50790002" w:rsidR="005F3959" w:rsidRDefault="005F3959" w:rsidP="005F3959">
      <w:pPr>
        <w:rPr>
          <w:rFonts w:ascii="Arial" w:hAnsi="Arial" w:cs="Arial"/>
        </w:rPr>
      </w:pPr>
    </w:p>
    <w:p w14:paraId="5ADD7FB1" w14:textId="3D9A7EDD" w:rsidR="002C004E" w:rsidRDefault="002C004E" w:rsidP="002C004E">
      <w:pPr>
        <w:pStyle w:val="Caption"/>
        <w:rPr>
          <w:rFonts w:ascii="Arial" w:hAnsi="Arial" w:cs="Arial"/>
        </w:rPr>
      </w:pPr>
      <w:bookmarkStart w:id="4" w:name="_Toc236776271"/>
      <w:r w:rsidRPr="002C004E">
        <w:rPr>
          <w:rFonts w:ascii="Arial" w:hAnsi="Arial" w:cs="Arial"/>
          <w:i w:val="0"/>
          <w:iCs w:val="0"/>
          <w:noProof/>
          <w:color w:val="auto"/>
          <w:sz w:val="24"/>
          <w:szCs w:val="22"/>
        </w:rPr>
        <w:lastRenderedPageBreak/>
        <w:drawing>
          <wp:anchor distT="0" distB="0" distL="114300" distR="114300" simplePos="0" relativeHeight="251659264" behindDoc="0" locked="0" layoutInCell="1" allowOverlap="1" wp14:anchorId="7139B655" wp14:editId="09C2EE98">
            <wp:simplePos x="0" y="0"/>
            <wp:positionH relativeFrom="margin">
              <wp:align>right</wp:align>
            </wp:positionH>
            <wp:positionV relativeFrom="paragraph">
              <wp:posOffset>0</wp:posOffset>
            </wp:positionV>
            <wp:extent cx="5731510" cy="3820795"/>
            <wp:effectExtent l="0" t="0" r="254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anchor>
        </w:drawing>
      </w:r>
      <w:r w:rsidRPr="002C004E">
        <w:rPr>
          <w:rFonts w:ascii="Arial" w:hAnsi="Arial" w:cs="Arial"/>
        </w:rPr>
        <w:t xml:space="preserve">Figure </w:t>
      </w:r>
      <w:r w:rsidRPr="002C004E">
        <w:rPr>
          <w:rFonts w:ascii="Arial" w:hAnsi="Arial" w:cs="Arial"/>
        </w:rPr>
        <w:fldChar w:fldCharType="begin"/>
      </w:r>
      <w:r w:rsidRPr="002C004E">
        <w:rPr>
          <w:rFonts w:ascii="Arial" w:hAnsi="Arial" w:cs="Arial"/>
        </w:rPr>
        <w:instrText xml:space="preserve"> SEQ Figure \* ARABIC </w:instrText>
      </w:r>
      <w:r w:rsidRPr="002C004E">
        <w:rPr>
          <w:rFonts w:ascii="Arial" w:hAnsi="Arial" w:cs="Arial"/>
        </w:rPr>
        <w:fldChar w:fldCharType="separate"/>
      </w:r>
      <w:r w:rsidR="00EE54B1">
        <w:rPr>
          <w:rFonts w:ascii="Arial" w:hAnsi="Arial" w:cs="Arial"/>
          <w:noProof/>
        </w:rPr>
        <w:t>2</w:t>
      </w:r>
      <w:r w:rsidRPr="002C004E">
        <w:rPr>
          <w:rFonts w:ascii="Arial" w:hAnsi="Arial" w:cs="Arial"/>
        </w:rPr>
        <w:fldChar w:fldCharType="end"/>
      </w:r>
      <w:r w:rsidRPr="002C004E">
        <w:rPr>
          <w:rFonts w:ascii="Arial" w:hAnsi="Arial" w:cs="Arial"/>
        </w:rPr>
        <w:t xml:space="preserve">: </w:t>
      </w:r>
      <w:proofErr w:type="spellStart"/>
      <w:r w:rsidRPr="002C004E">
        <w:rPr>
          <w:rFonts w:ascii="Arial" w:hAnsi="Arial" w:cs="Arial"/>
        </w:rPr>
        <w:t>Organisational</w:t>
      </w:r>
      <w:proofErr w:type="spellEnd"/>
      <w:r w:rsidRPr="002C004E">
        <w:rPr>
          <w:rFonts w:ascii="Arial" w:hAnsi="Arial" w:cs="Arial"/>
        </w:rPr>
        <w:t xml:space="preserve"> Context of Unilever's Dove Personal Care Business in the United Kingdom</w:t>
      </w:r>
      <w:bookmarkEnd w:id="4"/>
    </w:p>
    <w:p w14:paraId="7575B290" w14:textId="32646188" w:rsidR="002C004E" w:rsidRDefault="002C004E" w:rsidP="002C004E">
      <w:pPr>
        <w:rPr>
          <w:rFonts w:ascii="Arial" w:hAnsi="Arial" w:cs="Arial"/>
          <w:i/>
          <w:iCs/>
          <w:sz w:val="18"/>
          <w:szCs w:val="18"/>
        </w:rPr>
      </w:pPr>
      <w:r w:rsidRPr="002C004E">
        <w:rPr>
          <w:rFonts w:ascii="Arial" w:hAnsi="Arial" w:cs="Arial"/>
          <w:i/>
          <w:iCs/>
          <w:sz w:val="18"/>
          <w:szCs w:val="18"/>
        </w:rPr>
        <w:t>Source: Developed by the author based on Dove (2024), Unilever (2024a), Unilever (2024b), and Euromonitor International (2024)</w:t>
      </w:r>
    </w:p>
    <w:p w14:paraId="41922204" w14:textId="79A1DBED" w:rsidR="002C004E" w:rsidRPr="002F0AE1" w:rsidRDefault="002C004E" w:rsidP="002F0AE1">
      <w:pPr>
        <w:pStyle w:val="Heading2"/>
      </w:pPr>
      <w:bookmarkStart w:id="5" w:name="_Toc236776217"/>
      <w:r w:rsidRPr="002F0AE1">
        <w:rPr>
          <w:rStyle w:val="Strong"/>
          <w:b/>
          <w:bCs w:val="0"/>
        </w:rPr>
        <w:t>3. External and Internal Strategic Analysis</w:t>
      </w:r>
      <w:bookmarkEnd w:id="5"/>
    </w:p>
    <w:p w14:paraId="1DC1DD87" w14:textId="4C4723D5" w:rsidR="00BB7374" w:rsidRPr="002F0AE1" w:rsidRDefault="002C004E" w:rsidP="002F0AE1">
      <w:pPr>
        <w:pStyle w:val="Heading2"/>
      </w:pPr>
      <w:bookmarkStart w:id="6" w:name="_Toc236776218"/>
      <w:r w:rsidRPr="002F0AE1">
        <w:t xml:space="preserve">3.1 </w:t>
      </w:r>
      <w:r w:rsidRPr="002F0AE1">
        <w:rPr>
          <w:rStyle w:val="Strong"/>
          <w:b/>
          <w:bCs w:val="0"/>
        </w:rPr>
        <w:t>External Environment Analysis</w:t>
      </w:r>
      <w:r w:rsidR="00BB7374" w:rsidRPr="002F0AE1">
        <w:rPr>
          <w:rStyle w:val="Strong"/>
          <w:b/>
          <w:bCs w:val="0"/>
        </w:rPr>
        <w:t xml:space="preserve"> </w:t>
      </w:r>
      <w:r w:rsidR="00BB7374" w:rsidRPr="002F0AE1">
        <w:t>(PESTLE Analysis)</w:t>
      </w:r>
      <w:bookmarkEnd w:id="6"/>
    </w:p>
    <w:p w14:paraId="60C7E363" w14:textId="38AFF008" w:rsidR="00BB7374" w:rsidRDefault="00BB7374" w:rsidP="00BB7374">
      <w:pPr>
        <w:rPr>
          <w:rFonts w:ascii="Arial" w:hAnsi="Arial" w:cs="Arial"/>
        </w:rPr>
      </w:pPr>
      <w:r w:rsidRPr="00BB7374">
        <w:rPr>
          <w:rFonts w:ascii="Arial" w:hAnsi="Arial" w:cs="Arial"/>
        </w:rPr>
        <w:t>To assess the external environment of Dove Personal Care in the United Kingdom, it is crucial to grasp the key components of the external environment.</w:t>
      </w:r>
      <w:r>
        <w:rPr>
          <w:rFonts w:ascii="Arial" w:hAnsi="Arial" w:cs="Arial"/>
        </w:rPr>
        <w:t xml:space="preserve"> </w:t>
      </w:r>
      <w:r w:rsidRPr="00BB7374">
        <w:rPr>
          <w:rFonts w:ascii="Arial" w:hAnsi="Arial" w:cs="Arial"/>
        </w:rPr>
        <w:t xml:space="preserve">It is important to understand the key elements of the external environment to understand the strategic position of Dove Personal Care in the United Kingdom. PESTLE is a tool that businesses use to </w:t>
      </w:r>
      <w:proofErr w:type="spellStart"/>
      <w:r w:rsidRPr="00BB7374">
        <w:rPr>
          <w:rFonts w:ascii="Arial" w:hAnsi="Arial" w:cs="Arial"/>
        </w:rPr>
        <w:t>analyse</w:t>
      </w:r>
      <w:proofErr w:type="spellEnd"/>
      <w:r w:rsidRPr="00BB7374">
        <w:rPr>
          <w:rFonts w:ascii="Arial" w:hAnsi="Arial" w:cs="Arial"/>
        </w:rPr>
        <w:t xml:space="preserve"> macro-environmental factors that impact their performance and business decision making (Johnson et al., 2020). The UK market offers a range of opportunities and threats for Dove due to political economic, social, technological, environmental and legal changes.</w:t>
      </w:r>
    </w:p>
    <w:p w14:paraId="50983507" w14:textId="05E68B97" w:rsidR="00385E48" w:rsidRPr="00BB7374" w:rsidRDefault="00385E48" w:rsidP="00BB7374">
      <w:pPr>
        <w:rPr>
          <w:rFonts w:ascii="Arial" w:hAnsi="Arial" w:cs="Arial"/>
        </w:rPr>
      </w:pPr>
      <w:r>
        <w:rPr>
          <w:noProof/>
        </w:rPr>
        <w:lastRenderedPageBreak/>
        <w:drawing>
          <wp:inline distT="0" distB="0" distL="0" distR="0" wp14:anchorId="7885CF82" wp14:editId="099618FA">
            <wp:extent cx="5654040" cy="3327400"/>
            <wp:effectExtent l="0" t="0" r="0" b="254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AE528E4" w14:textId="2C7C4D78" w:rsidR="00385E48" w:rsidRPr="00385E48" w:rsidRDefault="00385E48" w:rsidP="00385E48">
      <w:pPr>
        <w:pStyle w:val="Caption"/>
        <w:rPr>
          <w:rFonts w:ascii="Arial" w:hAnsi="Arial" w:cs="Arial"/>
        </w:rPr>
      </w:pPr>
      <w:bookmarkStart w:id="7" w:name="_Toc236776272"/>
      <w:r w:rsidRPr="00385E48">
        <w:rPr>
          <w:rFonts w:ascii="Arial" w:hAnsi="Arial" w:cs="Arial"/>
        </w:rPr>
        <w:t xml:space="preserve">Figure </w:t>
      </w:r>
      <w:r w:rsidRPr="00385E48">
        <w:rPr>
          <w:rFonts w:ascii="Arial" w:hAnsi="Arial" w:cs="Arial"/>
        </w:rPr>
        <w:fldChar w:fldCharType="begin"/>
      </w:r>
      <w:r w:rsidRPr="00385E48">
        <w:rPr>
          <w:rFonts w:ascii="Arial" w:hAnsi="Arial" w:cs="Arial"/>
        </w:rPr>
        <w:instrText xml:space="preserve"> SEQ Figure \* ARABIC </w:instrText>
      </w:r>
      <w:r w:rsidRPr="00385E48">
        <w:rPr>
          <w:rFonts w:ascii="Arial" w:hAnsi="Arial" w:cs="Arial"/>
        </w:rPr>
        <w:fldChar w:fldCharType="separate"/>
      </w:r>
      <w:r w:rsidR="00EE54B1">
        <w:rPr>
          <w:rFonts w:ascii="Arial" w:hAnsi="Arial" w:cs="Arial"/>
          <w:noProof/>
        </w:rPr>
        <w:t>3</w:t>
      </w:r>
      <w:r w:rsidRPr="00385E48">
        <w:rPr>
          <w:rFonts w:ascii="Arial" w:hAnsi="Arial" w:cs="Arial"/>
        </w:rPr>
        <w:fldChar w:fldCharType="end"/>
      </w:r>
      <w:r w:rsidRPr="00385E48">
        <w:rPr>
          <w:rFonts w:ascii="Arial" w:hAnsi="Arial" w:cs="Arial"/>
        </w:rPr>
        <w:t>:</w:t>
      </w:r>
      <w:r>
        <w:rPr>
          <w:rFonts w:ascii="Arial" w:hAnsi="Arial" w:cs="Arial"/>
        </w:rPr>
        <w:t xml:space="preserve"> </w:t>
      </w:r>
      <w:r w:rsidRPr="00385E48">
        <w:rPr>
          <w:rFonts w:ascii="Arial" w:hAnsi="Arial" w:cs="Arial"/>
        </w:rPr>
        <w:t>PESTLE Framework - Macro Environment</w:t>
      </w:r>
      <w:bookmarkEnd w:id="7"/>
    </w:p>
    <w:p w14:paraId="09322CB4" w14:textId="74132F69" w:rsidR="00385E48" w:rsidRPr="002F0AE1" w:rsidRDefault="00385E48" w:rsidP="002F0AE1">
      <w:pPr>
        <w:pStyle w:val="Heading2"/>
      </w:pPr>
      <w:bookmarkStart w:id="8" w:name="_Toc236776219"/>
      <w:r w:rsidRPr="002F0AE1">
        <w:t>Political</w:t>
      </w:r>
      <w:bookmarkEnd w:id="8"/>
    </w:p>
    <w:p w14:paraId="6F6B4334" w14:textId="344654DB" w:rsidR="00BB7374" w:rsidRPr="00BB7374" w:rsidRDefault="00BB7374" w:rsidP="00BB7374">
      <w:pPr>
        <w:rPr>
          <w:rFonts w:ascii="Arial" w:hAnsi="Arial" w:cs="Arial"/>
        </w:rPr>
      </w:pPr>
      <w:r w:rsidRPr="00BB7374">
        <w:rPr>
          <w:rFonts w:ascii="Arial" w:hAnsi="Arial" w:cs="Arial"/>
        </w:rPr>
        <w:t>Politically, the post-Brexit trade landscape in the UK has brought about regulatory changes, customs processes and supply chain challenges which have implications for multinational consumer goods firms (Department for Business and Trade, 2024). However, companies like Unilever are encouraged to build up environmentally responsible operations because of the support they receive from the government to make manufacturing more sustainable and move towards the circular economy.</w:t>
      </w:r>
    </w:p>
    <w:p w14:paraId="0D5E5E72" w14:textId="4C0DD4D4" w:rsidR="00385E48" w:rsidRPr="002F0AE1" w:rsidRDefault="00385E48" w:rsidP="002F0AE1">
      <w:pPr>
        <w:pStyle w:val="Heading2"/>
      </w:pPr>
      <w:bookmarkStart w:id="9" w:name="_Toc236776220"/>
      <w:r w:rsidRPr="002F0AE1">
        <w:t>Economic</w:t>
      </w:r>
      <w:bookmarkEnd w:id="9"/>
    </w:p>
    <w:p w14:paraId="00FE0480" w14:textId="58FBCE1F" w:rsidR="00BB7374" w:rsidRDefault="00BB7374" w:rsidP="00BB7374">
      <w:pPr>
        <w:rPr>
          <w:rFonts w:ascii="Arial" w:hAnsi="Arial" w:cs="Arial"/>
        </w:rPr>
      </w:pPr>
      <w:r w:rsidRPr="00BB7374">
        <w:rPr>
          <w:rFonts w:ascii="Arial" w:hAnsi="Arial" w:cs="Arial"/>
        </w:rPr>
        <w:t>Economic conditions continue to be difficult with inflation and rising living costs impacting consumers' purchasing power and therefore worsening price sensitivity in the FMCG sector (Office for National Statistics (ONS), 2024). Although private-planets are competing with Dove, the popularity of the brand along with the perception of the quality of the product keeps customers coming back, even in the times of economic downturn.</w:t>
      </w:r>
    </w:p>
    <w:p w14:paraId="4F1F7039" w14:textId="0421294E" w:rsidR="00385E48" w:rsidRPr="002F0AE1" w:rsidRDefault="00385E48" w:rsidP="002F0AE1">
      <w:pPr>
        <w:pStyle w:val="Heading2"/>
      </w:pPr>
      <w:bookmarkStart w:id="10" w:name="_Toc236776221"/>
      <w:r w:rsidRPr="002F0AE1">
        <w:t>Social</w:t>
      </w:r>
      <w:bookmarkEnd w:id="10"/>
    </w:p>
    <w:p w14:paraId="2BFF577A" w14:textId="54E12FB2" w:rsidR="00BB7374" w:rsidRDefault="00BB7374" w:rsidP="00BB7374">
      <w:pPr>
        <w:rPr>
          <w:rFonts w:ascii="Arial" w:hAnsi="Arial" w:cs="Arial"/>
        </w:rPr>
      </w:pPr>
      <w:r w:rsidRPr="00BB7374">
        <w:rPr>
          <w:rFonts w:ascii="Arial" w:hAnsi="Arial" w:cs="Arial"/>
        </w:rPr>
        <w:t xml:space="preserve">Social environment offers </w:t>
      </w:r>
      <w:proofErr w:type="spellStart"/>
      <w:r w:rsidRPr="00BB7374">
        <w:rPr>
          <w:rFonts w:ascii="Arial" w:hAnsi="Arial" w:cs="Arial"/>
        </w:rPr>
        <w:t>favourable</w:t>
      </w:r>
      <w:proofErr w:type="spellEnd"/>
      <w:r w:rsidRPr="00BB7374">
        <w:rPr>
          <w:rFonts w:ascii="Arial" w:hAnsi="Arial" w:cs="Arial"/>
        </w:rPr>
        <w:t xml:space="preserve"> growth opportunities. When choosing personal care products, UK consumers are becoming more health conscious, well-informed about diversity, and conscious of the ethical choices they make. Dove's Real Beauty </w:t>
      </w:r>
      <w:r w:rsidRPr="00BB7374">
        <w:rPr>
          <w:rFonts w:ascii="Arial" w:hAnsi="Arial" w:cs="Arial"/>
        </w:rPr>
        <w:lastRenderedPageBreak/>
        <w:t>campaign, which has been going on for years, and the Dove Self-Esteem Project would align closely with these shifting consumer values, fostering positive self-image, body confidence, and inclusivity, in order to enhance consumer engagement (Dove 2024).</w:t>
      </w:r>
    </w:p>
    <w:p w14:paraId="5DEFB4C7" w14:textId="21CA141D" w:rsidR="00385E48" w:rsidRPr="002F0AE1" w:rsidRDefault="00385E48" w:rsidP="002F0AE1">
      <w:pPr>
        <w:pStyle w:val="Heading2"/>
      </w:pPr>
      <w:bookmarkStart w:id="11" w:name="_Toc236776222"/>
      <w:r w:rsidRPr="002F0AE1">
        <w:t>Technological</w:t>
      </w:r>
      <w:bookmarkEnd w:id="11"/>
    </w:p>
    <w:p w14:paraId="7DCBA6E7" w14:textId="69D9D44F" w:rsidR="00BB7374" w:rsidRDefault="00BB7374" w:rsidP="00BB7374">
      <w:pPr>
        <w:rPr>
          <w:rFonts w:ascii="Arial" w:hAnsi="Arial" w:cs="Arial"/>
        </w:rPr>
      </w:pPr>
      <w:r w:rsidRPr="00BB7374">
        <w:rPr>
          <w:rFonts w:ascii="Arial" w:hAnsi="Arial" w:cs="Arial"/>
        </w:rPr>
        <w:t>The personal care market is undergoing rapid change, thereby transforming the marketplace.</w:t>
      </w:r>
      <w:r>
        <w:rPr>
          <w:rFonts w:ascii="Arial" w:hAnsi="Arial" w:cs="Arial"/>
        </w:rPr>
        <w:t xml:space="preserve"> </w:t>
      </w:r>
      <w:r w:rsidRPr="00BB7374">
        <w:rPr>
          <w:rFonts w:ascii="Arial" w:hAnsi="Arial" w:cs="Arial"/>
        </w:rPr>
        <w:t xml:space="preserve">The personal care marketplace is changing rapidly due to the technological development. As ecommerce, artificial intelligence (AI) marketing, data analytics and digital consumer engagement continues to grow, businesses are now able to </w:t>
      </w:r>
      <w:proofErr w:type="spellStart"/>
      <w:r w:rsidRPr="00BB7374">
        <w:rPr>
          <w:rFonts w:ascii="Arial" w:hAnsi="Arial" w:cs="Arial"/>
        </w:rPr>
        <w:t>personalise</w:t>
      </w:r>
      <w:proofErr w:type="spellEnd"/>
      <w:r w:rsidRPr="00BB7374">
        <w:rPr>
          <w:rFonts w:ascii="Arial" w:hAnsi="Arial" w:cs="Arial"/>
        </w:rPr>
        <w:t xml:space="preserve"> customer interactions and enhance marketing performance (Chaffey, 2022). Unilever has been investing in digital transformation furthering Dove's omnichannel presence and consumer insights capabilities (Unilever, 2024a).</w:t>
      </w:r>
    </w:p>
    <w:p w14:paraId="64B2DC9F" w14:textId="3CC6BE9E" w:rsidR="00F25F5E" w:rsidRPr="002F0AE1" w:rsidRDefault="00F25F5E" w:rsidP="002F0AE1">
      <w:pPr>
        <w:pStyle w:val="Heading2"/>
      </w:pPr>
      <w:bookmarkStart w:id="12" w:name="_Toc236776223"/>
      <w:r w:rsidRPr="002F0AE1">
        <w:t>Environmental</w:t>
      </w:r>
      <w:bookmarkEnd w:id="12"/>
    </w:p>
    <w:p w14:paraId="08CEF17B" w14:textId="77777777" w:rsidR="00BB7374" w:rsidRPr="00BB7374" w:rsidRDefault="00BB7374" w:rsidP="00BB7374">
      <w:pPr>
        <w:rPr>
          <w:rFonts w:ascii="Arial" w:hAnsi="Arial" w:cs="Arial"/>
        </w:rPr>
      </w:pPr>
      <w:r w:rsidRPr="00BB7374">
        <w:rPr>
          <w:rFonts w:ascii="Arial" w:hAnsi="Arial" w:cs="Arial"/>
        </w:rPr>
        <w:t>Environmental expectations have been rising due to growing awareness of climate change and the sustainability of its resources. Consumers are becoming more environmentally conscious and opting for recycled packaging, ethically sourced ingredients, and lower carbon emissions. Dove aims to lower environmental impact and enhance its brand credibility by implementing the Unilever Climate Transition Action Plan and sustainable packaging measures (Unilever, 2024a).</w:t>
      </w:r>
    </w:p>
    <w:p w14:paraId="5076D739" w14:textId="7E091B27" w:rsidR="00F25F5E" w:rsidRPr="002F0AE1" w:rsidRDefault="00F25F5E" w:rsidP="002F0AE1">
      <w:pPr>
        <w:pStyle w:val="Heading2"/>
      </w:pPr>
      <w:bookmarkStart w:id="13" w:name="_Toc236776224"/>
      <w:r w:rsidRPr="002F0AE1">
        <w:t>Legal</w:t>
      </w:r>
      <w:bookmarkEnd w:id="13"/>
    </w:p>
    <w:p w14:paraId="0612B9CE" w14:textId="7DA2251D" w:rsidR="00BB7374" w:rsidRPr="00BB7374" w:rsidRDefault="00F25F5E" w:rsidP="00BB7374">
      <w:pPr>
        <w:rPr>
          <w:rFonts w:ascii="Arial" w:hAnsi="Arial" w:cs="Arial"/>
        </w:rPr>
      </w:pPr>
      <w:r>
        <w:rPr>
          <w:rFonts w:ascii="Arial" w:hAnsi="Arial" w:cs="Arial"/>
        </w:rPr>
        <w:t>Finally</w:t>
      </w:r>
      <w:r w:rsidR="00BB7374" w:rsidRPr="00BB7374">
        <w:rPr>
          <w:rFonts w:ascii="Arial" w:hAnsi="Arial" w:cs="Arial"/>
        </w:rPr>
        <w:t>, the legal arena must be adhered to and strictly followed by ensuring compliance with UK consumer protection legislation, product safety regulations, advertising standards and environmental requirements. Besides this, the Competition and Markets Authority (CMA) has given more attention to the meaning of Ecolabel marketing claims, which have to be backed up by evidence, and the prohibition of greenwashing (Competition and Markets Authority, 2021). Good governance and good regulatory compliance are therefore very critical in safeguarding Dove's image and maintaining its competitive advantage.</w:t>
      </w:r>
    </w:p>
    <w:p w14:paraId="603683A2" w14:textId="5E212D51" w:rsidR="00BB7374" w:rsidRDefault="00BB7374" w:rsidP="00BB7374">
      <w:pPr>
        <w:rPr>
          <w:rFonts w:ascii="Arial" w:hAnsi="Arial" w:cs="Arial"/>
        </w:rPr>
      </w:pPr>
      <w:r w:rsidRPr="00BB7374">
        <w:rPr>
          <w:rFonts w:ascii="Arial" w:hAnsi="Arial" w:cs="Arial"/>
        </w:rPr>
        <w:t xml:space="preserve">In conclusion, the PESTLE analysis reveals that while external factors such as economic pressures and regulatory complexities pose challenges, the changing consumer preferences for sustainability, digital engagement, and inclusive branding </w:t>
      </w:r>
      <w:r w:rsidRPr="00BB7374">
        <w:rPr>
          <w:rFonts w:ascii="Arial" w:hAnsi="Arial" w:cs="Arial"/>
        </w:rPr>
        <w:lastRenderedPageBreak/>
        <w:t>create significant opportunities for Dove to strengthen its competitive edge in the UK personal care market.</w:t>
      </w:r>
    </w:p>
    <w:p w14:paraId="39D45E35" w14:textId="3B2709BB" w:rsidR="00DF4BC7" w:rsidRPr="00DF4BC7" w:rsidRDefault="00DF4BC7" w:rsidP="00DF4BC7">
      <w:pPr>
        <w:pStyle w:val="Caption"/>
        <w:rPr>
          <w:rFonts w:ascii="Arial" w:hAnsi="Arial" w:cs="Arial"/>
          <w:b/>
          <w:bCs/>
          <w:i w:val="0"/>
          <w:iCs w:val="0"/>
          <w:color w:val="auto"/>
          <w:sz w:val="24"/>
          <w:szCs w:val="24"/>
        </w:rPr>
      </w:pPr>
      <w:bookmarkStart w:id="14" w:name="_Toc236776268"/>
      <w:r w:rsidRPr="00DF4BC7">
        <w:rPr>
          <w:rFonts w:ascii="Arial" w:hAnsi="Arial" w:cs="Arial"/>
          <w:b/>
          <w:bCs/>
          <w:i w:val="0"/>
          <w:iCs w:val="0"/>
          <w:color w:val="auto"/>
          <w:sz w:val="24"/>
          <w:szCs w:val="24"/>
        </w:rPr>
        <w:t xml:space="preserve">Table </w:t>
      </w:r>
      <w:r w:rsidRPr="00DF4BC7">
        <w:rPr>
          <w:rFonts w:ascii="Arial" w:hAnsi="Arial" w:cs="Arial"/>
          <w:b/>
          <w:bCs/>
          <w:i w:val="0"/>
          <w:iCs w:val="0"/>
          <w:color w:val="auto"/>
          <w:sz w:val="24"/>
          <w:szCs w:val="24"/>
        </w:rPr>
        <w:fldChar w:fldCharType="begin"/>
      </w:r>
      <w:r w:rsidRPr="00DF4BC7">
        <w:rPr>
          <w:rFonts w:ascii="Arial" w:hAnsi="Arial" w:cs="Arial"/>
          <w:b/>
          <w:bCs/>
          <w:i w:val="0"/>
          <w:iCs w:val="0"/>
          <w:color w:val="auto"/>
          <w:sz w:val="24"/>
          <w:szCs w:val="24"/>
        </w:rPr>
        <w:instrText xml:space="preserve"> SEQ Table \* ARABIC </w:instrText>
      </w:r>
      <w:r w:rsidRPr="00DF4BC7">
        <w:rPr>
          <w:rFonts w:ascii="Arial" w:hAnsi="Arial" w:cs="Arial"/>
          <w:b/>
          <w:bCs/>
          <w:i w:val="0"/>
          <w:iCs w:val="0"/>
          <w:color w:val="auto"/>
          <w:sz w:val="24"/>
          <w:szCs w:val="24"/>
        </w:rPr>
        <w:fldChar w:fldCharType="separate"/>
      </w:r>
      <w:r w:rsidR="00E912FB">
        <w:rPr>
          <w:rFonts w:ascii="Arial" w:hAnsi="Arial" w:cs="Arial"/>
          <w:b/>
          <w:bCs/>
          <w:i w:val="0"/>
          <w:iCs w:val="0"/>
          <w:noProof/>
          <w:color w:val="auto"/>
          <w:sz w:val="24"/>
          <w:szCs w:val="24"/>
        </w:rPr>
        <w:t>1</w:t>
      </w:r>
      <w:r w:rsidRPr="00DF4BC7">
        <w:rPr>
          <w:rFonts w:ascii="Arial" w:hAnsi="Arial" w:cs="Arial"/>
          <w:b/>
          <w:bCs/>
          <w:i w:val="0"/>
          <w:iCs w:val="0"/>
          <w:color w:val="auto"/>
          <w:sz w:val="24"/>
          <w:szCs w:val="24"/>
        </w:rPr>
        <w:fldChar w:fldCharType="end"/>
      </w:r>
      <w:r w:rsidRPr="00DF4BC7">
        <w:rPr>
          <w:rFonts w:ascii="Arial" w:hAnsi="Arial" w:cs="Arial"/>
          <w:b/>
          <w:bCs/>
          <w:i w:val="0"/>
          <w:iCs w:val="0"/>
          <w:color w:val="auto"/>
          <w:sz w:val="24"/>
          <w:szCs w:val="24"/>
        </w:rPr>
        <w:t>: PESTLE Analysis of Dove Personal Care in the United Kingdom</w:t>
      </w:r>
      <w:bookmarkEnd w:id="1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0"/>
        <w:gridCol w:w="3733"/>
        <w:gridCol w:w="3683"/>
      </w:tblGrid>
      <w:tr w:rsidR="00DF4BC7" w:rsidRPr="00DF4BC7" w14:paraId="49EC2888" w14:textId="77777777" w:rsidTr="00DF4BC7">
        <w:trPr>
          <w:tblHeader/>
          <w:tblCellSpacing w:w="15" w:type="dxa"/>
        </w:trPr>
        <w:tc>
          <w:tcPr>
            <w:tcW w:w="0" w:type="auto"/>
            <w:vAlign w:val="center"/>
            <w:hideMark/>
          </w:tcPr>
          <w:p w14:paraId="145B4135" w14:textId="77777777" w:rsidR="00DF4BC7" w:rsidRPr="00DF4BC7" w:rsidRDefault="00DF4BC7" w:rsidP="00DF4BC7">
            <w:pPr>
              <w:spacing w:after="0" w:line="240" w:lineRule="auto"/>
              <w:jc w:val="center"/>
              <w:rPr>
                <w:rFonts w:ascii="Arial" w:eastAsia="Times New Roman" w:hAnsi="Arial" w:cs="Arial"/>
                <w:b/>
                <w:bCs/>
                <w:szCs w:val="24"/>
              </w:rPr>
            </w:pPr>
            <w:r w:rsidRPr="00DF4BC7">
              <w:rPr>
                <w:rFonts w:ascii="Arial" w:eastAsia="Times New Roman" w:hAnsi="Arial" w:cs="Arial"/>
                <w:b/>
                <w:bCs/>
                <w:szCs w:val="24"/>
              </w:rPr>
              <w:t>Factor</w:t>
            </w:r>
          </w:p>
        </w:tc>
        <w:tc>
          <w:tcPr>
            <w:tcW w:w="0" w:type="auto"/>
            <w:vAlign w:val="center"/>
            <w:hideMark/>
          </w:tcPr>
          <w:p w14:paraId="0BE14D7F" w14:textId="77777777" w:rsidR="00DF4BC7" w:rsidRPr="00DF4BC7" w:rsidRDefault="00DF4BC7" w:rsidP="00DF4BC7">
            <w:pPr>
              <w:spacing w:after="0" w:line="240" w:lineRule="auto"/>
              <w:jc w:val="center"/>
              <w:rPr>
                <w:rFonts w:ascii="Arial" w:eastAsia="Times New Roman" w:hAnsi="Arial" w:cs="Arial"/>
                <w:b/>
                <w:bCs/>
                <w:szCs w:val="24"/>
              </w:rPr>
            </w:pPr>
            <w:r w:rsidRPr="00DF4BC7">
              <w:rPr>
                <w:rFonts w:ascii="Arial" w:eastAsia="Times New Roman" w:hAnsi="Arial" w:cs="Arial"/>
                <w:b/>
                <w:bCs/>
                <w:szCs w:val="24"/>
              </w:rPr>
              <w:t>Key Issues</w:t>
            </w:r>
          </w:p>
        </w:tc>
        <w:tc>
          <w:tcPr>
            <w:tcW w:w="0" w:type="auto"/>
            <w:vAlign w:val="center"/>
            <w:hideMark/>
          </w:tcPr>
          <w:p w14:paraId="5D66C04D" w14:textId="77777777" w:rsidR="00DF4BC7" w:rsidRPr="00DF4BC7" w:rsidRDefault="00DF4BC7" w:rsidP="00DF4BC7">
            <w:pPr>
              <w:spacing w:after="0" w:line="240" w:lineRule="auto"/>
              <w:jc w:val="center"/>
              <w:rPr>
                <w:rFonts w:ascii="Arial" w:eastAsia="Times New Roman" w:hAnsi="Arial" w:cs="Arial"/>
                <w:b/>
                <w:bCs/>
                <w:szCs w:val="24"/>
              </w:rPr>
            </w:pPr>
            <w:r w:rsidRPr="00DF4BC7">
              <w:rPr>
                <w:rFonts w:ascii="Arial" w:eastAsia="Times New Roman" w:hAnsi="Arial" w:cs="Arial"/>
                <w:b/>
                <w:bCs/>
                <w:szCs w:val="24"/>
              </w:rPr>
              <w:t>Strategic Implication for Dove</w:t>
            </w:r>
          </w:p>
        </w:tc>
      </w:tr>
      <w:tr w:rsidR="00DF4BC7" w:rsidRPr="00DF4BC7" w14:paraId="001B3BC3" w14:textId="77777777" w:rsidTr="00DF4BC7">
        <w:trPr>
          <w:tblCellSpacing w:w="15" w:type="dxa"/>
        </w:trPr>
        <w:tc>
          <w:tcPr>
            <w:tcW w:w="0" w:type="auto"/>
            <w:vAlign w:val="center"/>
            <w:hideMark/>
          </w:tcPr>
          <w:p w14:paraId="03DBCC17"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Political</w:t>
            </w:r>
          </w:p>
        </w:tc>
        <w:tc>
          <w:tcPr>
            <w:tcW w:w="0" w:type="auto"/>
            <w:vAlign w:val="center"/>
            <w:hideMark/>
          </w:tcPr>
          <w:p w14:paraId="22314A4D"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Post-Brexit trade regulations; sustainability policies</w:t>
            </w:r>
          </w:p>
        </w:tc>
        <w:tc>
          <w:tcPr>
            <w:tcW w:w="0" w:type="auto"/>
            <w:vAlign w:val="center"/>
            <w:hideMark/>
          </w:tcPr>
          <w:p w14:paraId="57FC2B70"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Improve supply-chain resilience and sustainable operations</w:t>
            </w:r>
          </w:p>
        </w:tc>
      </w:tr>
      <w:tr w:rsidR="00DF4BC7" w:rsidRPr="00DF4BC7" w14:paraId="4E193EAB" w14:textId="77777777" w:rsidTr="00DF4BC7">
        <w:trPr>
          <w:tblCellSpacing w:w="15" w:type="dxa"/>
        </w:trPr>
        <w:tc>
          <w:tcPr>
            <w:tcW w:w="0" w:type="auto"/>
            <w:vAlign w:val="center"/>
            <w:hideMark/>
          </w:tcPr>
          <w:p w14:paraId="2FD053AD"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Economic</w:t>
            </w:r>
          </w:p>
        </w:tc>
        <w:tc>
          <w:tcPr>
            <w:tcW w:w="0" w:type="auto"/>
            <w:vAlign w:val="center"/>
            <w:hideMark/>
          </w:tcPr>
          <w:p w14:paraId="6626D14A"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Inflation; cost-of-living pressures</w:t>
            </w:r>
          </w:p>
        </w:tc>
        <w:tc>
          <w:tcPr>
            <w:tcW w:w="0" w:type="auto"/>
            <w:vAlign w:val="center"/>
            <w:hideMark/>
          </w:tcPr>
          <w:p w14:paraId="7A37EA02"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Strengthen value proposition and pricing strategy</w:t>
            </w:r>
          </w:p>
        </w:tc>
      </w:tr>
      <w:tr w:rsidR="00DF4BC7" w:rsidRPr="00DF4BC7" w14:paraId="1EC19257" w14:textId="77777777" w:rsidTr="00DF4BC7">
        <w:trPr>
          <w:tblCellSpacing w:w="15" w:type="dxa"/>
        </w:trPr>
        <w:tc>
          <w:tcPr>
            <w:tcW w:w="0" w:type="auto"/>
            <w:vAlign w:val="center"/>
            <w:hideMark/>
          </w:tcPr>
          <w:p w14:paraId="39860E59"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Social</w:t>
            </w:r>
          </w:p>
        </w:tc>
        <w:tc>
          <w:tcPr>
            <w:tcW w:w="0" w:type="auto"/>
            <w:vAlign w:val="center"/>
            <w:hideMark/>
          </w:tcPr>
          <w:p w14:paraId="66E13935"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Demand for inclusivity, wellness and ethical brands</w:t>
            </w:r>
          </w:p>
        </w:tc>
        <w:tc>
          <w:tcPr>
            <w:tcW w:w="0" w:type="auto"/>
            <w:vAlign w:val="center"/>
            <w:hideMark/>
          </w:tcPr>
          <w:p w14:paraId="695C8E07"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Enhance purpose-led branding and customer engagement</w:t>
            </w:r>
          </w:p>
        </w:tc>
      </w:tr>
      <w:tr w:rsidR="00DF4BC7" w:rsidRPr="00DF4BC7" w14:paraId="18ACDED4" w14:textId="77777777" w:rsidTr="00DF4BC7">
        <w:trPr>
          <w:tblCellSpacing w:w="15" w:type="dxa"/>
        </w:trPr>
        <w:tc>
          <w:tcPr>
            <w:tcW w:w="0" w:type="auto"/>
            <w:vAlign w:val="center"/>
            <w:hideMark/>
          </w:tcPr>
          <w:p w14:paraId="0317C763"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Technological</w:t>
            </w:r>
          </w:p>
        </w:tc>
        <w:tc>
          <w:tcPr>
            <w:tcW w:w="0" w:type="auto"/>
            <w:vAlign w:val="center"/>
            <w:hideMark/>
          </w:tcPr>
          <w:p w14:paraId="4248C1C9"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AI, e-commerce, digital marketing, data analytics</w:t>
            </w:r>
          </w:p>
        </w:tc>
        <w:tc>
          <w:tcPr>
            <w:tcW w:w="0" w:type="auto"/>
            <w:vAlign w:val="center"/>
            <w:hideMark/>
          </w:tcPr>
          <w:p w14:paraId="7C3F04EC"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 xml:space="preserve">Expand omnichannel capabilities and </w:t>
            </w:r>
            <w:proofErr w:type="spellStart"/>
            <w:r w:rsidRPr="00DF4BC7">
              <w:rPr>
                <w:rFonts w:ascii="Arial" w:eastAsia="Times New Roman" w:hAnsi="Arial" w:cs="Arial"/>
                <w:szCs w:val="24"/>
              </w:rPr>
              <w:t>personalised</w:t>
            </w:r>
            <w:proofErr w:type="spellEnd"/>
            <w:r w:rsidRPr="00DF4BC7">
              <w:rPr>
                <w:rFonts w:ascii="Arial" w:eastAsia="Times New Roman" w:hAnsi="Arial" w:cs="Arial"/>
                <w:szCs w:val="24"/>
              </w:rPr>
              <w:t xml:space="preserve"> marketing</w:t>
            </w:r>
          </w:p>
        </w:tc>
      </w:tr>
      <w:tr w:rsidR="00DF4BC7" w:rsidRPr="00DF4BC7" w14:paraId="7B40474D" w14:textId="77777777" w:rsidTr="00DF4BC7">
        <w:trPr>
          <w:tblCellSpacing w:w="15" w:type="dxa"/>
        </w:trPr>
        <w:tc>
          <w:tcPr>
            <w:tcW w:w="0" w:type="auto"/>
            <w:vAlign w:val="center"/>
            <w:hideMark/>
          </w:tcPr>
          <w:p w14:paraId="3AED1FB1"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Environmental</w:t>
            </w:r>
          </w:p>
        </w:tc>
        <w:tc>
          <w:tcPr>
            <w:tcW w:w="0" w:type="auto"/>
            <w:vAlign w:val="center"/>
            <w:hideMark/>
          </w:tcPr>
          <w:p w14:paraId="35E59761"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Sustainable packaging; carbon reduction; circular economy</w:t>
            </w:r>
          </w:p>
        </w:tc>
        <w:tc>
          <w:tcPr>
            <w:tcW w:w="0" w:type="auto"/>
            <w:vAlign w:val="center"/>
            <w:hideMark/>
          </w:tcPr>
          <w:p w14:paraId="43ED220E"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Accelerate eco-friendly product and packaging innovation</w:t>
            </w:r>
          </w:p>
        </w:tc>
      </w:tr>
      <w:tr w:rsidR="00DF4BC7" w:rsidRPr="00DF4BC7" w14:paraId="6810A845" w14:textId="77777777" w:rsidTr="00DF4BC7">
        <w:trPr>
          <w:tblCellSpacing w:w="15" w:type="dxa"/>
        </w:trPr>
        <w:tc>
          <w:tcPr>
            <w:tcW w:w="0" w:type="auto"/>
            <w:vAlign w:val="center"/>
            <w:hideMark/>
          </w:tcPr>
          <w:p w14:paraId="6BFC5B77"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Legal</w:t>
            </w:r>
          </w:p>
        </w:tc>
        <w:tc>
          <w:tcPr>
            <w:tcW w:w="0" w:type="auto"/>
            <w:vAlign w:val="center"/>
            <w:hideMark/>
          </w:tcPr>
          <w:p w14:paraId="4B4DE63B"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Consumer protection, advertising standards, CMA Green Claims Code</w:t>
            </w:r>
          </w:p>
        </w:tc>
        <w:tc>
          <w:tcPr>
            <w:tcW w:w="0" w:type="auto"/>
            <w:vAlign w:val="center"/>
            <w:hideMark/>
          </w:tcPr>
          <w:p w14:paraId="068644F9" w14:textId="77777777" w:rsidR="00DF4BC7" w:rsidRPr="00DF4BC7" w:rsidRDefault="00DF4BC7" w:rsidP="00DF4BC7">
            <w:pPr>
              <w:spacing w:after="0" w:line="240" w:lineRule="auto"/>
              <w:jc w:val="left"/>
              <w:rPr>
                <w:rFonts w:ascii="Arial" w:eastAsia="Times New Roman" w:hAnsi="Arial" w:cs="Arial"/>
                <w:szCs w:val="24"/>
              </w:rPr>
            </w:pPr>
            <w:r w:rsidRPr="00DF4BC7">
              <w:rPr>
                <w:rFonts w:ascii="Arial" w:eastAsia="Times New Roman" w:hAnsi="Arial" w:cs="Arial"/>
                <w:szCs w:val="24"/>
              </w:rPr>
              <w:t>Ensure compliance and transparent sustainability communication</w:t>
            </w:r>
          </w:p>
        </w:tc>
      </w:tr>
    </w:tbl>
    <w:p w14:paraId="40F9C860" w14:textId="75AA3C15" w:rsidR="00DF4BC7" w:rsidRPr="00DF4BC7" w:rsidRDefault="00DF4BC7" w:rsidP="00BB7374">
      <w:pPr>
        <w:rPr>
          <w:rFonts w:ascii="Arial" w:hAnsi="Arial" w:cs="Arial"/>
          <w:sz w:val="18"/>
          <w:szCs w:val="18"/>
        </w:rPr>
      </w:pPr>
      <w:r w:rsidRPr="00DF4BC7">
        <w:rPr>
          <w:rStyle w:val="Emphasis"/>
          <w:rFonts w:ascii="Arial" w:hAnsi="Arial" w:cs="Arial"/>
          <w:sz w:val="18"/>
          <w:szCs w:val="18"/>
        </w:rPr>
        <w:t>Source: Developed by the author based on Johnson et al. (2020), Competition and Markets Authority (2021), Department for Business and Trade (2024), Office for National Statistics (2024), Dove (2024), and Unilever (2024a).</w:t>
      </w:r>
    </w:p>
    <w:p w14:paraId="683E36F8" w14:textId="77B5CB8C" w:rsidR="00AF2A89" w:rsidRPr="002F0AE1" w:rsidRDefault="00AF2A89" w:rsidP="002F0AE1">
      <w:pPr>
        <w:pStyle w:val="Heading2"/>
      </w:pPr>
      <w:bookmarkStart w:id="15" w:name="_Toc236776225"/>
      <w:r w:rsidRPr="002F0AE1">
        <w:lastRenderedPageBreak/>
        <w:t>3.2 Industry Structure Analysis (Porter's Five Forces)</w:t>
      </w:r>
      <w:bookmarkEnd w:id="15"/>
    </w:p>
    <w:p w14:paraId="144EC322" w14:textId="7C26B9EA" w:rsidR="00AF2A89" w:rsidRPr="00AF2A89" w:rsidRDefault="00AF2A89" w:rsidP="00AF2A89">
      <w:r>
        <w:rPr>
          <w:noProof/>
        </w:rPr>
        <w:drawing>
          <wp:inline distT="0" distB="0" distL="0" distR="0" wp14:anchorId="4D7C7169" wp14:editId="565D3276">
            <wp:extent cx="5731510" cy="54038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b="5717"/>
                    <a:stretch/>
                  </pic:blipFill>
                  <pic:spPr bwMode="auto">
                    <a:xfrm>
                      <a:off x="0" y="0"/>
                      <a:ext cx="5731510" cy="5403850"/>
                    </a:xfrm>
                    <a:prstGeom prst="rect">
                      <a:avLst/>
                    </a:prstGeom>
                    <a:noFill/>
                    <a:ln>
                      <a:noFill/>
                    </a:ln>
                    <a:extLst>
                      <a:ext uri="{53640926-AAD7-44D8-BBD7-CCE9431645EC}">
                        <a14:shadowObscured xmlns:a14="http://schemas.microsoft.com/office/drawing/2010/main"/>
                      </a:ext>
                    </a:extLst>
                  </pic:spPr>
                </pic:pic>
              </a:graphicData>
            </a:graphic>
          </wp:inline>
        </w:drawing>
      </w:r>
    </w:p>
    <w:p w14:paraId="6BC735EB" w14:textId="248795B0" w:rsidR="00AF2A89" w:rsidRDefault="00AF2A89" w:rsidP="00AF2A89">
      <w:pPr>
        <w:pStyle w:val="Caption"/>
        <w:rPr>
          <w:rFonts w:ascii="Arial" w:hAnsi="Arial" w:cs="Arial"/>
        </w:rPr>
      </w:pPr>
      <w:bookmarkStart w:id="16" w:name="_Toc236776273"/>
      <w:r w:rsidRPr="00AF2A89">
        <w:rPr>
          <w:rFonts w:ascii="Arial" w:hAnsi="Arial" w:cs="Arial"/>
        </w:rPr>
        <w:t xml:space="preserve">Figure </w:t>
      </w:r>
      <w:r w:rsidRPr="00AF2A89">
        <w:rPr>
          <w:rFonts w:ascii="Arial" w:hAnsi="Arial" w:cs="Arial"/>
        </w:rPr>
        <w:fldChar w:fldCharType="begin"/>
      </w:r>
      <w:r w:rsidRPr="00AF2A89">
        <w:rPr>
          <w:rFonts w:ascii="Arial" w:hAnsi="Arial" w:cs="Arial"/>
        </w:rPr>
        <w:instrText xml:space="preserve"> SEQ Figure \* ARABIC </w:instrText>
      </w:r>
      <w:r w:rsidRPr="00AF2A89">
        <w:rPr>
          <w:rFonts w:ascii="Arial" w:hAnsi="Arial" w:cs="Arial"/>
        </w:rPr>
        <w:fldChar w:fldCharType="separate"/>
      </w:r>
      <w:r w:rsidR="00EE54B1">
        <w:rPr>
          <w:rFonts w:ascii="Arial" w:hAnsi="Arial" w:cs="Arial"/>
          <w:noProof/>
        </w:rPr>
        <w:t>4</w:t>
      </w:r>
      <w:r w:rsidRPr="00AF2A89">
        <w:rPr>
          <w:rFonts w:ascii="Arial" w:hAnsi="Arial" w:cs="Arial"/>
        </w:rPr>
        <w:fldChar w:fldCharType="end"/>
      </w:r>
      <w:r w:rsidRPr="00AF2A89">
        <w:rPr>
          <w:rFonts w:ascii="Arial" w:hAnsi="Arial" w:cs="Arial"/>
        </w:rPr>
        <w:t>: Porter's Five Forces Analysis of Dove Personal Care in the United Kingdom</w:t>
      </w:r>
      <w:bookmarkEnd w:id="16"/>
    </w:p>
    <w:p w14:paraId="4E0BCF03" w14:textId="3901911E" w:rsidR="00AF2A89" w:rsidRPr="00AF2A89" w:rsidRDefault="00AF2A89" w:rsidP="00AF2A89">
      <w:pPr>
        <w:rPr>
          <w:rFonts w:ascii="Arial" w:hAnsi="Arial" w:cs="Arial"/>
          <w:sz w:val="18"/>
          <w:szCs w:val="18"/>
        </w:rPr>
      </w:pPr>
      <w:r>
        <w:rPr>
          <w:rStyle w:val="Emphasis"/>
          <w:rFonts w:ascii="Arial" w:hAnsi="Arial" w:cs="Arial"/>
          <w:sz w:val="18"/>
          <w:szCs w:val="18"/>
        </w:rPr>
        <w:t xml:space="preserve">Source: </w:t>
      </w:r>
      <w:r w:rsidRPr="00AF2A89">
        <w:rPr>
          <w:rStyle w:val="Emphasis"/>
          <w:rFonts w:ascii="Arial" w:hAnsi="Arial" w:cs="Arial"/>
          <w:sz w:val="18"/>
          <w:szCs w:val="18"/>
        </w:rPr>
        <w:t>Developed by the author based on Porter (1980), Johnson et al. (2020), Euromonitor International (2024), and Unilever (2024</w:t>
      </w:r>
      <w:r w:rsidR="00507F3A">
        <w:rPr>
          <w:rStyle w:val="Emphasis"/>
          <w:rFonts w:ascii="Arial" w:hAnsi="Arial" w:cs="Arial"/>
          <w:sz w:val="18"/>
          <w:szCs w:val="18"/>
        </w:rPr>
        <w:t>a</w:t>
      </w:r>
      <w:r w:rsidRPr="00AF2A89">
        <w:rPr>
          <w:rStyle w:val="Emphasis"/>
          <w:rFonts w:ascii="Arial" w:hAnsi="Arial" w:cs="Arial"/>
          <w:sz w:val="18"/>
          <w:szCs w:val="18"/>
        </w:rPr>
        <w:t>).</w:t>
      </w:r>
    </w:p>
    <w:p w14:paraId="7BE863F2" w14:textId="5065C86F" w:rsidR="00AF2A89" w:rsidRPr="00AF2A89" w:rsidRDefault="00AF2A89" w:rsidP="00AF2A89">
      <w:pPr>
        <w:rPr>
          <w:rFonts w:ascii="Arial" w:hAnsi="Arial" w:cs="Arial"/>
        </w:rPr>
      </w:pPr>
      <w:r w:rsidRPr="00AF2A89">
        <w:rPr>
          <w:rFonts w:ascii="Arial" w:hAnsi="Arial" w:cs="Arial"/>
        </w:rPr>
        <w:t>Porter's Five Forces model assesses the level of attractiveness and competitive force an industry faces by studying the forces, which affect profitability and long-term strategic positions, of the industry (Porter, 1980). The UK personal care market is highly competitive, with established multinational companies like Nivea (Beiersdorf), L'Oréal Paris, Palmolive (Colgate-Palmolive), and excellent natural brands using innovation, price, sustainability and brand reputation as competitive measures (Euromonitor International, 2024).</w:t>
      </w:r>
    </w:p>
    <w:p w14:paraId="1D4F3F3D" w14:textId="77777777" w:rsidR="00AF2A89" w:rsidRPr="00AF2A89" w:rsidRDefault="00AF2A89" w:rsidP="00AF2A89">
      <w:pPr>
        <w:rPr>
          <w:rFonts w:ascii="Arial" w:hAnsi="Arial" w:cs="Arial"/>
        </w:rPr>
      </w:pPr>
      <w:r w:rsidRPr="00AF2A89">
        <w:rPr>
          <w:rFonts w:ascii="Arial" w:hAnsi="Arial" w:cs="Arial"/>
        </w:rPr>
        <w:lastRenderedPageBreak/>
        <w:t>There is not much threat from new competition because of the substantial hurdles that new firms have to clear, such as heavy investment, brand loyalty, regulatory requirements, and the retail distribution networks. But niche brands and D2C brands can get into specific market segments more easily with the help of digital commerce (Johnson et al., 2020). Unilever has a moderate supply-side leverage, underpinned by global purchasing power; however, in cases of commodity packaging and sustainable raw materials, the price fluctuations of these commodities could impact production costs (Unilever, 2024a). Buyer bargaining power is high as there are a number of alternative brands and brands are becoming more aware, and there is a strong influence of major retailing stores and online platforms. Lastly, substitutes are moderate as consumers have a choice to switch to affordable skincare products manufactured by brands other than the company or to purchase organic or premium skin care products that provide similar benefits.</w:t>
      </w:r>
    </w:p>
    <w:p w14:paraId="45E673DE" w14:textId="0C2908BD" w:rsidR="00AF2A89" w:rsidRDefault="00AF2A89" w:rsidP="00AF2A89">
      <w:pPr>
        <w:rPr>
          <w:rFonts w:ascii="Arial" w:hAnsi="Arial" w:cs="Arial"/>
        </w:rPr>
      </w:pPr>
      <w:r w:rsidRPr="00AF2A89">
        <w:rPr>
          <w:rFonts w:ascii="Arial" w:hAnsi="Arial" w:cs="Arial"/>
        </w:rPr>
        <w:t>Dove's overall assessment of the UK personal care industry is one of being competitive but still appealing. The brand has built a strong brand equity, a purposeful marketing campaign, ongoing product innovation and an extensive distribution network that helps the brand to counter competitive forces and maintain a differentiated market position.</w:t>
      </w:r>
    </w:p>
    <w:p w14:paraId="1CE3006C" w14:textId="5B0B6251" w:rsidR="00507F3A" w:rsidRPr="002F0AE1" w:rsidRDefault="00507F3A" w:rsidP="002F0AE1">
      <w:pPr>
        <w:pStyle w:val="Heading2"/>
      </w:pPr>
      <w:bookmarkStart w:id="17" w:name="_Toc236776226"/>
      <w:r w:rsidRPr="002F0AE1">
        <w:t>3.3 External Strategic Implications</w:t>
      </w:r>
      <w:bookmarkEnd w:id="17"/>
    </w:p>
    <w:p w14:paraId="1D40F029" w14:textId="5828D75C" w:rsidR="00507F3A" w:rsidRDefault="00507F3A" w:rsidP="00507F3A">
      <w:pPr>
        <w:rPr>
          <w:rFonts w:ascii="Arial" w:hAnsi="Arial" w:cs="Arial"/>
        </w:rPr>
      </w:pPr>
      <w:r w:rsidRPr="00507F3A">
        <w:rPr>
          <w:rFonts w:ascii="Arial" w:hAnsi="Arial" w:cs="Arial"/>
        </w:rPr>
        <w:t>The external analysis shows that Dove acts in an environment of great competition and opportunities in the UK personal care market. The strategic pressures of inflation, regulatory review and fierce competition are growing, while growing consumer demand for sustainability, inclusiveness and digital engagement is significant. Dove can continue to uphold their purpose-based brand positioning, continuous innovation, omnichannel prowess, regulatory compliance and environmental leadership to gain a competitive edge in the market (Johnson et al., 2020; Porter, 1980; Unilever, 2024a).</w:t>
      </w:r>
    </w:p>
    <w:p w14:paraId="31DADAEC" w14:textId="340D6082" w:rsidR="00E912FB" w:rsidRDefault="00E912FB" w:rsidP="00507F3A">
      <w:pPr>
        <w:rPr>
          <w:rFonts w:ascii="Arial" w:hAnsi="Arial" w:cs="Arial"/>
        </w:rPr>
      </w:pPr>
    </w:p>
    <w:p w14:paraId="003C2DBA" w14:textId="1FB2EB86" w:rsidR="00E912FB" w:rsidRDefault="00E912FB" w:rsidP="00507F3A">
      <w:pPr>
        <w:rPr>
          <w:rFonts w:ascii="Arial" w:hAnsi="Arial" w:cs="Arial"/>
        </w:rPr>
      </w:pPr>
    </w:p>
    <w:p w14:paraId="2E023AF0" w14:textId="77777777" w:rsidR="00E912FB" w:rsidRDefault="00E912FB" w:rsidP="00507F3A">
      <w:pPr>
        <w:rPr>
          <w:rFonts w:ascii="Arial" w:hAnsi="Arial" w:cs="Arial"/>
        </w:rPr>
      </w:pPr>
    </w:p>
    <w:p w14:paraId="1813EC32" w14:textId="1D705A61" w:rsidR="00E912FB" w:rsidRPr="002F0AE1" w:rsidRDefault="00E912FB" w:rsidP="002F0AE1">
      <w:pPr>
        <w:pStyle w:val="Heading2"/>
      </w:pPr>
      <w:bookmarkStart w:id="18" w:name="_Toc236776227"/>
      <w:r w:rsidRPr="002F0AE1">
        <w:lastRenderedPageBreak/>
        <w:t>3.4 Internal Environment Analysis</w:t>
      </w:r>
      <w:bookmarkEnd w:id="18"/>
      <w:r w:rsidRPr="002F0AE1">
        <w:t xml:space="preserve"> </w:t>
      </w:r>
    </w:p>
    <w:p w14:paraId="4F58ED0A" w14:textId="4B87F39E" w:rsidR="00E912FB" w:rsidRPr="002F0AE1" w:rsidRDefault="00E912FB" w:rsidP="002F0AE1">
      <w:pPr>
        <w:pStyle w:val="Heading2"/>
      </w:pPr>
      <w:bookmarkStart w:id="19" w:name="_Toc236776228"/>
      <w:r w:rsidRPr="002F0AE1">
        <w:t>Resource-Based View (RBV)</w:t>
      </w:r>
      <w:bookmarkEnd w:id="19"/>
    </w:p>
    <w:p w14:paraId="5941E783" w14:textId="7931359F" w:rsidR="00E912FB" w:rsidRPr="00E912FB" w:rsidRDefault="00E912FB" w:rsidP="00E912FB">
      <w:pPr>
        <w:rPr>
          <w:rFonts w:ascii="Arial" w:hAnsi="Arial" w:cs="Arial"/>
        </w:rPr>
      </w:pPr>
      <w:r w:rsidRPr="00E912FB">
        <w:rPr>
          <w:rFonts w:ascii="Arial" w:hAnsi="Arial" w:cs="Arial"/>
        </w:rPr>
        <w:t>The Resource-Based View (RBV) of the company recognizes that if the company has resources and capabilities that are valuable, rare, inimitable and well organized, it will have a competitive advantage which can be sustained (Barney, 1991). The key strategic asset for Dove Personal Care is its brand equity, its well-established brand name that carries a strong recognition value across the world.</w:t>
      </w:r>
      <w:r>
        <w:rPr>
          <w:rFonts w:ascii="Arial" w:hAnsi="Arial" w:cs="Arial"/>
        </w:rPr>
        <w:t xml:space="preserve"> </w:t>
      </w:r>
      <w:r w:rsidRPr="00E912FB">
        <w:rPr>
          <w:rFonts w:ascii="Arial" w:hAnsi="Arial" w:cs="Arial"/>
        </w:rPr>
        <w:t>The most important strategic asset for Dove Personal Care is its well-established and recognized brand name due to decades of consistent product quality and purposeful marketing. By establishing a strong emotional bond with consumers and cultivating trust, authenticity, and inclusiveness, Dove has built a stronger bond with consumers that goes beyond just the product's functional features (Aaker, 1996; Dove, 2024).</w:t>
      </w:r>
    </w:p>
    <w:p w14:paraId="610492A3" w14:textId="2C495FEC" w:rsidR="00E912FB" w:rsidRPr="00E912FB" w:rsidRDefault="00E912FB" w:rsidP="00E912FB">
      <w:pPr>
        <w:rPr>
          <w:rFonts w:ascii="Arial" w:hAnsi="Arial" w:cs="Arial"/>
        </w:rPr>
      </w:pPr>
      <w:r w:rsidRPr="00E912FB">
        <w:rPr>
          <w:rFonts w:ascii="Arial" w:hAnsi="Arial" w:cs="Arial"/>
        </w:rPr>
        <w:t xml:space="preserve">Dove also has the backing of a number of advantages, including brand equity, Unilever's vast research and development (R&amp;D) capabilities, its global supply chain, financial strength, digital marketing expertise and already established retail relationships. These </w:t>
      </w:r>
      <w:proofErr w:type="spellStart"/>
      <w:r w:rsidRPr="00E912FB">
        <w:rPr>
          <w:rFonts w:ascii="Arial" w:hAnsi="Arial" w:cs="Arial"/>
        </w:rPr>
        <w:t>organisational</w:t>
      </w:r>
      <w:proofErr w:type="spellEnd"/>
      <w:r w:rsidRPr="00E912FB">
        <w:rPr>
          <w:rFonts w:ascii="Arial" w:hAnsi="Arial" w:cs="Arial"/>
        </w:rPr>
        <w:t xml:space="preserve"> resources allow Unilever to continuously develop new products, respond quickly to market changes and distribute their products (whether physical retail or e commerce) effectively (Unilever, 2024a). In addition, the Dove's sustainability </w:t>
      </w:r>
      <w:proofErr w:type="spellStart"/>
      <w:r w:rsidRPr="00E912FB">
        <w:rPr>
          <w:rFonts w:ascii="Arial" w:hAnsi="Arial" w:cs="Arial"/>
        </w:rPr>
        <w:t>programmes</w:t>
      </w:r>
      <w:proofErr w:type="spellEnd"/>
      <w:r w:rsidRPr="00E912FB">
        <w:rPr>
          <w:rFonts w:ascii="Arial" w:hAnsi="Arial" w:cs="Arial"/>
        </w:rPr>
        <w:t>, such as responsible sourcing and eco-friendly packaging, boost the brand's image with the growing number of eco-conscious consumers in the UK.</w:t>
      </w:r>
    </w:p>
    <w:p w14:paraId="077A4E96" w14:textId="22AF0C49" w:rsidR="00E912FB" w:rsidRPr="002F0AE1" w:rsidRDefault="00E912FB" w:rsidP="002F0AE1">
      <w:pPr>
        <w:pStyle w:val="Heading2"/>
      </w:pPr>
      <w:bookmarkStart w:id="20" w:name="_Toc236776229"/>
      <w:r w:rsidRPr="002F0AE1">
        <w:t>VRIO Analysis</w:t>
      </w:r>
      <w:bookmarkEnd w:id="20"/>
    </w:p>
    <w:p w14:paraId="0B13E07A" w14:textId="77777777" w:rsidR="00E912FB" w:rsidRPr="00E912FB" w:rsidRDefault="00E912FB" w:rsidP="00E912FB">
      <w:pPr>
        <w:rPr>
          <w:rFonts w:ascii="Arial" w:hAnsi="Arial" w:cs="Arial"/>
        </w:rPr>
      </w:pPr>
      <w:r w:rsidRPr="00E912FB">
        <w:rPr>
          <w:rFonts w:ascii="Arial" w:hAnsi="Arial" w:cs="Arial"/>
        </w:rPr>
        <w:t>The VRIO framework examines the value, rarity, inimitability and organization of resources that could lead to sustainable competitive advantage within an organization (Barney and Hesterly, 2021). The dove has a purpose-driven brand identity and consumers trust the brand, meeting the four VRIO criteria. It's made a reputation for itself in the market for promoting body confidence in its Real Beauty campaign, and it's been difficult for others to get right.</w:t>
      </w:r>
    </w:p>
    <w:p w14:paraId="0FD159F4" w14:textId="01DD575D" w:rsidR="00E912FB" w:rsidRDefault="00E912FB" w:rsidP="00E912FB">
      <w:pPr>
        <w:rPr>
          <w:rFonts w:ascii="Arial" w:hAnsi="Arial" w:cs="Arial"/>
        </w:rPr>
      </w:pPr>
      <w:r w:rsidRPr="00E912FB">
        <w:rPr>
          <w:rFonts w:ascii="Arial" w:hAnsi="Arial" w:cs="Arial"/>
        </w:rPr>
        <w:t xml:space="preserve">Likewise, Unilever's global innovation capability, advanced R&amp;D facilities and integrated supply chain are important and hard-to-replicate organizational abilities that enable them to enhance products continuously and improve their efficiency (Unilever, 2024a). In addition, Dove's comprehensive retail relationships, digital marketing </w:t>
      </w:r>
      <w:r w:rsidRPr="00E912FB">
        <w:rPr>
          <w:rFonts w:ascii="Arial" w:hAnsi="Arial" w:cs="Arial"/>
        </w:rPr>
        <w:lastRenderedPageBreak/>
        <w:t>capabilities, and advanced consumer data analysis enable them to stay ahead of market trends and provide personalized customer experiences (Chaffey, 2022). The product formulations of Dove, however, are easily copied by competitors, but the brand's reputation, the relationship it has with the consumers and its organizational capabilities are harder to copy, providing a sustained competitive advantage.</w:t>
      </w:r>
    </w:p>
    <w:p w14:paraId="771B3D2B" w14:textId="0E30E2A0" w:rsidR="00E912FB" w:rsidRPr="00E912FB" w:rsidRDefault="00E912FB" w:rsidP="00E912FB">
      <w:pPr>
        <w:pStyle w:val="Caption"/>
        <w:rPr>
          <w:rFonts w:ascii="Arial" w:eastAsia="Times New Roman" w:hAnsi="Arial" w:cs="Arial"/>
          <w:b/>
          <w:bCs/>
          <w:i w:val="0"/>
          <w:iCs w:val="0"/>
          <w:color w:val="auto"/>
          <w:sz w:val="24"/>
          <w:szCs w:val="24"/>
        </w:rPr>
      </w:pPr>
      <w:bookmarkStart w:id="21" w:name="_Toc236776269"/>
      <w:r w:rsidRPr="00E912FB">
        <w:rPr>
          <w:rFonts w:ascii="Arial" w:hAnsi="Arial" w:cs="Arial"/>
          <w:b/>
          <w:bCs/>
          <w:i w:val="0"/>
          <w:iCs w:val="0"/>
          <w:color w:val="auto"/>
          <w:sz w:val="24"/>
          <w:szCs w:val="24"/>
        </w:rPr>
        <w:t xml:space="preserve">Table </w:t>
      </w:r>
      <w:r w:rsidRPr="00E912FB">
        <w:rPr>
          <w:rFonts w:ascii="Arial" w:hAnsi="Arial" w:cs="Arial"/>
          <w:b/>
          <w:bCs/>
          <w:i w:val="0"/>
          <w:iCs w:val="0"/>
          <w:color w:val="auto"/>
          <w:sz w:val="24"/>
          <w:szCs w:val="24"/>
        </w:rPr>
        <w:fldChar w:fldCharType="begin"/>
      </w:r>
      <w:r w:rsidRPr="00E912FB">
        <w:rPr>
          <w:rFonts w:ascii="Arial" w:hAnsi="Arial" w:cs="Arial"/>
          <w:b/>
          <w:bCs/>
          <w:i w:val="0"/>
          <w:iCs w:val="0"/>
          <w:color w:val="auto"/>
          <w:sz w:val="24"/>
          <w:szCs w:val="24"/>
        </w:rPr>
        <w:instrText xml:space="preserve"> SEQ Table \* ARABIC </w:instrText>
      </w:r>
      <w:r w:rsidRPr="00E912FB">
        <w:rPr>
          <w:rFonts w:ascii="Arial" w:hAnsi="Arial" w:cs="Arial"/>
          <w:b/>
          <w:bCs/>
          <w:i w:val="0"/>
          <w:iCs w:val="0"/>
          <w:color w:val="auto"/>
          <w:sz w:val="24"/>
          <w:szCs w:val="24"/>
        </w:rPr>
        <w:fldChar w:fldCharType="separate"/>
      </w:r>
      <w:r w:rsidRPr="00E912FB">
        <w:rPr>
          <w:rFonts w:ascii="Arial" w:hAnsi="Arial" w:cs="Arial"/>
          <w:b/>
          <w:bCs/>
          <w:i w:val="0"/>
          <w:iCs w:val="0"/>
          <w:noProof/>
          <w:color w:val="auto"/>
          <w:sz w:val="24"/>
          <w:szCs w:val="24"/>
        </w:rPr>
        <w:t>2</w:t>
      </w:r>
      <w:r w:rsidRPr="00E912FB">
        <w:rPr>
          <w:rFonts w:ascii="Arial" w:hAnsi="Arial" w:cs="Arial"/>
          <w:b/>
          <w:bCs/>
          <w:i w:val="0"/>
          <w:iCs w:val="0"/>
          <w:color w:val="auto"/>
          <w:sz w:val="24"/>
          <w:szCs w:val="24"/>
        </w:rPr>
        <w:fldChar w:fldCharType="end"/>
      </w:r>
      <w:r w:rsidRPr="00E912FB">
        <w:rPr>
          <w:rFonts w:ascii="Arial" w:hAnsi="Arial" w:cs="Arial"/>
          <w:b/>
          <w:bCs/>
          <w:i w:val="0"/>
          <w:iCs w:val="0"/>
          <w:color w:val="auto"/>
          <w:sz w:val="24"/>
          <w:szCs w:val="24"/>
        </w:rPr>
        <w:t>: VRIO Analysis of Dove Personal Care in the United Kingdom</w:t>
      </w:r>
      <w:bookmarkEnd w:id="21"/>
    </w:p>
    <w:tbl>
      <w:tblPr>
        <w:tblW w:w="0" w:type="auto"/>
        <w:tblCellSpacing w:w="15" w:type="dxa"/>
        <w:tblLook w:val="04A0" w:firstRow="1" w:lastRow="0" w:firstColumn="1" w:lastColumn="0" w:noHBand="0" w:noVBand="1"/>
      </w:tblPr>
      <w:tblGrid>
        <w:gridCol w:w="2666"/>
        <w:gridCol w:w="1048"/>
        <w:gridCol w:w="1074"/>
        <w:gridCol w:w="1181"/>
        <w:gridCol w:w="1247"/>
        <w:gridCol w:w="1810"/>
      </w:tblGrid>
      <w:tr w:rsidR="00E912FB" w:rsidRPr="00E912FB" w14:paraId="1FD68249" w14:textId="77777777" w:rsidTr="00E912FB">
        <w:trPr>
          <w:tblHeader/>
          <w:tblCellSpacing w:w="15" w:type="dxa"/>
        </w:trPr>
        <w:tc>
          <w:tcPr>
            <w:tcW w:w="0" w:type="auto"/>
            <w:tcMar>
              <w:top w:w="15" w:type="dxa"/>
              <w:left w:w="15" w:type="dxa"/>
              <w:bottom w:w="15" w:type="dxa"/>
              <w:right w:w="15" w:type="dxa"/>
            </w:tcMar>
            <w:vAlign w:val="center"/>
            <w:hideMark/>
          </w:tcPr>
          <w:p w14:paraId="6B069CB2" w14:textId="77777777" w:rsidR="00E912FB" w:rsidRPr="00E912FB" w:rsidRDefault="00E912FB">
            <w:pPr>
              <w:spacing w:after="0" w:line="240" w:lineRule="auto"/>
              <w:jc w:val="center"/>
              <w:rPr>
                <w:rFonts w:ascii="Arial" w:eastAsia="Times New Roman" w:hAnsi="Arial" w:cs="Arial"/>
                <w:b/>
                <w:bCs/>
                <w:szCs w:val="24"/>
              </w:rPr>
            </w:pPr>
            <w:r w:rsidRPr="00E912FB">
              <w:rPr>
                <w:rFonts w:ascii="Arial" w:eastAsia="Times New Roman" w:hAnsi="Arial" w:cs="Arial"/>
                <w:b/>
                <w:bCs/>
                <w:szCs w:val="24"/>
              </w:rPr>
              <w:t>Strategic Resource/Capability</w:t>
            </w:r>
          </w:p>
        </w:tc>
        <w:tc>
          <w:tcPr>
            <w:tcW w:w="0" w:type="auto"/>
            <w:tcMar>
              <w:top w:w="15" w:type="dxa"/>
              <w:left w:w="15" w:type="dxa"/>
              <w:bottom w:w="15" w:type="dxa"/>
              <w:right w:w="15" w:type="dxa"/>
            </w:tcMar>
            <w:vAlign w:val="center"/>
            <w:hideMark/>
          </w:tcPr>
          <w:p w14:paraId="77B63F17" w14:textId="77777777" w:rsidR="00E912FB" w:rsidRPr="00E912FB" w:rsidRDefault="00E912FB">
            <w:pPr>
              <w:spacing w:after="0" w:line="240" w:lineRule="auto"/>
              <w:jc w:val="center"/>
              <w:rPr>
                <w:rFonts w:ascii="Arial" w:eastAsia="Times New Roman" w:hAnsi="Arial" w:cs="Arial"/>
                <w:b/>
                <w:bCs/>
                <w:szCs w:val="24"/>
              </w:rPr>
            </w:pPr>
            <w:r w:rsidRPr="00E912FB">
              <w:rPr>
                <w:rFonts w:ascii="Arial" w:eastAsia="Times New Roman" w:hAnsi="Arial" w:cs="Arial"/>
                <w:b/>
                <w:bCs/>
                <w:szCs w:val="24"/>
              </w:rPr>
              <w:t>Valuable</w:t>
            </w:r>
          </w:p>
        </w:tc>
        <w:tc>
          <w:tcPr>
            <w:tcW w:w="0" w:type="auto"/>
            <w:tcMar>
              <w:top w:w="15" w:type="dxa"/>
              <w:left w:w="15" w:type="dxa"/>
              <w:bottom w:w="15" w:type="dxa"/>
              <w:right w:w="15" w:type="dxa"/>
            </w:tcMar>
            <w:vAlign w:val="center"/>
            <w:hideMark/>
          </w:tcPr>
          <w:p w14:paraId="259F3AE3" w14:textId="77777777" w:rsidR="00E912FB" w:rsidRPr="00E912FB" w:rsidRDefault="00E912FB">
            <w:pPr>
              <w:spacing w:after="0" w:line="240" w:lineRule="auto"/>
              <w:jc w:val="center"/>
              <w:rPr>
                <w:rFonts w:ascii="Arial" w:eastAsia="Times New Roman" w:hAnsi="Arial" w:cs="Arial"/>
                <w:b/>
                <w:bCs/>
                <w:szCs w:val="24"/>
              </w:rPr>
            </w:pPr>
            <w:r w:rsidRPr="00E912FB">
              <w:rPr>
                <w:rFonts w:ascii="Arial" w:eastAsia="Times New Roman" w:hAnsi="Arial" w:cs="Arial"/>
                <w:b/>
                <w:bCs/>
                <w:szCs w:val="24"/>
              </w:rPr>
              <w:t>Rare</w:t>
            </w:r>
          </w:p>
        </w:tc>
        <w:tc>
          <w:tcPr>
            <w:tcW w:w="0" w:type="auto"/>
            <w:tcMar>
              <w:top w:w="15" w:type="dxa"/>
              <w:left w:w="15" w:type="dxa"/>
              <w:bottom w:w="15" w:type="dxa"/>
              <w:right w:w="15" w:type="dxa"/>
            </w:tcMar>
            <w:vAlign w:val="center"/>
            <w:hideMark/>
          </w:tcPr>
          <w:p w14:paraId="68A2CEBC" w14:textId="77777777" w:rsidR="00E912FB" w:rsidRPr="00E912FB" w:rsidRDefault="00E912FB">
            <w:pPr>
              <w:spacing w:after="0" w:line="240" w:lineRule="auto"/>
              <w:jc w:val="center"/>
              <w:rPr>
                <w:rFonts w:ascii="Arial" w:eastAsia="Times New Roman" w:hAnsi="Arial" w:cs="Arial"/>
                <w:b/>
                <w:bCs/>
                <w:szCs w:val="24"/>
              </w:rPr>
            </w:pPr>
            <w:r w:rsidRPr="00E912FB">
              <w:rPr>
                <w:rFonts w:ascii="Arial" w:eastAsia="Times New Roman" w:hAnsi="Arial" w:cs="Arial"/>
                <w:b/>
                <w:bCs/>
                <w:szCs w:val="24"/>
              </w:rPr>
              <w:t>Inimitable</w:t>
            </w:r>
          </w:p>
        </w:tc>
        <w:tc>
          <w:tcPr>
            <w:tcW w:w="0" w:type="auto"/>
            <w:tcMar>
              <w:top w:w="15" w:type="dxa"/>
              <w:left w:w="15" w:type="dxa"/>
              <w:bottom w:w="15" w:type="dxa"/>
              <w:right w:w="15" w:type="dxa"/>
            </w:tcMar>
            <w:vAlign w:val="center"/>
            <w:hideMark/>
          </w:tcPr>
          <w:p w14:paraId="48E1EBF2" w14:textId="77777777" w:rsidR="00E912FB" w:rsidRPr="00E912FB" w:rsidRDefault="00E912FB">
            <w:pPr>
              <w:spacing w:after="0" w:line="240" w:lineRule="auto"/>
              <w:jc w:val="center"/>
              <w:rPr>
                <w:rFonts w:ascii="Arial" w:eastAsia="Times New Roman" w:hAnsi="Arial" w:cs="Arial"/>
                <w:b/>
                <w:bCs/>
                <w:szCs w:val="24"/>
              </w:rPr>
            </w:pPr>
            <w:proofErr w:type="spellStart"/>
            <w:r w:rsidRPr="00E912FB">
              <w:rPr>
                <w:rFonts w:ascii="Arial" w:eastAsia="Times New Roman" w:hAnsi="Arial" w:cs="Arial"/>
                <w:b/>
                <w:bCs/>
                <w:szCs w:val="24"/>
              </w:rPr>
              <w:t>Organised</w:t>
            </w:r>
            <w:proofErr w:type="spellEnd"/>
          </w:p>
        </w:tc>
        <w:tc>
          <w:tcPr>
            <w:tcW w:w="0" w:type="auto"/>
            <w:tcMar>
              <w:top w:w="15" w:type="dxa"/>
              <w:left w:w="15" w:type="dxa"/>
              <w:bottom w:w="15" w:type="dxa"/>
              <w:right w:w="15" w:type="dxa"/>
            </w:tcMar>
            <w:vAlign w:val="center"/>
            <w:hideMark/>
          </w:tcPr>
          <w:p w14:paraId="1E25811A" w14:textId="77777777" w:rsidR="00E912FB" w:rsidRPr="00E912FB" w:rsidRDefault="00E912FB">
            <w:pPr>
              <w:spacing w:after="0" w:line="240" w:lineRule="auto"/>
              <w:jc w:val="center"/>
              <w:rPr>
                <w:rFonts w:ascii="Arial" w:eastAsia="Times New Roman" w:hAnsi="Arial" w:cs="Arial"/>
                <w:b/>
                <w:bCs/>
                <w:szCs w:val="24"/>
              </w:rPr>
            </w:pPr>
            <w:r w:rsidRPr="00E912FB">
              <w:rPr>
                <w:rFonts w:ascii="Arial" w:eastAsia="Times New Roman" w:hAnsi="Arial" w:cs="Arial"/>
                <w:b/>
                <w:bCs/>
                <w:szCs w:val="24"/>
              </w:rPr>
              <w:t>Competitive Implication</w:t>
            </w:r>
          </w:p>
        </w:tc>
      </w:tr>
      <w:tr w:rsidR="00E912FB" w:rsidRPr="00E912FB" w14:paraId="3C8A5BD4" w14:textId="77777777" w:rsidTr="00E912FB">
        <w:trPr>
          <w:tblCellSpacing w:w="15" w:type="dxa"/>
        </w:trPr>
        <w:tc>
          <w:tcPr>
            <w:tcW w:w="0" w:type="auto"/>
            <w:tcMar>
              <w:top w:w="15" w:type="dxa"/>
              <w:left w:w="15" w:type="dxa"/>
              <w:bottom w:w="15" w:type="dxa"/>
              <w:right w:w="15" w:type="dxa"/>
            </w:tcMar>
            <w:vAlign w:val="center"/>
            <w:hideMark/>
          </w:tcPr>
          <w:p w14:paraId="0350FB12"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Dove Brand Equity</w:t>
            </w:r>
          </w:p>
        </w:tc>
        <w:tc>
          <w:tcPr>
            <w:tcW w:w="0" w:type="auto"/>
            <w:tcMar>
              <w:top w:w="15" w:type="dxa"/>
              <w:left w:w="15" w:type="dxa"/>
              <w:bottom w:w="15" w:type="dxa"/>
              <w:right w:w="15" w:type="dxa"/>
            </w:tcMar>
            <w:vAlign w:val="center"/>
            <w:hideMark/>
          </w:tcPr>
          <w:p w14:paraId="54BC9F21"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63319AAB"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01076F43"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1544085A"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6E012236"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Sustainable Competitive Advantage</w:t>
            </w:r>
          </w:p>
        </w:tc>
      </w:tr>
      <w:tr w:rsidR="00E912FB" w:rsidRPr="00E912FB" w14:paraId="047CF0C8" w14:textId="77777777" w:rsidTr="00E912FB">
        <w:trPr>
          <w:tblCellSpacing w:w="15" w:type="dxa"/>
        </w:trPr>
        <w:tc>
          <w:tcPr>
            <w:tcW w:w="0" w:type="auto"/>
            <w:tcMar>
              <w:top w:w="15" w:type="dxa"/>
              <w:left w:w="15" w:type="dxa"/>
              <w:bottom w:w="15" w:type="dxa"/>
              <w:right w:w="15" w:type="dxa"/>
            </w:tcMar>
            <w:vAlign w:val="center"/>
            <w:hideMark/>
          </w:tcPr>
          <w:p w14:paraId="22F1ACF5"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Real Beauty Campaign</w:t>
            </w:r>
          </w:p>
        </w:tc>
        <w:tc>
          <w:tcPr>
            <w:tcW w:w="0" w:type="auto"/>
            <w:tcMar>
              <w:top w:w="15" w:type="dxa"/>
              <w:left w:w="15" w:type="dxa"/>
              <w:bottom w:w="15" w:type="dxa"/>
              <w:right w:w="15" w:type="dxa"/>
            </w:tcMar>
            <w:vAlign w:val="center"/>
            <w:hideMark/>
          </w:tcPr>
          <w:p w14:paraId="2C84FDC9"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0508C624"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3CA5F672"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45EC4310"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13D599E0"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Sustainable Competitive Advantage</w:t>
            </w:r>
          </w:p>
        </w:tc>
      </w:tr>
      <w:tr w:rsidR="00E912FB" w:rsidRPr="00E912FB" w14:paraId="4F2504C2" w14:textId="77777777" w:rsidTr="00E912FB">
        <w:trPr>
          <w:tblCellSpacing w:w="15" w:type="dxa"/>
        </w:trPr>
        <w:tc>
          <w:tcPr>
            <w:tcW w:w="0" w:type="auto"/>
            <w:tcMar>
              <w:top w:w="15" w:type="dxa"/>
              <w:left w:w="15" w:type="dxa"/>
              <w:bottom w:w="15" w:type="dxa"/>
              <w:right w:w="15" w:type="dxa"/>
            </w:tcMar>
            <w:vAlign w:val="center"/>
            <w:hideMark/>
          </w:tcPr>
          <w:p w14:paraId="482DEA4B"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Unilever R&amp;D Capability</w:t>
            </w:r>
          </w:p>
        </w:tc>
        <w:tc>
          <w:tcPr>
            <w:tcW w:w="0" w:type="auto"/>
            <w:tcMar>
              <w:top w:w="15" w:type="dxa"/>
              <w:left w:w="15" w:type="dxa"/>
              <w:bottom w:w="15" w:type="dxa"/>
              <w:right w:w="15" w:type="dxa"/>
            </w:tcMar>
            <w:vAlign w:val="center"/>
            <w:hideMark/>
          </w:tcPr>
          <w:p w14:paraId="24821D95"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2EB5AAE8"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0A6A4E97"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2B55B533"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12151DCD"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Sustainable Competitive Advantage</w:t>
            </w:r>
          </w:p>
        </w:tc>
      </w:tr>
      <w:tr w:rsidR="00E912FB" w:rsidRPr="00E912FB" w14:paraId="01FDA8FD" w14:textId="77777777" w:rsidTr="00E912FB">
        <w:trPr>
          <w:tblCellSpacing w:w="15" w:type="dxa"/>
        </w:trPr>
        <w:tc>
          <w:tcPr>
            <w:tcW w:w="0" w:type="auto"/>
            <w:tcMar>
              <w:top w:w="15" w:type="dxa"/>
              <w:left w:w="15" w:type="dxa"/>
              <w:bottom w:w="15" w:type="dxa"/>
              <w:right w:w="15" w:type="dxa"/>
            </w:tcMar>
            <w:vAlign w:val="center"/>
            <w:hideMark/>
          </w:tcPr>
          <w:p w14:paraId="5A3464A9"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Global Supply Chain</w:t>
            </w:r>
          </w:p>
        </w:tc>
        <w:tc>
          <w:tcPr>
            <w:tcW w:w="0" w:type="auto"/>
            <w:tcMar>
              <w:top w:w="15" w:type="dxa"/>
              <w:left w:w="15" w:type="dxa"/>
              <w:bottom w:w="15" w:type="dxa"/>
              <w:right w:w="15" w:type="dxa"/>
            </w:tcMar>
            <w:vAlign w:val="center"/>
            <w:hideMark/>
          </w:tcPr>
          <w:p w14:paraId="27068D99"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4172F721"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727F90F1"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22E8533B"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45CDC4A4"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Temporary to Sustained Advantage</w:t>
            </w:r>
          </w:p>
        </w:tc>
      </w:tr>
      <w:tr w:rsidR="00E912FB" w:rsidRPr="00E912FB" w14:paraId="37C0C711" w14:textId="77777777" w:rsidTr="00E912FB">
        <w:trPr>
          <w:tblCellSpacing w:w="15" w:type="dxa"/>
        </w:trPr>
        <w:tc>
          <w:tcPr>
            <w:tcW w:w="0" w:type="auto"/>
            <w:tcMar>
              <w:top w:w="15" w:type="dxa"/>
              <w:left w:w="15" w:type="dxa"/>
              <w:bottom w:w="15" w:type="dxa"/>
              <w:right w:w="15" w:type="dxa"/>
            </w:tcMar>
            <w:vAlign w:val="center"/>
            <w:hideMark/>
          </w:tcPr>
          <w:p w14:paraId="7B48AA7A"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Retail &amp; E-commerce Network</w:t>
            </w:r>
          </w:p>
        </w:tc>
        <w:tc>
          <w:tcPr>
            <w:tcW w:w="0" w:type="auto"/>
            <w:tcMar>
              <w:top w:w="15" w:type="dxa"/>
              <w:left w:w="15" w:type="dxa"/>
              <w:bottom w:w="15" w:type="dxa"/>
              <w:right w:w="15" w:type="dxa"/>
            </w:tcMar>
            <w:vAlign w:val="center"/>
            <w:hideMark/>
          </w:tcPr>
          <w:p w14:paraId="2DC10FD9"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6289B63F"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5821747D"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167EC4F1"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185609C0"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Competitive Parity</w:t>
            </w:r>
          </w:p>
        </w:tc>
      </w:tr>
      <w:tr w:rsidR="00E912FB" w:rsidRPr="00E912FB" w14:paraId="6E4E3A75" w14:textId="77777777" w:rsidTr="00E912FB">
        <w:trPr>
          <w:tblCellSpacing w:w="15" w:type="dxa"/>
        </w:trPr>
        <w:tc>
          <w:tcPr>
            <w:tcW w:w="0" w:type="auto"/>
            <w:tcMar>
              <w:top w:w="15" w:type="dxa"/>
              <w:left w:w="15" w:type="dxa"/>
              <w:bottom w:w="15" w:type="dxa"/>
              <w:right w:w="15" w:type="dxa"/>
            </w:tcMar>
            <w:vAlign w:val="center"/>
            <w:hideMark/>
          </w:tcPr>
          <w:p w14:paraId="79A1B97A"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Digital Marketing &amp; Consumer Analytics</w:t>
            </w:r>
          </w:p>
        </w:tc>
        <w:tc>
          <w:tcPr>
            <w:tcW w:w="0" w:type="auto"/>
            <w:tcMar>
              <w:top w:w="15" w:type="dxa"/>
              <w:left w:w="15" w:type="dxa"/>
              <w:bottom w:w="15" w:type="dxa"/>
              <w:right w:w="15" w:type="dxa"/>
            </w:tcMar>
            <w:vAlign w:val="center"/>
            <w:hideMark/>
          </w:tcPr>
          <w:p w14:paraId="4C558983"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08893ABD"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139F1777" w14:textId="77777777" w:rsidR="00E912FB" w:rsidRPr="00E912FB" w:rsidRDefault="00E912FB">
            <w:pPr>
              <w:spacing w:after="0" w:line="240" w:lineRule="auto"/>
              <w:jc w:val="center"/>
              <w:rPr>
                <w:rFonts w:ascii="Arial" w:eastAsia="Times New Roman" w:hAnsi="Arial" w:cs="Arial"/>
                <w:szCs w:val="24"/>
              </w:rPr>
            </w:pPr>
            <w:r w:rsidRPr="00E912FB">
              <w:rPr>
                <w:rFonts w:ascii="Arial" w:eastAsia="Times New Roman" w:hAnsi="Arial" w:cs="Arial"/>
                <w:szCs w:val="24"/>
              </w:rPr>
              <w:t>Moderate</w:t>
            </w:r>
          </w:p>
        </w:tc>
        <w:tc>
          <w:tcPr>
            <w:tcW w:w="0" w:type="auto"/>
            <w:tcMar>
              <w:top w:w="15" w:type="dxa"/>
              <w:left w:w="15" w:type="dxa"/>
              <w:bottom w:w="15" w:type="dxa"/>
              <w:right w:w="15" w:type="dxa"/>
            </w:tcMar>
            <w:vAlign w:val="center"/>
            <w:hideMark/>
          </w:tcPr>
          <w:p w14:paraId="5953E98D"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03339E58"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Competitive Advantage</w:t>
            </w:r>
          </w:p>
        </w:tc>
      </w:tr>
      <w:tr w:rsidR="00E912FB" w:rsidRPr="00E912FB" w14:paraId="6F163235" w14:textId="77777777" w:rsidTr="00E912FB">
        <w:trPr>
          <w:tblCellSpacing w:w="15" w:type="dxa"/>
        </w:trPr>
        <w:tc>
          <w:tcPr>
            <w:tcW w:w="0" w:type="auto"/>
            <w:tcMar>
              <w:top w:w="15" w:type="dxa"/>
              <w:left w:w="15" w:type="dxa"/>
              <w:bottom w:w="15" w:type="dxa"/>
              <w:right w:w="15" w:type="dxa"/>
            </w:tcMar>
            <w:vAlign w:val="center"/>
            <w:hideMark/>
          </w:tcPr>
          <w:p w14:paraId="4A2585F4"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Sustainability Capability</w:t>
            </w:r>
          </w:p>
        </w:tc>
        <w:tc>
          <w:tcPr>
            <w:tcW w:w="0" w:type="auto"/>
            <w:tcMar>
              <w:top w:w="15" w:type="dxa"/>
              <w:left w:w="15" w:type="dxa"/>
              <w:bottom w:w="15" w:type="dxa"/>
              <w:right w:w="15" w:type="dxa"/>
            </w:tcMar>
            <w:vAlign w:val="center"/>
            <w:hideMark/>
          </w:tcPr>
          <w:p w14:paraId="1C90BE54"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77E26A70" w14:textId="77777777" w:rsidR="00E912FB" w:rsidRPr="00E912FB" w:rsidRDefault="00E912FB">
            <w:pPr>
              <w:spacing w:after="0" w:line="240" w:lineRule="auto"/>
              <w:jc w:val="center"/>
              <w:rPr>
                <w:rFonts w:ascii="Arial" w:eastAsia="Times New Roman" w:hAnsi="Arial" w:cs="Arial"/>
                <w:szCs w:val="24"/>
              </w:rPr>
            </w:pPr>
            <w:r w:rsidRPr="00E912FB">
              <w:rPr>
                <w:rFonts w:ascii="Arial" w:eastAsia="Times New Roman" w:hAnsi="Arial" w:cs="Arial"/>
                <w:szCs w:val="24"/>
              </w:rPr>
              <w:t>Moderate</w:t>
            </w:r>
          </w:p>
        </w:tc>
        <w:tc>
          <w:tcPr>
            <w:tcW w:w="0" w:type="auto"/>
            <w:tcMar>
              <w:top w:w="15" w:type="dxa"/>
              <w:left w:w="15" w:type="dxa"/>
              <w:bottom w:w="15" w:type="dxa"/>
              <w:right w:w="15" w:type="dxa"/>
            </w:tcMar>
            <w:vAlign w:val="center"/>
            <w:hideMark/>
          </w:tcPr>
          <w:p w14:paraId="441A474B" w14:textId="77777777" w:rsidR="00E912FB" w:rsidRPr="00E912FB" w:rsidRDefault="00E912FB">
            <w:pPr>
              <w:spacing w:after="0" w:line="240" w:lineRule="auto"/>
              <w:jc w:val="center"/>
              <w:rPr>
                <w:rFonts w:ascii="Arial" w:eastAsia="Times New Roman" w:hAnsi="Arial" w:cs="Arial"/>
                <w:szCs w:val="24"/>
              </w:rPr>
            </w:pPr>
            <w:r w:rsidRPr="00E912FB">
              <w:rPr>
                <w:rFonts w:ascii="Arial" w:eastAsia="Times New Roman" w:hAnsi="Arial" w:cs="Arial"/>
                <w:szCs w:val="24"/>
              </w:rPr>
              <w:t>Moderate</w:t>
            </w:r>
          </w:p>
        </w:tc>
        <w:tc>
          <w:tcPr>
            <w:tcW w:w="0" w:type="auto"/>
            <w:tcMar>
              <w:top w:w="15" w:type="dxa"/>
              <w:left w:w="15" w:type="dxa"/>
              <w:bottom w:w="15" w:type="dxa"/>
              <w:right w:w="15" w:type="dxa"/>
            </w:tcMar>
            <w:vAlign w:val="center"/>
            <w:hideMark/>
          </w:tcPr>
          <w:p w14:paraId="3F2DE4C8" w14:textId="77777777" w:rsidR="00E912FB" w:rsidRPr="00E912FB" w:rsidRDefault="00E912FB">
            <w:pPr>
              <w:spacing w:after="0" w:line="240" w:lineRule="auto"/>
              <w:jc w:val="center"/>
              <w:rPr>
                <w:rFonts w:ascii="Arial" w:eastAsia="Times New Roman" w:hAnsi="Arial" w:cs="Arial"/>
                <w:szCs w:val="24"/>
              </w:rPr>
            </w:pPr>
            <w:r w:rsidRPr="00E912FB">
              <w:rPr>
                <w:rFonts w:ascii="Segoe UI Symbol" w:eastAsia="Times New Roman" w:hAnsi="Segoe UI Symbol" w:cs="Segoe UI Symbol"/>
                <w:szCs w:val="24"/>
              </w:rPr>
              <w:t>✓</w:t>
            </w:r>
          </w:p>
        </w:tc>
        <w:tc>
          <w:tcPr>
            <w:tcW w:w="0" w:type="auto"/>
            <w:tcMar>
              <w:top w:w="15" w:type="dxa"/>
              <w:left w:w="15" w:type="dxa"/>
              <w:bottom w:w="15" w:type="dxa"/>
              <w:right w:w="15" w:type="dxa"/>
            </w:tcMar>
            <w:vAlign w:val="center"/>
            <w:hideMark/>
          </w:tcPr>
          <w:p w14:paraId="5EAEB302" w14:textId="77777777" w:rsidR="00E912FB" w:rsidRPr="00E912FB" w:rsidRDefault="00E912FB">
            <w:pPr>
              <w:spacing w:after="0" w:line="240" w:lineRule="auto"/>
              <w:jc w:val="left"/>
              <w:rPr>
                <w:rFonts w:ascii="Arial" w:eastAsia="Times New Roman" w:hAnsi="Arial" w:cs="Arial"/>
                <w:szCs w:val="24"/>
              </w:rPr>
            </w:pPr>
            <w:r w:rsidRPr="00E912FB">
              <w:rPr>
                <w:rFonts w:ascii="Arial" w:eastAsia="Times New Roman" w:hAnsi="Arial" w:cs="Arial"/>
                <w:szCs w:val="24"/>
              </w:rPr>
              <w:t>Emerging Competitive Advantage</w:t>
            </w:r>
          </w:p>
        </w:tc>
      </w:tr>
    </w:tbl>
    <w:p w14:paraId="236D3007" w14:textId="3F2E198E" w:rsidR="00E912FB" w:rsidRPr="00E912FB" w:rsidRDefault="00E912FB" w:rsidP="00E912FB">
      <w:pPr>
        <w:spacing w:before="100" w:beforeAutospacing="1" w:after="100" w:afterAutospacing="1" w:line="240" w:lineRule="auto"/>
        <w:jc w:val="left"/>
        <w:rPr>
          <w:rFonts w:ascii="Arial" w:eastAsia="Times New Roman" w:hAnsi="Arial" w:cs="Arial"/>
          <w:sz w:val="18"/>
          <w:szCs w:val="18"/>
        </w:rPr>
      </w:pPr>
      <w:r w:rsidRPr="00E912FB">
        <w:rPr>
          <w:rFonts w:ascii="Arial" w:eastAsia="Times New Roman" w:hAnsi="Arial" w:cs="Arial"/>
          <w:sz w:val="18"/>
          <w:szCs w:val="18"/>
        </w:rPr>
        <w:t>Source:</w:t>
      </w:r>
      <w:r w:rsidRPr="00E912FB">
        <w:rPr>
          <w:rFonts w:ascii="Arial" w:eastAsia="Times New Roman" w:hAnsi="Arial" w:cs="Arial"/>
          <w:b/>
          <w:bCs/>
          <w:sz w:val="18"/>
          <w:szCs w:val="18"/>
        </w:rPr>
        <w:t xml:space="preserve"> </w:t>
      </w:r>
      <w:r w:rsidRPr="00E912FB">
        <w:rPr>
          <w:rFonts w:ascii="Arial" w:eastAsia="Times New Roman" w:hAnsi="Arial" w:cs="Arial"/>
          <w:i/>
          <w:iCs/>
          <w:sz w:val="18"/>
          <w:szCs w:val="18"/>
        </w:rPr>
        <w:t xml:space="preserve">Developed by the author based on Barney (1991), Barney and Hesterly (2021), </w:t>
      </w:r>
      <w:proofErr w:type="spellStart"/>
      <w:r w:rsidRPr="00E912FB">
        <w:rPr>
          <w:rFonts w:ascii="Arial" w:eastAsia="Times New Roman" w:hAnsi="Arial" w:cs="Arial"/>
          <w:i/>
          <w:iCs/>
          <w:sz w:val="18"/>
          <w:szCs w:val="18"/>
        </w:rPr>
        <w:t>Unileever</w:t>
      </w:r>
      <w:proofErr w:type="spellEnd"/>
      <w:r w:rsidRPr="00E912FB">
        <w:rPr>
          <w:rFonts w:ascii="Arial" w:eastAsia="Times New Roman" w:hAnsi="Arial" w:cs="Arial"/>
          <w:i/>
          <w:iCs/>
          <w:sz w:val="18"/>
          <w:szCs w:val="18"/>
        </w:rPr>
        <w:t xml:space="preserve"> (2024a), Dove (2024), and Johnson et al. (2020).</w:t>
      </w:r>
    </w:p>
    <w:p w14:paraId="2F398D84" w14:textId="7F86EE54" w:rsidR="00E912FB" w:rsidRPr="002F0AE1" w:rsidRDefault="00E912FB" w:rsidP="002F0AE1">
      <w:pPr>
        <w:pStyle w:val="Heading2"/>
      </w:pPr>
      <w:bookmarkStart w:id="22" w:name="_Toc236776230"/>
      <w:r w:rsidRPr="002F0AE1">
        <w:t>Internal Strategic Implications</w:t>
      </w:r>
      <w:bookmarkEnd w:id="22"/>
    </w:p>
    <w:p w14:paraId="12095D5B" w14:textId="3C007910" w:rsidR="00E912FB" w:rsidRDefault="00E912FB" w:rsidP="00E912FB">
      <w:pPr>
        <w:rPr>
          <w:rFonts w:ascii="Arial" w:hAnsi="Arial" w:cs="Arial"/>
        </w:rPr>
      </w:pPr>
      <w:r w:rsidRPr="00E912FB">
        <w:rPr>
          <w:rFonts w:ascii="Arial" w:hAnsi="Arial" w:cs="Arial"/>
        </w:rPr>
        <w:t xml:space="preserve">This internal analysis also reveals that Dove has significant strategic assets including brand equity, purpose-led differentiation, innovation and access to Unilever's financial, technological and operational resources, all of which are </w:t>
      </w:r>
      <w:proofErr w:type="spellStart"/>
      <w:r w:rsidRPr="00E912FB">
        <w:rPr>
          <w:rFonts w:ascii="Arial" w:hAnsi="Arial" w:cs="Arial"/>
        </w:rPr>
        <w:t>recognised</w:t>
      </w:r>
      <w:proofErr w:type="spellEnd"/>
      <w:r w:rsidRPr="00E912FB">
        <w:rPr>
          <w:rFonts w:ascii="Arial" w:hAnsi="Arial" w:cs="Arial"/>
        </w:rPr>
        <w:t xml:space="preserve"> and valued globally. These are excellent attributes to help maintain competitive edge in the UK personal care market. However, sustaining this requires ongoing spending on product innovation, digitalization, sustainability efforts, and customer engagement to meet changing customer needs and demands, as well as intensifying competition. Therefore, Dove's ability to perform well in the long run will be determined by the ability </w:t>
      </w:r>
      <w:r w:rsidRPr="00E912FB">
        <w:rPr>
          <w:rFonts w:ascii="Arial" w:hAnsi="Arial" w:cs="Arial"/>
        </w:rPr>
        <w:lastRenderedPageBreak/>
        <w:t>to capitalize on the current capabilities while continually adapting to new market conditions (Johnson et al., 2020).</w:t>
      </w:r>
    </w:p>
    <w:p w14:paraId="152FC67E" w14:textId="733C01B7" w:rsidR="006F77E5" w:rsidRPr="002F0AE1" w:rsidRDefault="006F77E5" w:rsidP="002F0AE1">
      <w:pPr>
        <w:pStyle w:val="Heading2"/>
      </w:pPr>
      <w:bookmarkStart w:id="23" w:name="_Toc236776231"/>
      <w:r w:rsidRPr="002F0AE1">
        <w:t>3.5 Strategic Diagnosis</w:t>
      </w:r>
      <w:bookmarkEnd w:id="23"/>
      <w:r w:rsidRPr="002F0AE1">
        <w:t xml:space="preserve"> </w:t>
      </w:r>
    </w:p>
    <w:p w14:paraId="64DE9681" w14:textId="569E9B86" w:rsidR="006F77E5" w:rsidRPr="002F0AE1" w:rsidRDefault="006F77E5" w:rsidP="002F0AE1">
      <w:pPr>
        <w:pStyle w:val="Heading2"/>
      </w:pPr>
      <w:bookmarkStart w:id="24" w:name="_Toc236776232"/>
      <w:r w:rsidRPr="002F0AE1">
        <w:t>SWOT Matrix</w:t>
      </w:r>
      <w:bookmarkEnd w:id="24"/>
    </w:p>
    <w:p w14:paraId="28056D3A" w14:textId="08624522" w:rsidR="006F77E5" w:rsidRPr="006F77E5" w:rsidRDefault="006F77E5" w:rsidP="006F77E5">
      <w:r>
        <w:rPr>
          <w:noProof/>
        </w:rPr>
        <w:drawing>
          <wp:inline distT="0" distB="0" distL="0" distR="0" wp14:anchorId="55A7EBC2" wp14:editId="066CC8B2">
            <wp:extent cx="5731510" cy="54927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b="4165"/>
                    <a:stretch/>
                  </pic:blipFill>
                  <pic:spPr bwMode="auto">
                    <a:xfrm>
                      <a:off x="0" y="0"/>
                      <a:ext cx="5731510" cy="5492750"/>
                    </a:xfrm>
                    <a:prstGeom prst="rect">
                      <a:avLst/>
                    </a:prstGeom>
                    <a:noFill/>
                    <a:ln>
                      <a:noFill/>
                    </a:ln>
                    <a:extLst>
                      <a:ext uri="{53640926-AAD7-44D8-BBD7-CCE9431645EC}">
                        <a14:shadowObscured xmlns:a14="http://schemas.microsoft.com/office/drawing/2010/main"/>
                      </a:ext>
                    </a:extLst>
                  </pic:spPr>
                </pic:pic>
              </a:graphicData>
            </a:graphic>
          </wp:inline>
        </w:drawing>
      </w:r>
    </w:p>
    <w:p w14:paraId="4A40BEAF" w14:textId="6A232548" w:rsidR="006F77E5" w:rsidRDefault="00297731" w:rsidP="00297731">
      <w:pPr>
        <w:pStyle w:val="Caption"/>
        <w:rPr>
          <w:rFonts w:ascii="Arial" w:hAnsi="Arial" w:cs="Arial"/>
        </w:rPr>
      </w:pPr>
      <w:bookmarkStart w:id="25" w:name="_Toc236776274"/>
      <w:r w:rsidRPr="00297731">
        <w:rPr>
          <w:rFonts w:ascii="Arial" w:hAnsi="Arial" w:cs="Arial"/>
        </w:rPr>
        <w:t xml:space="preserve">Figure </w:t>
      </w:r>
      <w:r w:rsidRPr="00297731">
        <w:rPr>
          <w:rFonts w:ascii="Arial" w:hAnsi="Arial" w:cs="Arial"/>
        </w:rPr>
        <w:fldChar w:fldCharType="begin"/>
      </w:r>
      <w:r w:rsidRPr="00297731">
        <w:rPr>
          <w:rFonts w:ascii="Arial" w:hAnsi="Arial" w:cs="Arial"/>
        </w:rPr>
        <w:instrText xml:space="preserve"> SEQ Figure \* ARABIC </w:instrText>
      </w:r>
      <w:r w:rsidRPr="00297731">
        <w:rPr>
          <w:rFonts w:ascii="Arial" w:hAnsi="Arial" w:cs="Arial"/>
        </w:rPr>
        <w:fldChar w:fldCharType="separate"/>
      </w:r>
      <w:r w:rsidR="00EE54B1">
        <w:rPr>
          <w:rFonts w:ascii="Arial" w:hAnsi="Arial" w:cs="Arial"/>
          <w:noProof/>
        </w:rPr>
        <w:t>5</w:t>
      </w:r>
      <w:r w:rsidRPr="00297731">
        <w:rPr>
          <w:rFonts w:ascii="Arial" w:hAnsi="Arial" w:cs="Arial"/>
        </w:rPr>
        <w:fldChar w:fldCharType="end"/>
      </w:r>
      <w:r w:rsidRPr="00297731">
        <w:rPr>
          <w:rFonts w:ascii="Arial" w:hAnsi="Arial" w:cs="Arial"/>
        </w:rPr>
        <w:t>: Strategic SWOT Analysis of Dove Personal Care in the United Kingdom</w:t>
      </w:r>
      <w:bookmarkEnd w:id="25"/>
    </w:p>
    <w:p w14:paraId="4401EE39" w14:textId="7379C608" w:rsidR="00297731" w:rsidRPr="00297731" w:rsidRDefault="00297731" w:rsidP="00297731">
      <w:pPr>
        <w:rPr>
          <w:rFonts w:ascii="Arial" w:hAnsi="Arial" w:cs="Arial"/>
          <w:sz w:val="18"/>
          <w:szCs w:val="18"/>
        </w:rPr>
      </w:pPr>
      <w:r w:rsidRPr="00297731">
        <w:rPr>
          <w:rStyle w:val="Strong"/>
          <w:rFonts w:ascii="Arial" w:hAnsi="Arial" w:cs="Arial"/>
          <w:b w:val="0"/>
          <w:bCs w:val="0"/>
          <w:sz w:val="18"/>
          <w:szCs w:val="18"/>
        </w:rPr>
        <w:t>Source:</w:t>
      </w:r>
      <w:r w:rsidRPr="00297731">
        <w:rPr>
          <w:rFonts w:ascii="Arial" w:hAnsi="Arial" w:cs="Arial"/>
          <w:sz w:val="18"/>
          <w:szCs w:val="18"/>
        </w:rPr>
        <w:t xml:space="preserve"> </w:t>
      </w:r>
      <w:r w:rsidRPr="00297731">
        <w:rPr>
          <w:rStyle w:val="Emphasis"/>
          <w:rFonts w:ascii="Arial" w:hAnsi="Arial" w:cs="Arial"/>
          <w:sz w:val="18"/>
          <w:szCs w:val="18"/>
        </w:rPr>
        <w:t>Developed by the author based on Johnson et al. (2020), Unilever (2024a), Dove (2024), Euromonitor International (2024), and Competition and Markets Authority (2021).</w:t>
      </w:r>
    </w:p>
    <w:p w14:paraId="226C4FF7" w14:textId="081F684B" w:rsidR="006F77E5" w:rsidRPr="006F77E5" w:rsidRDefault="006F77E5" w:rsidP="006F77E5">
      <w:pPr>
        <w:rPr>
          <w:rFonts w:ascii="Arial" w:hAnsi="Arial" w:cs="Arial"/>
        </w:rPr>
      </w:pPr>
      <w:r w:rsidRPr="006F77E5">
        <w:rPr>
          <w:rFonts w:ascii="Arial" w:hAnsi="Arial" w:cs="Arial"/>
        </w:rPr>
        <w:t xml:space="preserve">The SWOT framework is used to combine the results of the external and internal analyses to determine dove's strategic positioning by identifying its strengths, weaknesses, opportunities and threats (Johnson et al., 2020). Its key assets are brand equity that is recognized throughout the world, purpose-driven positioning as a result of its Real Beauty campaign, consumer trust, and the access to Unilever's financial, </w:t>
      </w:r>
      <w:r w:rsidRPr="006F77E5">
        <w:rPr>
          <w:rFonts w:ascii="Arial" w:hAnsi="Arial" w:cs="Arial"/>
        </w:rPr>
        <w:lastRenderedPageBreak/>
        <w:t xml:space="preserve">technological and distribution prowess (Unilever, 2024a; Dove, 2024). Its main disadvantages are its reliance on the already established market in the UK, higher price points than private label products and therefore its susceptibility to the costs of raw materials and packaging. Consumer demand for sustainable and ethical products, growth of digital commerce, </w:t>
      </w:r>
      <w:proofErr w:type="spellStart"/>
      <w:r w:rsidRPr="006F77E5">
        <w:rPr>
          <w:rFonts w:ascii="Arial" w:hAnsi="Arial" w:cs="Arial"/>
        </w:rPr>
        <w:t>personalised</w:t>
      </w:r>
      <w:proofErr w:type="spellEnd"/>
      <w:r w:rsidRPr="006F77E5">
        <w:rPr>
          <w:rFonts w:ascii="Arial" w:hAnsi="Arial" w:cs="Arial"/>
        </w:rPr>
        <w:t xml:space="preserve"> skin care and sustainable packaging offers significant opportunity. Threats are the high competition from large and small companies, inflation, regulatory pressures on environmental claims and shifting consumer demands (Euromonitor International, 2024; Competition and Markets Authority, 2021).</w:t>
      </w:r>
    </w:p>
    <w:p w14:paraId="4BE7A236" w14:textId="63A50E63" w:rsidR="006F77E5" w:rsidRPr="002F0AE1" w:rsidRDefault="006F77E5" w:rsidP="002F0AE1">
      <w:pPr>
        <w:pStyle w:val="Heading2"/>
      </w:pPr>
      <w:bookmarkStart w:id="26" w:name="_Toc236776233"/>
      <w:r w:rsidRPr="002F0AE1">
        <w:t>Strategic Interpretation of SWOT</w:t>
      </w:r>
      <w:bookmarkEnd w:id="26"/>
    </w:p>
    <w:p w14:paraId="73733FB4" w14:textId="08F9F72B" w:rsidR="00507F3A" w:rsidRDefault="006F77E5" w:rsidP="006F77E5">
      <w:pPr>
        <w:rPr>
          <w:rFonts w:ascii="Arial" w:hAnsi="Arial" w:cs="Arial"/>
        </w:rPr>
      </w:pPr>
      <w:r w:rsidRPr="006F77E5">
        <w:rPr>
          <w:rFonts w:ascii="Arial" w:hAnsi="Arial" w:cs="Arial"/>
        </w:rPr>
        <w:t>Based on the SWOT analysis, Dove has an excellent brand equity and has a purpose-based differentiation, which can help the company take advantage of new market opportunities and offset external threats. Dove's internal capabilities and the positive consumer trends are aligned, offering a good basis for a sustainable competitive advantage. However, sustainability, digital transformation, and product innovation efforts will still need to be sustained to meet the changing needs and demands of customers and to outpace competition. It is thus crucial that future strategic options focus on innovating or differentiating from competitors (Porter, 1985; Johnson et al., 2020), and promoting environmentally-sensitive growth, as well as building operational resilience and customer loyalty to ensure Dove's continued dominance in the UK personal care market.</w:t>
      </w:r>
    </w:p>
    <w:p w14:paraId="788BDD3F" w14:textId="2D0A1DF4" w:rsidR="00297731" w:rsidRPr="002F0AE1" w:rsidRDefault="00297731" w:rsidP="002F0AE1">
      <w:pPr>
        <w:pStyle w:val="Heading2"/>
        <w:rPr>
          <w:rStyle w:val="Strong"/>
          <w:b/>
          <w:bCs w:val="0"/>
        </w:rPr>
      </w:pPr>
      <w:bookmarkStart w:id="27" w:name="_Toc236776234"/>
      <w:r w:rsidRPr="002F0AE1">
        <w:rPr>
          <w:rStyle w:val="Strong"/>
          <w:b/>
          <w:bCs w:val="0"/>
        </w:rPr>
        <w:t>4. Comprehensive and Holistic Evaluation</w:t>
      </w:r>
      <w:bookmarkEnd w:id="27"/>
    </w:p>
    <w:p w14:paraId="3A1FE552" w14:textId="387A520F" w:rsidR="0046471E" w:rsidRPr="002F0AE1" w:rsidRDefault="00E002A4" w:rsidP="002F0AE1">
      <w:pPr>
        <w:pStyle w:val="Heading2"/>
        <w:rPr>
          <w:rStyle w:val="Strong"/>
          <w:b/>
          <w:bCs w:val="0"/>
        </w:rPr>
      </w:pPr>
      <w:bookmarkStart w:id="28" w:name="_Toc236776235"/>
      <w:r>
        <w:rPr>
          <w:rStyle w:val="Strong"/>
          <w:b/>
          <w:bCs w:val="0"/>
        </w:rPr>
        <w:t xml:space="preserve">4.1 </w:t>
      </w:r>
      <w:r w:rsidR="00297731" w:rsidRPr="002F0AE1">
        <w:rPr>
          <w:rStyle w:val="Strong"/>
          <w:b/>
          <w:bCs w:val="0"/>
        </w:rPr>
        <w:t>Corporate Social Responsibility (CSR)</w:t>
      </w:r>
      <w:bookmarkEnd w:id="28"/>
    </w:p>
    <w:p w14:paraId="74AD3B99" w14:textId="77777777" w:rsidR="0046471E" w:rsidRPr="0046471E" w:rsidRDefault="0046471E" w:rsidP="0046471E">
      <w:pPr>
        <w:rPr>
          <w:rStyle w:val="Strong"/>
          <w:rFonts w:ascii="Arial" w:hAnsi="Arial" w:cs="Arial"/>
          <w:b w:val="0"/>
        </w:rPr>
      </w:pPr>
      <w:r w:rsidRPr="0046471E">
        <w:rPr>
          <w:rStyle w:val="Strong"/>
          <w:rFonts w:ascii="Arial" w:hAnsi="Arial" w:cs="Arial"/>
          <w:b w:val="0"/>
        </w:rPr>
        <w:t xml:space="preserve">Organizations that try to value creation over the long run while mitigating environmental and social issues have embraced the concept of Corporate Social Responsibility (CSR) (Carroll, 1991). For Dove, CSR is not just about philanthropy, it's a part of their brand and part of Unilever's sustainability strategy. Its CSR initiatives focus on embodying body confidence, diversity, and inclusion, such as by reaching millions of young people worldwide with educational resources that raise self-esteem and defy unrealistic beauty standards (Dove, 2024). Dove's broader Climate Transition Action Plan and sustainability commitments (Unilever, 2024a) includes </w:t>
      </w:r>
      <w:proofErr w:type="spellStart"/>
      <w:r w:rsidRPr="0046471E">
        <w:rPr>
          <w:rStyle w:val="Strong"/>
          <w:rFonts w:ascii="Arial" w:hAnsi="Arial" w:cs="Arial"/>
          <w:b w:val="0"/>
        </w:rPr>
        <w:t>focussed</w:t>
      </w:r>
      <w:proofErr w:type="spellEnd"/>
      <w:r w:rsidRPr="0046471E">
        <w:rPr>
          <w:rStyle w:val="Strong"/>
          <w:rFonts w:ascii="Arial" w:hAnsi="Arial" w:cs="Arial"/>
          <w:b w:val="0"/>
        </w:rPr>
        <w:t xml:space="preserve"> efforts on virgin plastic reduction, recycled plastic packaging and responsible sourcing of ingredients, environmentally.</w:t>
      </w:r>
    </w:p>
    <w:p w14:paraId="34D4615B" w14:textId="77777777" w:rsidR="0046471E" w:rsidRPr="0046471E" w:rsidRDefault="0046471E" w:rsidP="0046471E">
      <w:pPr>
        <w:rPr>
          <w:rStyle w:val="Strong"/>
          <w:rFonts w:ascii="Arial" w:hAnsi="Arial" w:cs="Arial"/>
          <w:b w:val="0"/>
        </w:rPr>
      </w:pPr>
    </w:p>
    <w:p w14:paraId="06D00706" w14:textId="59D037E7" w:rsidR="0046471E" w:rsidRPr="002F0AE1" w:rsidRDefault="0046471E" w:rsidP="002F0AE1">
      <w:pPr>
        <w:pStyle w:val="Heading2"/>
        <w:rPr>
          <w:rStyle w:val="Strong"/>
          <w:b/>
          <w:bCs w:val="0"/>
        </w:rPr>
      </w:pPr>
      <w:bookmarkStart w:id="29" w:name="_Toc236776236"/>
      <w:r w:rsidRPr="002F0AE1">
        <w:t>CSR Alignment with Business Objectives</w:t>
      </w:r>
      <w:bookmarkEnd w:id="29"/>
    </w:p>
    <w:p w14:paraId="75AA2FE4" w14:textId="403E003D" w:rsidR="0046471E" w:rsidRDefault="0046471E" w:rsidP="0046471E">
      <w:pPr>
        <w:rPr>
          <w:rStyle w:val="Strong"/>
          <w:rFonts w:ascii="Arial" w:hAnsi="Arial" w:cs="Arial"/>
          <w:b w:val="0"/>
        </w:rPr>
      </w:pPr>
      <w:r w:rsidRPr="0046471E">
        <w:rPr>
          <w:rStyle w:val="Strong"/>
          <w:rFonts w:ascii="Arial" w:hAnsi="Arial" w:cs="Arial"/>
          <w:b w:val="0"/>
        </w:rPr>
        <w:t>The Dove's CSR activities are well aligned with their strategy of sustainable growth through purpose-led brand differentiation. Dove is not just a company that does CSR as a standalone department, but one that brings social responsibility into product decisions, marketing and consumer interaction. Campaigns like Real Beauty enhance brand authenticity and customer trust, and help to ensure customer loyalty and long-term brand equity (Aaker, 1996). At the same time, investments in sustainable packaging and responsible sourcing are in response to the growing consumer demand for sustainable products and underpin Unilever's vision of profitable growth driven by sustainable innovation (Unilever, 2024a). This fit allows Dove to create value for society as well as for itself.</w:t>
      </w:r>
    </w:p>
    <w:p w14:paraId="259C02F2" w14:textId="7B56F2F0" w:rsidR="0046471E" w:rsidRDefault="0046471E" w:rsidP="0046471E">
      <w:pPr>
        <w:rPr>
          <w:rStyle w:val="Strong"/>
          <w:rFonts w:ascii="Arial" w:hAnsi="Arial" w:cs="Arial"/>
          <w:b w:val="0"/>
        </w:rPr>
      </w:pPr>
      <w:r>
        <w:rPr>
          <w:noProof/>
        </w:rPr>
        <w:drawing>
          <wp:inline distT="0" distB="0" distL="0" distR="0" wp14:anchorId="0D5B1300" wp14:editId="3D98EA35">
            <wp:extent cx="5731510" cy="3518704"/>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7891"/>
                    <a:stretch/>
                  </pic:blipFill>
                  <pic:spPr bwMode="auto">
                    <a:xfrm>
                      <a:off x="0" y="0"/>
                      <a:ext cx="5731510" cy="3518704"/>
                    </a:xfrm>
                    <a:prstGeom prst="rect">
                      <a:avLst/>
                    </a:prstGeom>
                    <a:noFill/>
                    <a:ln>
                      <a:noFill/>
                    </a:ln>
                    <a:extLst>
                      <a:ext uri="{53640926-AAD7-44D8-BBD7-CCE9431645EC}">
                        <a14:shadowObscured xmlns:a14="http://schemas.microsoft.com/office/drawing/2010/main"/>
                      </a:ext>
                    </a:extLst>
                  </pic:spPr>
                </pic:pic>
              </a:graphicData>
            </a:graphic>
          </wp:inline>
        </w:drawing>
      </w:r>
    </w:p>
    <w:p w14:paraId="2BD80525" w14:textId="025FA656" w:rsidR="0046471E" w:rsidRPr="0046471E" w:rsidRDefault="0046471E" w:rsidP="0046471E">
      <w:pPr>
        <w:pStyle w:val="Caption"/>
        <w:rPr>
          <w:rFonts w:ascii="Arial" w:hAnsi="Arial" w:cs="Arial"/>
          <w:i w:val="0"/>
          <w:iCs w:val="0"/>
        </w:rPr>
      </w:pPr>
      <w:bookmarkStart w:id="30" w:name="_Toc236776275"/>
      <w:r w:rsidRPr="0046471E">
        <w:rPr>
          <w:rFonts w:ascii="Arial" w:hAnsi="Arial" w:cs="Arial"/>
        </w:rPr>
        <w:t xml:space="preserve">Figure </w:t>
      </w:r>
      <w:r w:rsidRPr="0046471E">
        <w:rPr>
          <w:rFonts w:ascii="Arial" w:hAnsi="Arial" w:cs="Arial"/>
        </w:rPr>
        <w:fldChar w:fldCharType="begin"/>
      </w:r>
      <w:r w:rsidRPr="0046471E">
        <w:rPr>
          <w:rFonts w:ascii="Arial" w:hAnsi="Arial" w:cs="Arial"/>
        </w:rPr>
        <w:instrText xml:space="preserve"> SEQ Figure \* ARABIC </w:instrText>
      </w:r>
      <w:r w:rsidRPr="0046471E">
        <w:rPr>
          <w:rFonts w:ascii="Arial" w:hAnsi="Arial" w:cs="Arial"/>
        </w:rPr>
        <w:fldChar w:fldCharType="separate"/>
      </w:r>
      <w:r w:rsidR="00EE54B1">
        <w:rPr>
          <w:rFonts w:ascii="Arial" w:hAnsi="Arial" w:cs="Arial"/>
          <w:noProof/>
        </w:rPr>
        <w:t>6</w:t>
      </w:r>
      <w:r w:rsidRPr="0046471E">
        <w:rPr>
          <w:rFonts w:ascii="Arial" w:hAnsi="Arial" w:cs="Arial"/>
        </w:rPr>
        <w:fldChar w:fldCharType="end"/>
      </w:r>
      <w:r w:rsidRPr="0046471E">
        <w:rPr>
          <w:rFonts w:ascii="Arial" w:hAnsi="Arial" w:cs="Arial"/>
        </w:rPr>
        <w:t>: CSR Strategy Alignment of Dove Personal Care in the United Kingdom</w:t>
      </w:r>
      <w:bookmarkEnd w:id="30"/>
    </w:p>
    <w:p w14:paraId="628FE1A0" w14:textId="26587D9F" w:rsidR="0046471E" w:rsidRPr="0046471E" w:rsidRDefault="0046471E" w:rsidP="0046471E">
      <w:pPr>
        <w:rPr>
          <w:rStyle w:val="Strong"/>
          <w:rFonts w:ascii="Arial" w:hAnsi="Arial" w:cs="Arial"/>
          <w:i/>
          <w:iCs/>
          <w:sz w:val="18"/>
          <w:szCs w:val="18"/>
        </w:rPr>
      </w:pPr>
      <w:r>
        <w:rPr>
          <w:rFonts w:ascii="Arial" w:hAnsi="Arial" w:cs="Arial"/>
          <w:i/>
          <w:iCs/>
          <w:sz w:val="18"/>
          <w:szCs w:val="18"/>
        </w:rPr>
        <w:t xml:space="preserve">Source: </w:t>
      </w:r>
      <w:r w:rsidRPr="0046471E">
        <w:rPr>
          <w:rFonts w:ascii="Arial" w:hAnsi="Arial" w:cs="Arial"/>
          <w:i/>
          <w:iCs/>
          <w:sz w:val="18"/>
          <w:szCs w:val="18"/>
        </w:rPr>
        <w:t>Developed by the author based on Carroll (1991), Dove (2024), Unilever (2024a), and Competition and Markets Authority (2021).</w:t>
      </w:r>
    </w:p>
    <w:p w14:paraId="1452314D" w14:textId="5C4161EA" w:rsidR="0046471E" w:rsidRPr="002F0AE1" w:rsidRDefault="0046471E" w:rsidP="002F0AE1">
      <w:pPr>
        <w:pStyle w:val="Heading2"/>
        <w:rPr>
          <w:rStyle w:val="Strong"/>
          <w:b/>
          <w:bCs w:val="0"/>
        </w:rPr>
      </w:pPr>
      <w:bookmarkStart w:id="31" w:name="_Toc236776237"/>
      <w:r w:rsidRPr="002F0AE1">
        <w:rPr>
          <w:rStyle w:val="Strong"/>
          <w:b/>
          <w:bCs w:val="0"/>
        </w:rPr>
        <w:t>Critical Evaluation</w:t>
      </w:r>
      <w:bookmarkEnd w:id="31"/>
    </w:p>
    <w:p w14:paraId="69E0474F" w14:textId="0B6B3188" w:rsidR="002C004E" w:rsidRDefault="0046471E" w:rsidP="0046471E">
      <w:pPr>
        <w:rPr>
          <w:rStyle w:val="Strong"/>
          <w:rFonts w:ascii="Arial" w:hAnsi="Arial" w:cs="Arial"/>
          <w:b w:val="0"/>
        </w:rPr>
      </w:pPr>
      <w:r w:rsidRPr="0046471E">
        <w:rPr>
          <w:rStyle w:val="Strong"/>
          <w:rFonts w:ascii="Arial" w:hAnsi="Arial" w:cs="Arial"/>
          <w:b w:val="0"/>
        </w:rPr>
        <w:t xml:space="preserve">However, Dove is under scrutiny for its sustainability commitments as a whole, even though it has a good standing in the CSR world. Environmental outcomes are becoming a key priority for stakeholders, with expectations for measurable results, </w:t>
      </w:r>
      <w:r w:rsidRPr="0046471E">
        <w:rPr>
          <w:rStyle w:val="Strong"/>
          <w:rFonts w:ascii="Arial" w:hAnsi="Arial" w:cs="Arial"/>
          <w:b w:val="0"/>
        </w:rPr>
        <w:lastRenderedPageBreak/>
        <w:t xml:space="preserve">clear ESG reporting and credible evidence to back up sustainability claims. In addition, the UK has introduced its own Green Claims Code, making unsubstantiated claims (Competition and Markets Authority, 2021) a reputational risk for businesses. </w:t>
      </w:r>
      <w:proofErr w:type="gramStart"/>
      <w:r w:rsidRPr="0046471E">
        <w:rPr>
          <w:rStyle w:val="Strong"/>
          <w:rFonts w:ascii="Arial" w:hAnsi="Arial" w:cs="Arial"/>
          <w:b w:val="0"/>
        </w:rPr>
        <w:t>So</w:t>
      </w:r>
      <w:proofErr w:type="gramEnd"/>
      <w:r w:rsidRPr="0046471E">
        <w:rPr>
          <w:rStyle w:val="Strong"/>
          <w:rFonts w:ascii="Arial" w:hAnsi="Arial" w:cs="Arial"/>
          <w:b w:val="0"/>
        </w:rPr>
        <w:t xml:space="preserve"> Dove needs to boost impact measurement, increase the transparency of its supply chain and increase third-party verification of its environmental and social efforts. This would help to build trust with the stakeholder base, mitigate the risk to reputation and further cement Dove's reputation as a brand with purpose that can achieve both commercial and societal sustainability.</w:t>
      </w:r>
    </w:p>
    <w:p w14:paraId="7CA3E203" w14:textId="00856F14" w:rsidR="002F0AE1" w:rsidRDefault="002F0AE1" w:rsidP="002F0AE1">
      <w:pPr>
        <w:pStyle w:val="Heading2"/>
        <w:rPr>
          <w:rStyle w:val="Strong"/>
          <w:b/>
          <w:bCs w:val="0"/>
        </w:rPr>
      </w:pPr>
      <w:bookmarkStart w:id="32" w:name="_Toc236776238"/>
      <w:r w:rsidRPr="002F0AE1">
        <w:rPr>
          <w:rStyle w:val="Strong"/>
          <w:b/>
          <w:bCs w:val="0"/>
        </w:rPr>
        <w:lastRenderedPageBreak/>
        <w:t>4.</w:t>
      </w:r>
      <w:r w:rsidR="00E002A4">
        <w:rPr>
          <w:rStyle w:val="Strong"/>
          <w:b/>
          <w:bCs w:val="0"/>
        </w:rPr>
        <w:t>2</w:t>
      </w:r>
      <w:r w:rsidRPr="002F0AE1">
        <w:rPr>
          <w:rStyle w:val="Strong"/>
          <w:b/>
          <w:bCs w:val="0"/>
        </w:rPr>
        <w:t xml:space="preserve"> Balanced Scorecard</w:t>
      </w:r>
      <w:bookmarkEnd w:id="32"/>
    </w:p>
    <w:p w14:paraId="24083702" w14:textId="34F6708C" w:rsidR="00356AB9" w:rsidRPr="00356AB9" w:rsidRDefault="00356AB9" w:rsidP="00356AB9">
      <w:r>
        <w:rPr>
          <w:noProof/>
        </w:rPr>
        <w:drawing>
          <wp:inline distT="0" distB="0" distL="0" distR="0" wp14:anchorId="60DC860C" wp14:editId="2A3683B6">
            <wp:extent cx="5731510" cy="691587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b="3396"/>
                    <a:stretch/>
                  </pic:blipFill>
                  <pic:spPr bwMode="auto">
                    <a:xfrm>
                      <a:off x="0" y="0"/>
                      <a:ext cx="5731510" cy="6915874"/>
                    </a:xfrm>
                    <a:prstGeom prst="rect">
                      <a:avLst/>
                    </a:prstGeom>
                    <a:noFill/>
                    <a:ln>
                      <a:noFill/>
                    </a:ln>
                    <a:extLst>
                      <a:ext uri="{53640926-AAD7-44D8-BBD7-CCE9431645EC}">
                        <a14:shadowObscured xmlns:a14="http://schemas.microsoft.com/office/drawing/2010/main"/>
                      </a:ext>
                    </a:extLst>
                  </pic:spPr>
                </pic:pic>
              </a:graphicData>
            </a:graphic>
          </wp:inline>
        </w:drawing>
      </w:r>
    </w:p>
    <w:p w14:paraId="0D6FABDA" w14:textId="3987D8DB" w:rsidR="00356AB9" w:rsidRDefault="00356AB9" w:rsidP="00356AB9">
      <w:pPr>
        <w:pStyle w:val="Caption"/>
        <w:rPr>
          <w:rFonts w:ascii="Arial" w:hAnsi="Arial" w:cs="Arial"/>
        </w:rPr>
      </w:pPr>
      <w:bookmarkStart w:id="33" w:name="_Toc236776276"/>
      <w:r w:rsidRPr="00356AB9">
        <w:rPr>
          <w:rFonts w:ascii="Arial" w:hAnsi="Arial" w:cs="Arial"/>
        </w:rPr>
        <w:t xml:space="preserve">Figure </w:t>
      </w:r>
      <w:r w:rsidRPr="00356AB9">
        <w:rPr>
          <w:rFonts w:ascii="Arial" w:hAnsi="Arial" w:cs="Arial"/>
        </w:rPr>
        <w:fldChar w:fldCharType="begin"/>
      </w:r>
      <w:r w:rsidRPr="00356AB9">
        <w:rPr>
          <w:rFonts w:ascii="Arial" w:hAnsi="Arial" w:cs="Arial"/>
        </w:rPr>
        <w:instrText xml:space="preserve"> SEQ Figure \* ARABIC </w:instrText>
      </w:r>
      <w:r w:rsidRPr="00356AB9">
        <w:rPr>
          <w:rFonts w:ascii="Arial" w:hAnsi="Arial" w:cs="Arial"/>
        </w:rPr>
        <w:fldChar w:fldCharType="separate"/>
      </w:r>
      <w:r w:rsidR="00EE54B1">
        <w:rPr>
          <w:rFonts w:ascii="Arial" w:hAnsi="Arial" w:cs="Arial"/>
          <w:noProof/>
        </w:rPr>
        <w:t>7</w:t>
      </w:r>
      <w:r w:rsidRPr="00356AB9">
        <w:rPr>
          <w:rFonts w:ascii="Arial" w:hAnsi="Arial" w:cs="Arial"/>
        </w:rPr>
        <w:fldChar w:fldCharType="end"/>
      </w:r>
      <w:r w:rsidRPr="00356AB9">
        <w:rPr>
          <w:rFonts w:ascii="Arial" w:hAnsi="Arial" w:cs="Arial"/>
        </w:rPr>
        <w:t>: Balanced Scorecard for Dove Personal Care in the United Kingdom</w:t>
      </w:r>
      <w:bookmarkEnd w:id="33"/>
    </w:p>
    <w:p w14:paraId="6857D949" w14:textId="0124D959" w:rsidR="00356AB9" w:rsidRPr="00356AB9" w:rsidRDefault="00356AB9" w:rsidP="00356AB9">
      <w:pPr>
        <w:rPr>
          <w:rFonts w:ascii="Arial" w:hAnsi="Arial" w:cs="Arial"/>
          <w:i/>
          <w:iCs/>
          <w:sz w:val="18"/>
          <w:szCs w:val="18"/>
        </w:rPr>
      </w:pPr>
      <w:r w:rsidRPr="00356AB9">
        <w:rPr>
          <w:rFonts w:ascii="Arial" w:hAnsi="Arial" w:cs="Arial"/>
          <w:i/>
          <w:iCs/>
          <w:sz w:val="18"/>
          <w:szCs w:val="18"/>
        </w:rPr>
        <w:t>Source: Developed by the author based on Kaplan and Norton (1992), Johnson et al. (2020), Dove (2024), and Unilever (2024a).</w:t>
      </w:r>
    </w:p>
    <w:p w14:paraId="36228F64" w14:textId="0867B3F6" w:rsidR="002F0AE1" w:rsidRPr="002F0AE1" w:rsidRDefault="002F0AE1" w:rsidP="002F0AE1">
      <w:pPr>
        <w:rPr>
          <w:rStyle w:val="Strong"/>
          <w:rFonts w:ascii="Arial" w:hAnsi="Arial" w:cs="Arial"/>
          <w:b w:val="0"/>
        </w:rPr>
      </w:pPr>
      <w:r w:rsidRPr="002F0AE1">
        <w:rPr>
          <w:rStyle w:val="Strong"/>
          <w:rFonts w:ascii="Arial" w:hAnsi="Arial" w:cs="Arial"/>
          <w:b w:val="0"/>
        </w:rPr>
        <w:t xml:space="preserve">The Balanced Scorecard (BSC) was introduced by Robert S. Kaplan and David P. Norton to turn an </w:t>
      </w:r>
      <w:proofErr w:type="spellStart"/>
      <w:r w:rsidRPr="002F0AE1">
        <w:rPr>
          <w:rStyle w:val="Strong"/>
          <w:rFonts w:ascii="Arial" w:hAnsi="Arial" w:cs="Arial"/>
          <w:b w:val="0"/>
        </w:rPr>
        <w:t>organisation's</w:t>
      </w:r>
      <w:proofErr w:type="spellEnd"/>
      <w:r w:rsidRPr="002F0AE1">
        <w:rPr>
          <w:rStyle w:val="Strong"/>
          <w:rFonts w:ascii="Arial" w:hAnsi="Arial" w:cs="Arial"/>
          <w:b w:val="0"/>
        </w:rPr>
        <w:t xml:space="preserve"> vision and strategy into measurable objectives in four connected perspectives: Financial, Customer, Internal Business Processes and </w:t>
      </w:r>
      <w:r w:rsidRPr="002F0AE1">
        <w:rPr>
          <w:rStyle w:val="Strong"/>
          <w:rFonts w:ascii="Arial" w:hAnsi="Arial" w:cs="Arial"/>
          <w:b w:val="0"/>
        </w:rPr>
        <w:lastRenderedPageBreak/>
        <w:t xml:space="preserve">Learning &amp; Growth (Kaplan and Norton, 1992). The Balanced Score Card is different from traditional performance measurement methods which are mainly financial as it combines financial and non-financial measures, allowing </w:t>
      </w:r>
      <w:proofErr w:type="spellStart"/>
      <w:r w:rsidRPr="002F0AE1">
        <w:rPr>
          <w:rStyle w:val="Strong"/>
          <w:rFonts w:ascii="Arial" w:hAnsi="Arial" w:cs="Arial"/>
          <w:b w:val="0"/>
        </w:rPr>
        <w:t>organisations</w:t>
      </w:r>
      <w:proofErr w:type="spellEnd"/>
      <w:r w:rsidRPr="002F0AE1">
        <w:rPr>
          <w:rStyle w:val="Strong"/>
          <w:rFonts w:ascii="Arial" w:hAnsi="Arial" w:cs="Arial"/>
          <w:b w:val="0"/>
        </w:rPr>
        <w:t xml:space="preserve"> to track strategic implementation and their impact on long-term value creation. The framework offers a framework for Dove Personal Care in the United Kingdom to ensure operational performance is in alignment with its brand purpose and Unilever's sustainable growth goals.</w:t>
      </w:r>
    </w:p>
    <w:p w14:paraId="4AF15092" w14:textId="15F74945" w:rsidR="002F0AE1" w:rsidRPr="002F0AE1" w:rsidRDefault="002F0AE1" w:rsidP="002F0AE1">
      <w:pPr>
        <w:pStyle w:val="Heading2"/>
        <w:rPr>
          <w:rStyle w:val="Strong"/>
          <w:b/>
          <w:bCs w:val="0"/>
        </w:rPr>
      </w:pPr>
      <w:bookmarkStart w:id="34" w:name="_Toc236776239"/>
      <w:r w:rsidRPr="002F0AE1">
        <w:rPr>
          <w:rStyle w:val="Strong"/>
          <w:b/>
          <w:bCs w:val="0"/>
        </w:rPr>
        <w:t>Financial perspective</w:t>
      </w:r>
      <w:bookmarkEnd w:id="34"/>
    </w:p>
    <w:p w14:paraId="26ACC5A3" w14:textId="77777777" w:rsidR="002F0AE1" w:rsidRPr="002F0AE1" w:rsidRDefault="002F0AE1" w:rsidP="002F0AE1">
      <w:pPr>
        <w:rPr>
          <w:rStyle w:val="Strong"/>
          <w:rFonts w:ascii="Arial" w:hAnsi="Arial" w:cs="Arial"/>
          <w:b w:val="0"/>
        </w:rPr>
      </w:pPr>
      <w:r w:rsidRPr="002F0AE1">
        <w:rPr>
          <w:rStyle w:val="Strong"/>
          <w:rFonts w:ascii="Arial" w:hAnsi="Arial" w:cs="Arial"/>
          <w:b w:val="0"/>
        </w:rPr>
        <w:t>In terms of finances, Dove seeks sustainable revenue growth, better profitability and better return on investment, while retaining its premium brand positioning. These KPIs are applicable and relevant, such as sales revenue growth, operating margin, market share and return on marketing investment. Product innovation, premium product development, operational efficiency, and sustainable cost management are key areas where these objectives can be realized, as outlined by Unilever (2024a).</w:t>
      </w:r>
    </w:p>
    <w:p w14:paraId="60E60030" w14:textId="5BEC9792" w:rsidR="002F0AE1" w:rsidRPr="002F0AE1" w:rsidRDefault="002F0AE1" w:rsidP="002F0AE1">
      <w:pPr>
        <w:pStyle w:val="Heading2"/>
        <w:rPr>
          <w:rStyle w:val="Strong"/>
          <w:b/>
          <w:bCs w:val="0"/>
        </w:rPr>
      </w:pPr>
      <w:bookmarkStart w:id="35" w:name="_Toc236776240"/>
      <w:r w:rsidRPr="002F0AE1">
        <w:rPr>
          <w:rStyle w:val="Strong"/>
          <w:b/>
          <w:bCs w:val="0"/>
        </w:rPr>
        <w:t>Customer Perspective</w:t>
      </w:r>
      <w:bookmarkEnd w:id="35"/>
    </w:p>
    <w:p w14:paraId="72A20BCC" w14:textId="77777777" w:rsidR="002F0AE1" w:rsidRPr="002F0AE1" w:rsidRDefault="002F0AE1" w:rsidP="002F0AE1">
      <w:pPr>
        <w:rPr>
          <w:rStyle w:val="Strong"/>
          <w:rFonts w:ascii="Arial" w:hAnsi="Arial" w:cs="Arial"/>
          <w:b w:val="0"/>
        </w:rPr>
      </w:pPr>
      <w:r w:rsidRPr="002F0AE1">
        <w:rPr>
          <w:rStyle w:val="Strong"/>
          <w:rFonts w:ascii="Arial" w:hAnsi="Arial" w:cs="Arial"/>
          <w:b w:val="0"/>
        </w:rPr>
        <w:t>The customer perspective is about enhancing consumer satisfaction, brand loyalty and trust in Dove's purpose-driven positioning. Customer satisfaction, Net Promoter Score (NPS), brand awareness, customer retention rate, and digital engagement metrics are some of the key performance indicators (KPIs) that can be used. Programs like the Real Beauty campaign, consumer-specific experiences, and omnichannel marketing further cement Dove's unique value proposition and lasting customer connections (Dove, 2024).</w:t>
      </w:r>
    </w:p>
    <w:p w14:paraId="4A48B7EE" w14:textId="7B8046F9" w:rsidR="002F0AE1" w:rsidRPr="002F0AE1" w:rsidRDefault="002F0AE1" w:rsidP="00356AB9">
      <w:pPr>
        <w:pStyle w:val="Heading2"/>
        <w:rPr>
          <w:rStyle w:val="Strong"/>
          <w:rFonts w:cs="Arial"/>
        </w:rPr>
      </w:pPr>
      <w:bookmarkStart w:id="36" w:name="_Toc236776241"/>
      <w:r w:rsidRPr="00356AB9">
        <w:t>Internal Business Process Perspective</w:t>
      </w:r>
      <w:bookmarkEnd w:id="36"/>
    </w:p>
    <w:p w14:paraId="62C4FD46" w14:textId="77777777" w:rsidR="002F0AE1" w:rsidRPr="002F0AE1" w:rsidRDefault="002F0AE1" w:rsidP="00356AB9">
      <w:pPr>
        <w:rPr>
          <w:rStyle w:val="Strong"/>
          <w:rFonts w:ascii="Arial" w:hAnsi="Arial" w:cs="Arial"/>
          <w:b w:val="0"/>
        </w:rPr>
      </w:pPr>
      <w:r w:rsidRPr="002F0AE1">
        <w:rPr>
          <w:rStyle w:val="Strong"/>
          <w:rFonts w:ascii="Arial" w:hAnsi="Arial" w:cs="Arial"/>
          <w:b w:val="0"/>
        </w:rPr>
        <w:t>The internal business process view of Dove aims to increase efficiency and speed up innovation and sustainability. Performance indicators are product development cycle time, sustainable packaging adoption, supply chain efficiency, quality performance and regulatory compliance. Operational excellence and meeting changing consumer expectations and environmental legislation is achieved through investments in research and development, digital technologies and responsible sourcing (Johnson et al., 2020; Unilever, 2024a).</w:t>
      </w:r>
    </w:p>
    <w:p w14:paraId="2D02AE49" w14:textId="5816B1C0" w:rsidR="002F0AE1" w:rsidRPr="002F0AE1" w:rsidRDefault="002F0AE1" w:rsidP="002F0AE1">
      <w:pPr>
        <w:pStyle w:val="Heading2"/>
        <w:rPr>
          <w:rStyle w:val="Strong"/>
          <w:b/>
          <w:bCs w:val="0"/>
        </w:rPr>
      </w:pPr>
      <w:bookmarkStart w:id="37" w:name="_Toc236776242"/>
      <w:r w:rsidRPr="002F0AE1">
        <w:rPr>
          <w:rStyle w:val="Strong"/>
          <w:b/>
          <w:bCs w:val="0"/>
        </w:rPr>
        <w:lastRenderedPageBreak/>
        <w:t>Learning And Growth Perspective</w:t>
      </w:r>
      <w:bookmarkEnd w:id="37"/>
    </w:p>
    <w:p w14:paraId="5AE4EAA1" w14:textId="77777777" w:rsidR="002F0AE1" w:rsidRPr="002F0AE1" w:rsidRDefault="002F0AE1" w:rsidP="002F0AE1">
      <w:pPr>
        <w:rPr>
          <w:rStyle w:val="Strong"/>
          <w:rFonts w:ascii="Arial" w:hAnsi="Arial" w:cs="Arial"/>
          <w:b w:val="0"/>
        </w:rPr>
      </w:pPr>
      <w:r w:rsidRPr="002F0AE1">
        <w:rPr>
          <w:rStyle w:val="Strong"/>
          <w:rFonts w:ascii="Arial" w:hAnsi="Arial" w:cs="Arial"/>
          <w:b w:val="0"/>
        </w:rPr>
        <w:t xml:space="preserve">Lastly, the learning and growth focus is on building the </w:t>
      </w:r>
      <w:proofErr w:type="spellStart"/>
      <w:r w:rsidRPr="002F0AE1">
        <w:rPr>
          <w:rStyle w:val="Strong"/>
          <w:rFonts w:ascii="Arial" w:hAnsi="Arial" w:cs="Arial"/>
          <w:b w:val="0"/>
        </w:rPr>
        <w:t>organisation's</w:t>
      </w:r>
      <w:proofErr w:type="spellEnd"/>
      <w:r w:rsidRPr="002F0AE1">
        <w:rPr>
          <w:rStyle w:val="Strong"/>
          <w:rFonts w:ascii="Arial" w:hAnsi="Arial" w:cs="Arial"/>
          <w:b w:val="0"/>
        </w:rPr>
        <w:t xml:space="preserve"> learning and growth capabilities for future competitiveness. The focus is on improving employee skills, encouraging innovation, building digital capabilities and creating a culture that is inclusive of all employees. Some key indicators are employee engagement, innovation pipeline, training hours, digital capability development and sustainability competencies. By promoting continuous learning and </w:t>
      </w:r>
      <w:proofErr w:type="spellStart"/>
      <w:r w:rsidRPr="002F0AE1">
        <w:rPr>
          <w:rStyle w:val="Strong"/>
          <w:rFonts w:ascii="Arial" w:hAnsi="Arial" w:cs="Arial"/>
          <w:b w:val="0"/>
        </w:rPr>
        <w:t>organisational</w:t>
      </w:r>
      <w:proofErr w:type="spellEnd"/>
      <w:r w:rsidRPr="002F0AE1">
        <w:rPr>
          <w:rStyle w:val="Strong"/>
          <w:rFonts w:ascii="Arial" w:hAnsi="Arial" w:cs="Arial"/>
          <w:b w:val="0"/>
        </w:rPr>
        <w:t xml:space="preserve"> development, Dove is able to respond to evolving market dynamics and maintain a competitive edge through innovation.</w:t>
      </w:r>
    </w:p>
    <w:p w14:paraId="2A57E52E" w14:textId="7529CD45" w:rsidR="002F0AE1" w:rsidRDefault="002F0AE1" w:rsidP="002F0AE1">
      <w:pPr>
        <w:rPr>
          <w:rStyle w:val="Strong"/>
          <w:rFonts w:ascii="Arial" w:hAnsi="Arial" w:cs="Arial"/>
          <w:b w:val="0"/>
        </w:rPr>
      </w:pPr>
      <w:r w:rsidRPr="002F0AE1">
        <w:rPr>
          <w:rStyle w:val="Strong"/>
          <w:rFonts w:ascii="Arial" w:hAnsi="Arial" w:cs="Arial"/>
          <w:b w:val="0"/>
        </w:rPr>
        <w:t xml:space="preserve">Overall, the Balanced Scorecard proves that the strategic success of Dove is based on the combination of financial success, customer value, operational excellence and </w:t>
      </w:r>
      <w:proofErr w:type="spellStart"/>
      <w:r w:rsidRPr="002F0AE1">
        <w:rPr>
          <w:rStyle w:val="Strong"/>
          <w:rFonts w:ascii="Arial" w:hAnsi="Arial" w:cs="Arial"/>
          <w:b w:val="0"/>
        </w:rPr>
        <w:t>organisation</w:t>
      </w:r>
      <w:proofErr w:type="spellEnd"/>
      <w:r w:rsidRPr="002F0AE1">
        <w:rPr>
          <w:rStyle w:val="Strong"/>
          <w:rFonts w:ascii="Arial" w:hAnsi="Arial" w:cs="Arial"/>
          <w:b w:val="0"/>
        </w:rPr>
        <w:t xml:space="preserve"> learning, which in turn lead to sustainable competitive advantage in the UK personal care market.</w:t>
      </w:r>
    </w:p>
    <w:p w14:paraId="5FB4CE05" w14:textId="22571CD1" w:rsidR="00A96F17" w:rsidRDefault="00A96F17" w:rsidP="00A96F17">
      <w:pPr>
        <w:pStyle w:val="Heading2"/>
        <w:rPr>
          <w:rStyle w:val="Strong"/>
          <w:b/>
          <w:bCs w:val="0"/>
        </w:rPr>
      </w:pPr>
      <w:bookmarkStart w:id="38" w:name="_Toc236776243"/>
      <w:r>
        <w:rPr>
          <w:rStyle w:val="Strong"/>
          <w:b/>
          <w:bCs w:val="0"/>
        </w:rPr>
        <w:t xml:space="preserve">5. </w:t>
      </w:r>
      <w:r w:rsidRPr="00A96F17">
        <w:rPr>
          <w:rStyle w:val="Strong"/>
          <w:b/>
          <w:bCs w:val="0"/>
        </w:rPr>
        <w:t>Strategic Choices and Implementation</w:t>
      </w:r>
      <w:bookmarkEnd w:id="38"/>
    </w:p>
    <w:p w14:paraId="02F943C3" w14:textId="3FE862BD" w:rsidR="00A96F17" w:rsidRDefault="00A96F17" w:rsidP="00A96F17">
      <w:pPr>
        <w:pStyle w:val="Heading2"/>
        <w:rPr>
          <w:rStyle w:val="Strong"/>
          <w:b/>
          <w:bCs w:val="0"/>
        </w:rPr>
      </w:pPr>
      <w:bookmarkStart w:id="39" w:name="_Toc236776244"/>
      <w:r>
        <w:rPr>
          <w:rStyle w:val="Strong"/>
          <w:b/>
          <w:bCs w:val="0"/>
        </w:rPr>
        <w:t xml:space="preserve">5.1 </w:t>
      </w:r>
      <w:r w:rsidRPr="00A96F17">
        <w:rPr>
          <w:rStyle w:val="Strong"/>
          <w:b/>
          <w:bCs w:val="0"/>
        </w:rPr>
        <w:t>Strategic Alternatives</w:t>
      </w:r>
      <w:bookmarkEnd w:id="39"/>
    </w:p>
    <w:p w14:paraId="5120CDD7" w14:textId="4905DAF1" w:rsidR="00766AE3" w:rsidRPr="00766AE3" w:rsidRDefault="00766AE3" w:rsidP="00766AE3">
      <w:r>
        <w:rPr>
          <w:noProof/>
        </w:rPr>
        <w:drawing>
          <wp:inline distT="0" distB="0" distL="0" distR="0" wp14:anchorId="659BD00B" wp14:editId="1EB1FE4C">
            <wp:extent cx="5731510" cy="3611302"/>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5467"/>
                    <a:stretch/>
                  </pic:blipFill>
                  <pic:spPr bwMode="auto">
                    <a:xfrm>
                      <a:off x="0" y="0"/>
                      <a:ext cx="5731510" cy="3611302"/>
                    </a:xfrm>
                    <a:prstGeom prst="rect">
                      <a:avLst/>
                    </a:prstGeom>
                    <a:noFill/>
                    <a:ln>
                      <a:noFill/>
                    </a:ln>
                    <a:extLst>
                      <a:ext uri="{53640926-AAD7-44D8-BBD7-CCE9431645EC}">
                        <a14:shadowObscured xmlns:a14="http://schemas.microsoft.com/office/drawing/2010/main"/>
                      </a:ext>
                    </a:extLst>
                  </pic:spPr>
                </pic:pic>
              </a:graphicData>
            </a:graphic>
          </wp:inline>
        </w:drawing>
      </w:r>
    </w:p>
    <w:p w14:paraId="0B1C1FAF" w14:textId="379A2CC7" w:rsidR="00766AE3" w:rsidRDefault="00766AE3" w:rsidP="00766AE3">
      <w:pPr>
        <w:pStyle w:val="Caption"/>
        <w:rPr>
          <w:rFonts w:ascii="Arial" w:hAnsi="Arial" w:cs="Arial"/>
        </w:rPr>
      </w:pPr>
      <w:bookmarkStart w:id="40" w:name="_Toc236776277"/>
      <w:r w:rsidRPr="00766AE3">
        <w:rPr>
          <w:rFonts w:ascii="Arial" w:hAnsi="Arial" w:cs="Arial"/>
        </w:rPr>
        <w:t xml:space="preserve">Figure </w:t>
      </w:r>
      <w:r w:rsidRPr="00766AE3">
        <w:rPr>
          <w:rFonts w:ascii="Arial" w:hAnsi="Arial" w:cs="Arial"/>
        </w:rPr>
        <w:fldChar w:fldCharType="begin"/>
      </w:r>
      <w:r w:rsidRPr="00766AE3">
        <w:rPr>
          <w:rFonts w:ascii="Arial" w:hAnsi="Arial" w:cs="Arial"/>
        </w:rPr>
        <w:instrText xml:space="preserve"> SEQ Figure \* ARABIC </w:instrText>
      </w:r>
      <w:r w:rsidRPr="00766AE3">
        <w:rPr>
          <w:rFonts w:ascii="Arial" w:hAnsi="Arial" w:cs="Arial"/>
        </w:rPr>
        <w:fldChar w:fldCharType="separate"/>
      </w:r>
      <w:r w:rsidR="00EE54B1">
        <w:rPr>
          <w:rFonts w:ascii="Arial" w:hAnsi="Arial" w:cs="Arial"/>
          <w:noProof/>
        </w:rPr>
        <w:t>8</w:t>
      </w:r>
      <w:r w:rsidRPr="00766AE3">
        <w:rPr>
          <w:rFonts w:ascii="Arial" w:hAnsi="Arial" w:cs="Arial"/>
        </w:rPr>
        <w:fldChar w:fldCharType="end"/>
      </w:r>
      <w:r w:rsidRPr="00766AE3">
        <w:rPr>
          <w:rFonts w:ascii="Arial" w:hAnsi="Arial" w:cs="Arial"/>
        </w:rPr>
        <w:t>: Strategic Alternatives for Dove Personal Care in the United Kingdom</w:t>
      </w:r>
      <w:bookmarkEnd w:id="40"/>
    </w:p>
    <w:p w14:paraId="71D08087" w14:textId="59133FB7" w:rsidR="00766AE3" w:rsidRPr="00766AE3" w:rsidRDefault="00766AE3" w:rsidP="00766AE3">
      <w:pPr>
        <w:rPr>
          <w:rFonts w:ascii="Arial" w:hAnsi="Arial" w:cs="Arial"/>
          <w:i/>
          <w:iCs/>
          <w:sz w:val="18"/>
          <w:szCs w:val="18"/>
        </w:rPr>
      </w:pPr>
      <w:r w:rsidRPr="00766AE3">
        <w:rPr>
          <w:rFonts w:ascii="Arial" w:hAnsi="Arial" w:cs="Arial"/>
          <w:i/>
          <w:iCs/>
          <w:sz w:val="18"/>
          <w:szCs w:val="18"/>
        </w:rPr>
        <w:t>Source: Developed by the author</w:t>
      </w:r>
    </w:p>
    <w:p w14:paraId="2E5D5844" w14:textId="2D756122" w:rsidR="00766AE3" w:rsidRDefault="00766AE3" w:rsidP="00766AE3">
      <w:pPr>
        <w:pStyle w:val="Heading2"/>
      </w:pPr>
      <w:bookmarkStart w:id="41" w:name="_Toc236776245"/>
      <w:r>
        <w:lastRenderedPageBreak/>
        <w:t>Option 1 - Premium Differentiation Strategy</w:t>
      </w:r>
      <w:bookmarkEnd w:id="41"/>
    </w:p>
    <w:p w14:paraId="52AF54AC" w14:textId="0A5C9F50" w:rsidR="00766AE3" w:rsidRPr="00766AE3" w:rsidRDefault="00766AE3" w:rsidP="00766AE3">
      <w:pPr>
        <w:rPr>
          <w:rFonts w:ascii="Arial" w:hAnsi="Arial" w:cs="Arial"/>
        </w:rPr>
      </w:pPr>
      <w:r w:rsidRPr="00766AE3">
        <w:rPr>
          <w:rFonts w:ascii="Arial" w:hAnsi="Arial" w:cs="Arial"/>
        </w:rPr>
        <w:t>The cost of implementing a premium differentiation strategy would benefit dove's competitive position by improving the quality of products, developing innovative products for the skin care market and reinforcing purpose-driven brand communication. With the Real beauty campaign and the better performance of its products, Dove can afford to charge higher prices for products and can build brand loyalty and brand equity in the UK market (Porter, 1985; Aaker, 1996).</w:t>
      </w:r>
    </w:p>
    <w:p w14:paraId="4003ADFE" w14:textId="1E58635B" w:rsidR="00766AE3" w:rsidRPr="00766AE3" w:rsidRDefault="00766AE3" w:rsidP="00766AE3">
      <w:pPr>
        <w:pStyle w:val="Heading2"/>
        <w:rPr>
          <w:rFonts w:cs="Arial"/>
        </w:rPr>
      </w:pPr>
      <w:bookmarkStart w:id="42" w:name="_Toc236776246"/>
      <w:r w:rsidRPr="00766AE3">
        <w:rPr>
          <w:rFonts w:cs="Arial"/>
        </w:rPr>
        <w:t>Option 2 - Sustainable Product Innovation Strategy</w:t>
      </w:r>
      <w:bookmarkEnd w:id="42"/>
    </w:p>
    <w:p w14:paraId="175847AD" w14:textId="36949D9B" w:rsidR="00766AE3" w:rsidRPr="00766AE3" w:rsidRDefault="00766AE3" w:rsidP="00766AE3">
      <w:pPr>
        <w:rPr>
          <w:rFonts w:ascii="Arial" w:hAnsi="Arial" w:cs="Arial"/>
        </w:rPr>
      </w:pPr>
      <w:r w:rsidRPr="00766AE3">
        <w:rPr>
          <w:rFonts w:ascii="Arial" w:hAnsi="Arial" w:cs="Arial"/>
        </w:rPr>
        <w:t>This approach will accelerate innovation by using sustainable formulations, recyclable packaging and environmentally responsible sourcing. If Dove's product development aligns with the increasing consumer demand for ethical and eco-friendly personal care products, then it would help bolster Dove's sustainability efforts and support Unilever's environmental goals and long-term competitive advantage (Unilever, 2024a).</w:t>
      </w:r>
    </w:p>
    <w:p w14:paraId="2FAD0908" w14:textId="2B1743E6" w:rsidR="00766AE3" w:rsidRPr="00766AE3" w:rsidRDefault="00766AE3" w:rsidP="00766AE3">
      <w:pPr>
        <w:pStyle w:val="Heading2"/>
        <w:rPr>
          <w:rFonts w:eastAsia="Times New Roman" w:cs="Arial"/>
        </w:rPr>
      </w:pPr>
      <w:bookmarkStart w:id="43" w:name="_Toc236776247"/>
      <w:r w:rsidRPr="00766AE3">
        <w:rPr>
          <w:rFonts w:eastAsia="Times New Roman" w:cs="Arial"/>
        </w:rPr>
        <w:t>Option 3 - Digital Consumer Engagement Strategy</w:t>
      </w:r>
      <w:bookmarkEnd w:id="43"/>
    </w:p>
    <w:p w14:paraId="33711954" w14:textId="62385987" w:rsidR="00A96F17" w:rsidRDefault="00766AE3" w:rsidP="00766AE3">
      <w:pPr>
        <w:rPr>
          <w:rFonts w:ascii="Arial" w:hAnsi="Arial" w:cs="Arial"/>
        </w:rPr>
      </w:pPr>
      <w:r w:rsidRPr="00766AE3">
        <w:rPr>
          <w:rFonts w:ascii="Arial" w:hAnsi="Arial" w:cs="Arial"/>
        </w:rPr>
        <w:t xml:space="preserve">A digital consumer engagement strategy highlights the importance of broadening the scope of omnichannel marketing, leveraging artificial intelligence (AI) for </w:t>
      </w:r>
      <w:proofErr w:type="spellStart"/>
      <w:r w:rsidRPr="00766AE3">
        <w:rPr>
          <w:rFonts w:ascii="Arial" w:hAnsi="Arial" w:cs="Arial"/>
        </w:rPr>
        <w:t>personalisation</w:t>
      </w:r>
      <w:proofErr w:type="spellEnd"/>
      <w:r w:rsidRPr="00766AE3">
        <w:rPr>
          <w:rFonts w:ascii="Arial" w:hAnsi="Arial" w:cs="Arial"/>
        </w:rPr>
        <w:t xml:space="preserve">, engaging in social media activity, and </w:t>
      </w:r>
      <w:proofErr w:type="spellStart"/>
      <w:r w:rsidRPr="00766AE3">
        <w:rPr>
          <w:rFonts w:ascii="Arial" w:hAnsi="Arial" w:cs="Arial"/>
        </w:rPr>
        <w:t>analysing</w:t>
      </w:r>
      <w:proofErr w:type="spellEnd"/>
      <w:r w:rsidRPr="00766AE3">
        <w:rPr>
          <w:rFonts w:ascii="Arial" w:hAnsi="Arial" w:cs="Arial"/>
        </w:rPr>
        <w:t xml:space="preserve"> data to enhance customer relationships. Digital interaction would increase brand awareness, customer retention, brand insights and give Dove the ability to adapt and react to changing buying habits and trends (Chaffey, 2022). As a group these three strategic options offer possibilities for maintaining Dove's competitive standing in the personal care market in the UK.</w:t>
      </w:r>
    </w:p>
    <w:p w14:paraId="26CF738D" w14:textId="7F90A416" w:rsidR="00AD0FEE" w:rsidRDefault="00AD0FEE" w:rsidP="00766AE3">
      <w:pPr>
        <w:rPr>
          <w:rFonts w:ascii="Arial" w:hAnsi="Arial" w:cs="Arial"/>
        </w:rPr>
      </w:pPr>
    </w:p>
    <w:p w14:paraId="6AF3E536" w14:textId="29AD4753" w:rsidR="00AD0FEE" w:rsidRDefault="00AD0FEE" w:rsidP="00766AE3">
      <w:pPr>
        <w:rPr>
          <w:rFonts w:ascii="Arial" w:hAnsi="Arial" w:cs="Arial"/>
        </w:rPr>
      </w:pPr>
    </w:p>
    <w:p w14:paraId="7795F49F" w14:textId="4ED65DD0" w:rsidR="00AD0FEE" w:rsidRDefault="00AD0FEE" w:rsidP="00766AE3">
      <w:pPr>
        <w:rPr>
          <w:rFonts w:ascii="Arial" w:hAnsi="Arial" w:cs="Arial"/>
        </w:rPr>
      </w:pPr>
    </w:p>
    <w:p w14:paraId="10D9DDB1" w14:textId="111A7CB6" w:rsidR="00AD0FEE" w:rsidRDefault="00AD0FEE" w:rsidP="00766AE3">
      <w:pPr>
        <w:rPr>
          <w:rFonts w:ascii="Arial" w:hAnsi="Arial" w:cs="Arial"/>
        </w:rPr>
      </w:pPr>
    </w:p>
    <w:p w14:paraId="402F0871" w14:textId="6763A4F9" w:rsidR="00AD0FEE" w:rsidRDefault="00AD0FEE" w:rsidP="00766AE3">
      <w:pPr>
        <w:rPr>
          <w:rFonts w:ascii="Arial" w:hAnsi="Arial" w:cs="Arial"/>
        </w:rPr>
      </w:pPr>
    </w:p>
    <w:p w14:paraId="74BCE10F" w14:textId="77777777" w:rsidR="00AD0FEE" w:rsidRDefault="00AD0FEE" w:rsidP="00766AE3">
      <w:pPr>
        <w:rPr>
          <w:rFonts w:ascii="Arial" w:hAnsi="Arial" w:cs="Arial"/>
        </w:rPr>
      </w:pPr>
    </w:p>
    <w:p w14:paraId="0F786C65" w14:textId="77777777" w:rsidR="00AD0FEE" w:rsidRPr="00AD0FEE" w:rsidRDefault="00AD0FEE" w:rsidP="00AD0FEE">
      <w:pPr>
        <w:pStyle w:val="Heading2"/>
      </w:pPr>
      <w:bookmarkStart w:id="44" w:name="_Toc236776248"/>
      <w:r w:rsidRPr="00AD0FEE">
        <w:lastRenderedPageBreak/>
        <w:t>5.2 Evaluation of Strategic Alternatives</w:t>
      </w:r>
      <w:bookmarkEnd w:id="44"/>
      <w:r w:rsidRPr="00AD0FEE">
        <w:t xml:space="preserve"> </w:t>
      </w:r>
    </w:p>
    <w:p w14:paraId="3716C6CA" w14:textId="0D12FF47" w:rsidR="00AD0FEE" w:rsidRDefault="00AD0FEE" w:rsidP="00AD0FEE">
      <w:pPr>
        <w:pStyle w:val="Heading2"/>
      </w:pPr>
      <w:bookmarkStart w:id="45" w:name="_Toc236776249"/>
      <w:r w:rsidRPr="00AD0FEE">
        <w:t>Porter's Generic Strategies</w:t>
      </w:r>
      <w:bookmarkEnd w:id="45"/>
    </w:p>
    <w:p w14:paraId="29F36631" w14:textId="2CD7FFF7" w:rsidR="00AD0FEE" w:rsidRDefault="00AD0FEE" w:rsidP="00AD0FEE">
      <w:pPr>
        <w:rPr>
          <w:rFonts w:ascii="Arial" w:hAnsi="Arial" w:cs="Arial"/>
        </w:rPr>
      </w:pPr>
      <w:r w:rsidRPr="00AD0FEE">
        <w:rPr>
          <w:rFonts w:ascii="Arial" w:hAnsi="Arial" w:cs="Arial"/>
        </w:rPr>
        <w:t>The generic strategies developed by Porter are: cost leadership, differentiation and focus strategies (Porter, 1985). Dove's biggest differentiator is premium as their brand is differentiated by purpose, innovation, customer trust and quality. This strategy gives Dove a high point position, and, at the same time, gives it less direct competition in price from private brands. As a result, having a unique, differentiated strategy based on ongoing innovation and brand authenticity is still a preferred strategy in the personal care market in the UK.</w:t>
      </w:r>
    </w:p>
    <w:p w14:paraId="758370E8" w14:textId="21F03091" w:rsidR="00AD0FEE" w:rsidRDefault="00AD0FEE" w:rsidP="00AD0FEE">
      <w:pPr>
        <w:rPr>
          <w:rFonts w:ascii="Arial" w:hAnsi="Arial" w:cs="Arial"/>
        </w:rPr>
      </w:pPr>
      <w:r>
        <w:rPr>
          <w:noProof/>
        </w:rPr>
        <w:drawing>
          <wp:inline distT="0" distB="0" distL="0" distR="0" wp14:anchorId="76A73EF1" wp14:editId="3F0C9973">
            <wp:extent cx="5731510" cy="38201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p>
    <w:p w14:paraId="4D7786AD" w14:textId="42147F2D" w:rsidR="00AD0FEE" w:rsidRPr="00AD0FEE" w:rsidRDefault="00AD0FEE" w:rsidP="00AD0FEE">
      <w:pPr>
        <w:pStyle w:val="Caption"/>
        <w:rPr>
          <w:rFonts w:ascii="Arial" w:hAnsi="Arial" w:cs="Arial"/>
        </w:rPr>
      </w:pPr>
      <w:bookmarkStart w:id="46" w:name="_Toc236776278"/>
      <w:r w:rsidRPr="00AD0FEE">
        <w:rPr>
          <w:rFonts w:ascii="Arial" w:hAnsi="Arial" w:cs="Arial"/>
        </w:rPr>
        <w:t xml:space="preserve">Figure </w:t>
      </w:r>
      <w:r w:rsidRPr="00AD0FEE">
        <w:rPr>
          <w:rFonts w:ascii="Arial" w:hAnsi="Arial" w:cs="Arial"/>
        </w:rPr>
        <w:fldChar w:fldCharType="begin"/>
      </w:r>
      <w:r w:rsidRPr="00AD0FEE">
        <w:rPr>
          <w:rFonts w:ascii="Arial" w:hAnsi="Arial" w:cs="Arial"/>
        </w:rPr>
        <w:instrText xml:space="preserve"> SEQ Figure \* ARABIC </w:instrText>
      </w:r>
      <w:r w:rsidRPr="00AD0FEE">
        <w:rPr>
          <w:rFonts w:ascii="Arial" w:hAnsi="Arial" w:cs="Arial"/>
        </w:rPr>
        <w:fldChar w:fldCharType="separate"/>
      </w:r>
      <w:r w:rsidR="00EE54B1">
        <w:rPr>
          <w:rFonts w:ascii="Arial" w:hAnsi="Arial" w:cs="Arial"/>
          <w:noProof/>
        </w:rPr>
        <w:t>9</w:t>
      </w:r>
      <w:r w:rsidRPr="00AD0FEE">
        <w:rPr>
          <w:rFonts w:ascii="Arial" w:hAnsi="Arial" w:cs="Arial"/>
        </w:rPr>
        <w:fldChar w:fldCharType="end"/>
      </w:r>
      <w:r w:rsidRPr="00AD0FEE">
        <w:rPr>
          <w:rFonts w:ascii="Arial" w:hAnsi="Arial" w:cs="Arial"/>
        </w:rPr>
        <w:t>: Porter's Generic Strategies Positioning Map</w:t>
      </w:r>
      <w:bookmarkEnd w:id="46"/>
    </w:p>
    <w:p w14:paraId="2CE54B5B" w14:textId="76E6BA58" w:rsidR="00AD0FEE" w:rsidRPr="00AD0FEE" w:rsidRDefault="00AD0FEE" w:rsidP="00AD0FEE">
      <w:pPr>
        <w:pStyle w:val="Heading2"/>
        <w:rPr>
          <w:rFonts w:cs="Arial"/>
        </w:rPr>
      </w:pPr>
      <w:bookmarkStart w:id="47" w:name="_Toc236776250"/>
      <w:r w:rsidRPr="00AD0FEE">
        <w:rPr>
          <w:rFonts w:cs="Arial"/>
        </w:rPr>
        <w:t>Ansoff Matrix</w:t>
      </w:r>
      <w:bookmarkEnd w:id="47"/>
    </w:p>
    <w:p w14:paraId="5D24D4AD" w14:textId="4B484888" w:rsidR="00AD0FEE" w:rsidRDefault="00AD0FEE" w:rsidP="00AD0FEE">
      <w:pPr>
        <w:rPr>
          <w:rFonts w:ascii="Arial" w:hAnsi="Arial" w:cs="Arial"/>
        </w:rPr>
      </w:pPr>
      <w:r w:rsidRPr="00AD0FEE">
        <w:rPr>
          <w:rFonts w:ascii="Arial" w:hAnsi="Arial" w:cs="Arial"/>
        </w:rPr>
        <w:t xml:space="preserve">The Ansoff Matrix is a framework for assessing degrees of strategic growth – market penetration, market development, product development and diversification (Ansoff, 1957). Product development is the most appropriate growth strategy as Dove's presence in the UK is established. By creating sustainable products, refillable packaging, and high-quality skin care solutions, Dove is able to meet evolving consumer demand and take advantage of the existing market experience and </w:t>
      </w:r>
      <w:r w:rsidRPr="00AD0FEE">
        <w:rPr>
          <w:rFonts w:ascii="Arial" w:hAnsi="Arial" w:cs="Arial"/>
        </w:rPr>
        <w:lastRenderedPageBreak/>
        <w:t>distribution channels. This approach provides less strategic risk than diversification and an innovation-driven growth for the long-term.</w:t>
      </w:r>
    </w:p>
    <w:p w14:paraId="2F136D36" w14:textId="2976B2D7" w:rsidR="00AD0FEE" w:rsidRDefault="00AD0FEE" w:rsidP="00AD0FEE">
      <w:pPr>
        <w:rPr>
          <w:rFonts w:ascii="Arial" w:hAnsi="Arial" w:cs="Arial"/>
        </w:rPr>
      </w:pPr>
      <w:r>
        <w:rPr>
          <w:noProof/>
        </w:rPr>
        <w:drawing>
          <wp:inline distT="0" distB="0" distL="0" distR="0" wp14:anchorId="3ADDBDF1" wp14:editId="025F09C9">
            <wp:extent cx="5731510" cy="4647235"/>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1">
                      <a:extLst>
                        <a:ext uri="{28A0092B-C50C-407E-A947-70E740481C1C}">
                          <a14:useLocalDpi xmlns:a14="http://schemas.microsoft.com/office/drawing/2010/main" val="0"/>
                        </a:ext>
                      </a:extLst>
                    </a:blip>
                    <a:srcRect b="3679"/>
                    <a:stretch/>
                  </pic:blipFill>
                  <pic:spPr bwMode="auto">
                    <a:xfrm>
                      <a:off x="0" y="0"/>
                      <a:ext cx="5731510" cy="4647235"/>
                    </a:xfrm>
                    <a:prstGeom prst="rect">
                      <a:avLst/>
                    </a:prstGeom>
                    <a:noFill/>
                    <a:ln>
                      <a:noFill/>
                    </a:ln>
                    <a:extLst>
                      <a:ext uri="{53640926-AAD7-44D8-BBD7-CCE9431645EC}">
                        <a14:shadowObscured xmlns:a14="http://schemas.microsoft.com/office/drawing/2010/main"/>
                      </a:ext>
                    </a:extLst>
                  </pic:spPr>
                </pic:pic>
              </a:graphicData>
            </a:graphic>
          </wp:inline>
        </w:drawing>
      </w:r>
    </w:p>
    <w:p w14:paraId="2DE8FFCC" w14:textId="1D463632" w:rsidR="00AD0FEE" w:rsidRDefault="00AD0FEE" w:rsidP="00AD0FEE">
      <w:pPr>
        <w:pStyle w:val="Caption"/>
        <w:rPr>
          <w:rFonts w:ascii="Arial" w:hAnsi="Arial" w:cs="Arial"/>
        </w:rPr>
      </w:pPr>
      <w:bookmarkStart w:id="48" w:name="_Toc236776279"/>
      <w:r w:rsidRPr="00AD0FEE">
        <w:rPr>
          <w:rFonts w:ascii="Arial" w:hAnsi="Arial" w:cs="Arial"/>
        </w:rPr>
        <w:t xml:space="preserve">Figure </w:t>
      </w:r>
      <w:r w:rsidRPr="00AD0FEE">
        <w:rPr>
          <w:rFonts w:ascii="Arial" w:hAnsi="Arial" w:cs="Arial"/>
        </w:rPr>
        <w:fldChar w:fldCharType="begin"/>
      </w:r>
      <w:r w:rsidRPr="00AD0FEE">
        <w:rPr>
          <w:rFonts w:ascii="Arial" w:hAnsi="Arial" w:cs="Arial"/>
        </w:rPr>
        <w:instrText xml:space="preserve"> SEQ Figure \* ARABIC </w:instrText>
      </w:r>
      <w:r w:rsidRPr="00AD0FEE">
        <w:rPr>
          <w:rFonts w:ascii="Arial" w:hAnsi="Arial" w:cs="Arial"/>
        </w:rPr>
        <w:fldChar w:fldCharType="separate"/>
      </w:r>
      <w:r w:rsidR="00EE54B1">
        <w:rPr>
          <w:rFonts w:ascii="Arial" w:hAnsi="Arial" w:cs="Arial"/>
          <w:noProof/>
        </w:rPr>
        <w:t>10</w:t>
      </w:r>
      <w:r w:rsidRPr="00AD0FEE">
        <w:rPr>
          <w:rFonts w:ascii="Arial" w:hAnsi="Arial" w:cs="Arial"/>
        </w:rPr>
        <w:fldChar w:fldCharType="end"/>
      </w:r>
      <w:r w:rsidRPr="00AD0FEE">
        <w:rPr>
          <w:rFonts w:ascii="Arial" w:hAnsi="Arial" w:cs="Arial"/>
        </w:rPr>
        <w:t>: Ansoff Matrix for Dove UK</w:t>
      </w:r>
      <w:bookmarkEnd w:id="48"/>
    </w:p>
    <w:p w14:paraId="3A478590" w14:textId="64DBBC3A" w:rsidR="00AD0FEE" w:rsidRDefault="00AD0FEE" w:rsidP="00AD0FEE"/>
    <w:p w14:paraId="5CD0F1E2" w14:textId="56DC4BC2" w:rsidR="00AD0FEE" w:rsidRDefault="00AD0FEE" w:rsidP="00AD0FEE"/>
    <w:p w14:paraId="5C533774" w14:textId="7F833F25" w:rsidR="00AD0FEE" w:rsidRDefault="00AD0FEE" w:rsidP="00AD0FEE"/>
    <w:p w14:paraId="691A5EC2" w14:textId="33B21D1B" w:rsidR="00AD0FEE" w:rsidRDefault="00AD0FEE" w:rsidP="00AD0FEE"/>
    <w:p w14:paraId="53136C79" w14:textId="2B354BBB" w:rsidR="00AD0FEE" w:rsidRDefault="00AD0FEE" w:rsidP="00AD0FEE"/>
    <w:p w14:paraId="36A6FC62" w14:textId="3F2CFEF6" w:rsidR="00AD0FEE" w:rsidRDefault="00AD0FEE" w:rsidP="00AD0FEE"/>
    <w:p w14:paraId="3C3E0885" w14:textId="77777777" w:rsidR="00AD0FEE" w:rsidRPr="00AD0FEE" w:rsidRDefault="00AD0FEE" w:rsidP="00AD0FEE"/>
    <w:p w14:paraId="3BA76A3A" w14:textId="00A2BD7C" w:rsidR="00AD0FEE" w:rsidRPr="00AD0FEE" w:rsidRDefault="00AD0FEE" w:rsidP="00AD0FEE">
      <w:pPr>
        <w:pStyle w:val="Heading2"/>
        <w:rPr>
          <w:rFonts w:cs="Arial"/>
        </w:rPr>
      </w:pPr>
      <w:bookmarkStart w:id="49" w:name="_Toc236776251"/>
      <w:r w:rsidRPr="00AD0FEE">
        <w:rPr>
          <w:rFonts w:cs="Arial"/>
        </w:rPr>
        <w:lastRenderedPageBreak/>
        <w:t>BCG Matrix</w:t>
      </w:r>
      <w:bookmarkEnd w:id="49"/>
    </w:p>
    <w:p w14:paraId="27F9F1ED" w14:textId="32D9B866" w:rsidR="00AD0FEE" w:rsidRDefault="00AD0FEE" w:rsidP="00AD0FEE">
      <w:pPr>
        <w:rPr>
          <w:rFonts w:ascii="Arial" w:hAnsi="Arial" w:cs="Arial"/>
        </w:rPr>
      </w:pPr>
      <w:r w:rsidRPr="00AD0FEE">
        <w:rPr>
          <w:rFonts w:ascii="Arial" w:hAnsi="Arial" w:cs="Arial"/>
        </w:rPr>
        <w:t>Businesses can be categorized using the BCG Matrix based on the market growth and relative market share of the business units (Henderson, 1970). Dove Personal Care is the best position of “Star” as it has a good market share in a rising premium and sustainable personal care market in the UK. It is therefore justifiable to continue investing in innovation, marketing and sustainability to keep on top and to create future cash flows.</w:t>
      </w:r>
    </w:p>
    <w:p w14:paraId="6583F1FA" w14:textId="64E566A9" w:rsidR="00AD0FEE" w:rsidRDefault="00AD0FEE" w:rsidP="00AD0FEE">
      <w:pPr>
        <w:rPr>
          <w:rFonts w:ascii="Arial" w:hAnsi="Arial" w:cs="Arial"/>
        </w:rPr>
      </w:pPr>
      <w:r>
        <w:rPr>
          <w:noProof/>
        </w:rPr>
        <w:drawing>
          <wp:inline distT="0" distB="0" distL="0" distR="0" wp14:anchorId="5E0C429B" wp14:editId="56E2B001">
            <wp:extent cx="5731510" cy="4861367"/>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2">
                      <a:extLst>
                        <a:ext uri="{28A0092B-C50C-407E-A947-70E740481C1C}">
                          <a14:useLocalDpi xmlns:a14="http://schemas.microsoft.com/office/drawing/2010/main" val="0"/>
                        </a:ext>
                      </a:extLst>
                    </a:blip>
                    <a:srcRect b="3056"/>
                    <a:stretch/>
                  </pic:blipFill>
                  <pic:spPr bwMode="auto">
                    <a:xfrm>
                      <a:off x="0" y="0"/>
                      <a:ext cx="5731510" cy="4861367"/>
                    </a:xfrm>
                    <a:prstGeom prst="rect">
                      <a:avLst/>
                    </a:prstGeom>
                    <a:noFill/>
                    <a:ln>
                      <a:noFill/>
                    </a:ln>
                    <a:extLst>
                      <a:ext uri="{53640926-AAD7-44D8-BBD7-CCE9431645EC}">
                        <a14:shadowObscured xmlns:a14="http://schemas.microsoft.com/office/drawing/2010/main"/>
                      </a:ext>
                    </a:extLst>
                  </pic:spPr>
                </pic:pic>
              </a:graphicData>
            </a:graphic>
          </wp:inline>
        </w:drawing>
      </w:r>
    </w:p>
    <w:p w14:paraId="61CF62AF" w14:textId="61307D44" w:rsidR="00AD0FEE" w:rsidRPr="00AD0FEE" w:rsidRDefault="00AD0FEE" w:rsidP="00AD0FEE">
      <w:pPr>
        <w:pStyle w:val="Caption"/>
        <w:rPr>
          <w:rFonts w:ascii="Arial" w:hAnsi="Arial" w:cs="Arial"/>
        </w:rPr>
      </w:pPr>
      <w:bookmarkStart w:id="50" w:name="_Toc236776280"/>
      <w:r w:rsidRPr="00AD0FEE">
        <w:rPr>
          <w:rFonts w:ascii="Arial" w:hAnsi="Arial" w:cs="Arial"/>
        </w:rPr>
        <w:t xml:space="preserve">Figure </w:t>
      </w:r>
      <w:r w:rsidRPr="00AD0FEE">
        <w:rPr>
          <w:rFonts w:ascii="Arial" w:hAnsi="Arial" w:cs="Arial"/>
        </w:rPr>
        <w:fldChar w:fldCharType="begin"/>
      </w:r>
      <w:r w:rsidRPr="00AD0FEE">
        <w:rPr>
          <w:rFonts w:ascii="Arial" w:hAnsi="Arial" w:cs="Arial"/>
        </w:rPr>
        <w:instrText xml:space="preserve"> SEQ Figure \* ARABIC </w:instrText>
      </w:r>
      <w:r w:rsidRPr="00AD0FEE">
        <w:rPr>
          <w:rFonts w:ascii="Arial" w:hAnsi="Arial" w:cs="Arial"/>
        </w:rPr>
        <w:fldChar w:fldCharType="separate"/>
      </w:r>
      <w:r w:rsidR="00EE54B1">
        <w:rPr>
          <w:rFonts w:ascii="Arial" w:hAnsi="Arial" w:cs="Arial"/>
          <w:noProof/>
        </w:rPr>
        <w:t>11</w:t>
      </w:r>
      <w:r w:rsidRPr="00AD0FEE">
        <w:rPr>
          <w:rFonts w:ascii="Arial" w:hAnsi="Arial" w:cs="Arial"/>
        </w:rPr>
        <w:fldChar w:fldCharType="end"/>
      </w:r>
      <w:r w:rsidRPr="00AD0FEE">
        <w:rPr>
          <w:rFonts w:ascii="Arial" w:hAnsi="Arial" w:cs="Arial"/>
        </w:rPr>
        <w:t>: BCG Matrix</w:t>
      </w:r>
      <w:bookmarkEnd w:id="50"/>
    </w:p>
    <w:p w14:paraId="3AC2CE77" w14:textId="1CD60736" w:rsidR="00AD0FEE" w:rsidRPr="00AD0FEE" w:rsidRDefault="00AD0FEE" w:rsidP="00AD0FEE">
      <w:pPr>
        <w:pStyle w:val="Heading2"/>
        <w:rPr>
          <w:rFonts w:cs="Arial"/>
        </w:rPr>
      </w:pPr>
      <w:bookmarkStart w:id="51" w:name="_Toc236776252"/>
      <w:proofErr w:type="spellStart"/>
      <w:r w:rsidRPr="00AD0FEE">
        <w:rPr>
          <w:rFonts w:cs="Arial"/>
        </w:rPr>
        <w:t>SAFe</w:t>
      </w:r>
      <w:proofErr w:type="spellEnd"/>
      <w:r w:rsidRPr="00AD0FEE">
        <w:rPr>
          <w:rFonts w:cs="Arial"/>
        </w:rPr>
        <w:t xml:space="preserve"> Evaluation Matrix</w:t>
      </w:r>
      <w:bookmarkEnd w:id="51"/>
    </w:p>
    <w:p w14:paraId="402E87A3" w14:textId="0648899D" w:rsidR="00AD0FEE" w:rsidRDefault="00AD0FEE" w:rsidP="00AD0FEE">
      <w:pPr>
        <w:rPr>
          <w:rFonts w:ascii="Arial" w:hAnsi="Arial" w:cs="Arial"/>
        </w:rPr>
      </w:pPr>
      <w:r w:rsidRPr="00AD0FEE">
        <w:rPr>
          <w:rFonts w:ascii="Arial" w:hAnsi="Arial" w:cs="Arial"/>
        </w:rPr>
        <w:t xml:space="preserve">The </w:t>
      </w:r>
      <w:proofErr w:type="spellStart"/>
      <w:r w:rsidRPr="00AD0FEE">
        <w:rPr>
          <w:rFonts w:ascii="Arial" w:hAnsi="Arial" w:cs="Arial"/>
        </w:rPr>
        <w:t>SAFe</w:t>
      </w:r>
      <w:proofErr w:type="spellEnd"/>
      <w:r w:rsidRPr="00AD0FEE">
        <w:rPr>
          <w:rFonts w:ascii="Arial" w:hAnsi="Arial" w:cs="Arial"/>
        </w:rPr>
        <w:t xml:space="preserve"> framework considers strategic options from the perspective of their Suitability, Acceptability and Feasibility (Johnson et al., 2020). The proposed alternatives can be evaluated in terms of their overall scores, with the Sustainable Product Innovation Strategy having the highest score. It is consistent with Dove's purpose-led positioning, meets rising consumer expectations for products that are </w:t>
      </w:r>
      <w:r w:rsidRPr="00AD0FEE">
        <w:rPr>
          <w:rFonts w:ascii="Arial" w:hAnsi="Arial" w:cs="Arial"/>
        </w:rPr>
        <w:lastRenderedPageBreak/>
        <w:t>good for the planet, and leverages Unilever's existing research, financial and operational strengths. This approach is thus most potent in building sustainable growth and in reinforcing the competitive edge in the long term.</w:t>
      </w:r>
    </w:p>
    <w:p w14:paraId="27D40116" w14:textId="4187C280" w:rsidR="00AD0FEE" w:rsidRDefault="00AD0FEE" w:rsidP="00AD0FEE">
      <w:pPr>
        <w:rPr>
          <w:rFonts w:ascii="Arial" w:hAnsi="Arial" w:cs="Arial"/>
        </w:rPr>
      </w:pPr>
      <w:r>
        <w:rPr>
          <w:noProof/>
        </w:rPr>
        <w:drawing>
          <wp:inline distT="0" distB="0" distL="0" distR="0" wp14:anchorId="0AE42F5C" wp14:editId="2E43EB8B">
            <wp:extent cx="5731510" cy="3703898"/>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b="3043"/>
                    <a:stretch/>
                  </pic:blipFill>
                  <pic:spPr bwMode="auto">
                    <a:xfrm>
                      <a:off x="0" y="0"/>
                      <a:ext cx="5731510" cy="3703898"/>
                    </a:xfrm>
                    <a:prstGeom prst="rect">
                      <a:avLst/>
                    </a:prstGeom>
                    <a:noFill/>
                    <a:ln>
                      <a:noFill/>
                    </a:ln>
                    <a:extLst>
                      <a:ext uri="{53640926-AAD7-44D8-BBD7-CCE9431645EC}">
                        <a14:shadowObscured xmlns:a14="http://schemas.microsoft.com/office/drawing/2010/main"/>
                      </a:ext>
                    </a:extLst>
                  </pic:spPr>
                </pic:pic>
              </a:graphicData>
            </a:graphic>
          </wp:inline>
        </w:drawing>
      </w:r>
    </w:p>
    <w:p w14:paraId="5C6F916F" w14:textId="7682AA79" w:rsidR="00AD0FEE" w:rsidRPr="00D451EC" w:rsidRDefault="00D451EC" w:rsidP="00D451EC">
      <w:pPr>
        <w:pStyle w:val="Caption"/>
        <w:rPr>
          <w:rFonts w:ascii="Arial" w:hAnsi="Arial" w:cs="Arial"/>
        </w:rPr>
      </w:pPr>
      <w:bookmarkStart w:id="52" w:name="_Toc236776281"/>
      <w:r w:rsidRPr="00D451EC">
        <w:rPr>
          <w:rFonts w:ascii="Arial" w:hAnsi="Arial" w:cs="Arial"/>
        </w:rPr>
        <w:t xml:space="preserve">Figure </w:t>
      </w:r>
      <w:r w:rsidRPr="00D451EC">
        <w:rPr>
          <w:rFonts w:ascii="Arial" w:hAnsi="Arial" w:cs="Arial"/>
        </w:rPr>
        <w:fldChar w:fldCharType="begin"/>
      </w:r>
      <w:r w:rsidRPr="00D451EC">
        <w:rPr>
          <w:rFonts w:ascii="Arial" w:hAnsi="Arial" w:cs="Arial"/>
        </w:rPr>
        <w:instrText xml:space="preserve"> SEQ Figure \* ARABIC </w:instrText>
      </w:r>
      <w:r w:rsidRPr="00D451EC">
        <w:rPr>
          <w:rFonts w:ascii="Arial" w:hAnsi="Arial" w:cs="Arial"/>
        </w:rPr>
        <w:fldChar w:fldCharType="separate"/>
      </w:r>
      <w:r w:rsidR="00EE54B1">
        <w:rPr>
          <w:rFonts w:ascii="Arial" w:hAnsi="Arial" w:cs="Arial"/>
          <w:noProof/>
        </w:rPr>
        <w:t>12</w:t>
      </w:r>
      <w:r w:rsidRPr="00D451EC">
        <w:rPr>
          <w:rFonts w:ascii="Arial" w:hAnsi="Arial" w:cs="Arial"/>
        </w:rPr>
        <w:fldChar w:fldCharType="end"/>
      </w:r>
      <w:r w:rsidRPr="00D451EC">
        <w:rPr>
          <w:rFonts w:ascii="Arial" w:hAnsi="Arial" w:cs="Arial"/>
        </w:rPr>
        <w:t xml:space="preserve">: </w:t>
      </w:r>
      <w:proofErr w:type="spellStart"/>
      <w:r w:rsidRPr="00D451EC">
        <w:rPr>
          <w:rFonts w:ascii="Arial" w:hAnsi="Arial" w:cs="Arial"/>
        </w:rPr>
        <w:t>SAFe</w:t>
      </w:r>
      <w:proofErr w:type="spellEnd"/>
      <w:r w:rsidRPr="00D451EC">
        <w:rPr>
          <w:rFonts w:ascii="Arial" w:hAnsi="Arial" w:cs="Arial"/>
        </w:rPr>
        <w:t xml:space="preserve"> Evaluation Radar Chart (Preferred) or Score</w:t>
      </w:r>
      <w:bookmarkEnd w:id="52"/>
    </w:p>
    <w:p w14:paraId="26A0F07B" w14:textId="77777777" w:rsidR="00483039" w:rsidRPr="00A81E0D" w:rsidRDefault="00483039" w:rsidP="00483039">
      <w:pPr>
        <w:pStyle w:val="Heading2"/>
        <w:rPr>
          <w:rFonts w:eastAsia="Times New Roman"/>
        </w:rPr>
      </w:pPr>
      <w:bookmarkStart w:id="53" w:name="_Toc236776253"/>
      <w:r w:rsidRPr="00A81E0D">
        <w:rPr>
          <w:rFonts w:eastAsia="Times New Roman"/>
        </w:rPr>
        <w:t>5.3 Recommended Strategy and Implementation</w:t>
      </w:r>
      <w:bookmarkEnd w:id="53"/>
      <w:r w:rsidRPr="00A81E0D">
        <w:rPr>
          <w:rFonts w:eastAsia="Times New Roman"/>
        </w:rPr>
        <w:t xml:space="preserve"> </w:t>
      </w:r>
    </w:p>
    <w:p w14:paraId="26C6BED0" w14:textId="4DB1D406" w:rsidR="00483039" w:rsidRPr="00483039" w:rsidRDefault="00483039" w:rsidP="00483039">
      <w:pPr>
        <w:pStyle w:val="Heading2"/>
        <w:rPr>
          <w:rFonts w:eastAsia="Times New Roman"/>
          <w:sz w:val="27"/>
          <w:szCs w:val="27"/>
        </w:rPr>
      </w:pPr>
      <w:bookmarkStart w:id="54" w:name="_Toc236776254"/>
      <w:r w:rsidRPr="00A81E0D">
        <w:rPr>
          <w:rFonts w:eastAsia="Times New Roman"/>
          <w:sz w:val="27"/>
          <w:szCs w:val="27"/>
        </w:rPr>
        <w:t>Recommended Strategy</w:t>
      </w:r>
      <w:bookmarkEnd w:id="54"/>
    </w:p>
    <w:p w14:paraId="6BB71ECF" w14:textId="10BA9C9A" w:rsidR="00483039" w:rsidRPr="00483039" w:rsidRDefault="00483039" w:rsidP="00483039">
      <w:pPr>
        <w:pStyle w:val="Caption"/>
        <w:spacing w:line="360" w:lineRule="auto"/>
        <w:rPr>
          <w:rFonts w:ascii="Arial" w:hAnsi="Arial" w:cs="Arial"/>
          <w:i w:val="0"/>
          <w:iCs w:val="0"/>
          <w:color w:val="auto"/>
          <w:sz w:val="24"/>
          <w:szCs w:val="24"/>
        </w:rPr>
      </w:pPr>
      <w:r w:rsidRPr="00483039">
        <w:rPr>
          <w:rFonts w:ascii="Arial" w:hAnsi="Arial" w:cs="Arial"/>
          <w:i w:val="0"/>
          <w:iCs w:val="0"/>
          <w:color w:val="auto"/>
          <w:sz w:val="24"/>
          <w:szCs w:val="24"/>
        </w:rPr>
        <w:t xml:space="preserve">From the analysis of PESTLE, VRIO, SWOT, Porter's Five Forces, Ansoff Matrix, BCG Matrix and </w:t>
      </w:r>
      <w:proofErr w:type="spellStart"/>
      <w:r w:rsidRPr="00483039">
        <w:rPr>
          <w:rFonts w:ascii="Arial" w:hAnsi="Arial" w:cs="Arial"/>
          <w:i w:val="0"/>
          <w:iCs w:val="0"/>
          <w:color w:val="auto"/>
          <w:sz w:val="24"/>
          <w:szCs w:val="24"/>
        </w:rPr>
        <w:t>SAFe</w:t>
      </w:r>
      <w:proofErr w:type="spellEnd"/>
      <w:r w:rsidRPr="00483039">
        <w:rPr>
          <w:rFonts w:ascii="Arial" w:hAnsi="Arial" w:cs="Arial"/>
          <w:i w:val="0"/>
          <w:iCs w:val="0"/>
          <w:color w:val="auto"/>
          <w:sz w:val="24"/>
          <w:szCs w:val="24"/>
        </w:rPr>
        <w:t>, Dove Personal Care in the United Kingdom has been recommended Sustainable Product Innovation Strategy as the most suitable choice of strategy. This helps Dove achieve its brand purpose and is in line with the growing demand for sustainability from consumers, and also benefits from the innovation prowess, global supply chain and sustainability expertise of Unilever. It also enhances long-term differentiation and builds up brand equity and competitive advantage (Johnson et al., 2020; Unilever, 2024a).</w:t>
      </w:r>
    </w:p>
    <w:p w14:paraId="6B25EEC5" w14:textId="155BB030" w:rsidR="00483039" w:rsidRPr="00483039" w:rsidRDefault="00483039" w:rsidP="00483039">
      <w:pPr>
        <w:pStyle w:val="Heading2"/>
      </w:pPr>
      <w:bookmarkStart w:id="55" w:name="_Toc236776255"/>
      <w:r w:rsidRPr="00483039">
        <w:t>Implementation Roadmap (2026</w:t>
      </w:r>
      <w:r>
        <w:rPr>
          <w:i/>
          <w:iCs/>
        </w:rPr>
        <w:t>-</w:t>
      </w:r>
      <w:r w:rsidRPr="00483039">
        <w:t>2030)</w:t>
      </w:r>
      <w:bookmarkEnd w:id="55"/>
    </w:p>
    <w:p w14:paraId="7C9F08E5" w14:textId="4DD0E156" w:rsidR="00483039" w:rsidRDefault="00483039" w:rsidP="00483039">
      <w:pPr>
        <w:pStyle w:val="Caption"/>
        <w:spacing w:line="360" w:lineRule="auto"/>
        <w:rPr>
          <w:rFonts w:ascii="Arial" w:hAnsi="Arial" w:cs="Arial"/>
          <w:i w:val="0"/>
          <w:iCs w:val="0"/>
          <w:color w:val="auto"/>
          <w:sz w:val="24"/>
          <w:szCs w:val="24"/>
        </w:rPr>
      </w:pPr>
      <w:r w:rsidRPr="00483039">
        <w:rPr>
          <w:rFonts w:ascii="Arial" w:hAnsi="Arial" w:cs="Arial"/>
          <w:i w:val="0"/>
          <w:iCs w:val="0"/>
          <w:color w:val="auto"/>
          <w:sz w:val="24"/>
          <w:szCs w:val="24"/>
        </w:rPr>
        <w:t xml:space="preserve">Implementation should be done in a phased manner. The Dove should prioritize sustainable product design, consumer research and research and development during 2026. By 2027-28, the company is expected to introduce new versions of its products </w:t>
      </w:r>
      <w:r w:rsidRPr="00483039">
        <w:rPr>
          <w:rFonts w:ascii="Arial" w:hAnsi="Arial" w:cs="Arial"/>
          <w:i w:val="0"/>
          <w:iCs w:val="0"/>
          <w:color w:val="auto"/>
          <w:sz w:val="24"/>
          <w:szCs w:val="24"/>
        </w:rPr>
        <w:lastRenderedPageBreak/>
        <w:t>featuring recyclable or refillable packaging, complemented by a comprehensive digital marketing strategy and partnerships with strategic retailers. In 2029–2030, Dove must be continually testing, measuring and refining its performance based on customer feedback and ESG indicators (Kaplan and Norton, 1992) while focusing on sustainability in its supply chain and rollout to other product categories.</w:t>
      </w:r>
    </w:p>
    <w:p w14:paraId="61617968" w14:textId="7C23F286" w:rsidR="00E35014" w:rsidRDefault="00E35014" w:rsidP="00E35014">
      <w:r>
        <w:rPr>
          <w:noProof/>
        </w:rPr>
        <w:drawing>
          <wp:inline distT="0" distB="0" distL="0" distR="0" wp14:anchorId="5DEF0C49" wp14:editId="0FDA8927">
            <wp:extent cx="5731510" cy="38207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0B02F58" w14:textId="4989AA8D" w:rsidR="00E35014" w:rsidRPr="00E35014" w:rsidRDefault="00E35014" w:rsidP="00E35014">
      <w:pPr>
        <w:pStyle w:val="Caption"/>
        <w:rPr>
          <w:rFonts w:ascii="Arial" w:hAnsi="Arial" w:cs="Arial"/>
        </w:rPr>
      </w:pPr>
      <w:bookmarkStart w:id="56" w:name="_Toc236776282"/>
      <w:r w:rsidRPr="00E35014">
        <w:rPr>
          <w:rFonts w:ascii="Arial" w:hAnsi="Arial" w:cs="Arial"/>
        </w:rPr>
        <w:t xml:space="preserve">Figure </w:t>
      </w:r>
      <w:r w:rsidRPr="00E35014">
        <w:rPr>
          <w:rFonts w:ascii="Arial" w:hAnsi="Arial" w:cs="Arial"/>
        </w:rPr>
        <w:fldChar w:fldCharType="begin"/>
      </w:r>
      <w:r w:rsidRPr="00E35014">
        <w:rPr>
          <w:rFonts w:ascii="Arial" w:hAnsi="Arial" w:cs="Arial"/>
        </w:rPr>
        <w:instrText xml:space="preserve"> SEQ Figure \* ARABIC </w:instrText>
      </w:r>
      <w:r w:rsidRPr="00E35014">
        <w:rPr>
          <w:rFonts w:ascii="Arial" w:hAnsi="Arial" w:cs="Arial"/>
        </w:rPr>
        <w:fldChar w:fldCharType="separate"/>
      </w:r>
      <w:r w:rsidR="00EE54B1">
        <w:rPr>
          <w:rFonts w:ascii="Arial" w:hAnsi="Arial" w:cs="Arial"/>
          <w:noProof/>
        </w:rPr>
        <w:t>13</w:t>
      </w:r>
      <w:r w:rsidRPr="00E35014">
        <w:rPr>
          <w:rFonts w:ascii="Arial" w:hAnsi="Arial" w:cs="Arial"/>
        </w:rPr>
        <w:fldChar w:fldCharType="end"/>
      </w:r>
      <w:r w:rsidRPr="00E35014">
        <w:rPr>
          <w:rFonts w:ascii="Arial" w:hAnsi="Arial" w:cs="Arial"/>
        </w:rPr>
        <w:t>: Implementation Roadmap (2026-2030)</w:t>
      </w:r>
      <w:bookmarkEnd w:id="56"/>
    </w:p>
    <w:p w14:paraId="4CA45A2B" w14:textId="301FAF3A" w:rsidR="00483039" w:rsidRPr="00483039" w:rsidRDefault="00483039" w:rsidP="00483039">
      <w:pPr>
        <w:pStyle w:val="Heading2"/>
      </w:pPr>
      <w:bookmarkStart w:id="57" w:name="_Toc236776256"/>
      <w:r w:rsidRPr="00483039">
        <w:t>Implementation Challenges</w:t>
      </w:r>
      <w:bookmarkEnd w:id="57"/>
    </w:p>
    <w:p w14:paraId="58240746" w14:textId="77777777" w:rsidR="00483039" w:rsidRPr="00483039" w:rsidRDefault="00483039" w:rsidP="00483039">
      <w:pPr>
        <w:pStyle w:val="Caption"/>
        <w:spacing w:line="360" w:lineRule="auto"/>
        <w:rPr>
          <w:rFonts w:ascii="Arial" w:hAnsi="Arial" w:cs="Arial"/>
          <w:i w:val="0"/>
          <w:iCs w:val="0"/>
          <w:color w:val="auto"/>
          <w:sz w:val="24"/>
          <w:szCs w:val="24"/>
        </w:rPr>
      </w:pPr>
      <w:r w:rsidRPr="00483039">
        <w:rPr>
          <w:rFonts w:ascii="Arial" w:hAnsi="Arial" w:cs="Arial"/>
          <w:i w:val="0"/>
          <w:iCs w:val="0"/>
          <w:color w:val="auto"/>
          <w:sz w:val="24"/>
          <w:szCs w:val="24"/>
        </w:rPr>
        <w:t xml:space="preserve">Some of the key implementation challenges are the costs and availability of investment, disruption of the supply chain, resistance to </w:t>
      </w:r>
      <w:proofErr w:type="spellStart"/>
      <w:r w:rsidRPr="00483039">
        <w:rPr>
          <w:rFonts w:ascii="Arial" w:hAnsi="Arial" w:cs="Arial"/>
          <w:i w:val="0"/>
          <w:iCs w:val="0"/>
          <w:color w:val="auto"/>
          <w:sz w:val="24"/>
          <w:szCs w:val="24"/>
        </w:rPr>
        <w:t>organisational</w:t>
      </w:r>
      <w:proofErr w:type="spellEnd"/>
      <w:r w:rsidRPr="00483039">
        <w:rPr>
          <w:rFonts w:ascii="Arial" w:hAnsi="Arial" w:cs="Arial"/>
          <w:i w:val="0"/>
          <w:iCs w:val="0"/>
          <w:color w:val="auto"/>
          <w:sz w:val="24"/>
          <w:szCs w:val="24"/>
        </w:rPr>
        <w:t xml:space="preserve"> change, regulatory requirements for sustainability claims, and the uncertainty over consumer uptake of new product innovations (Competition and Markets Authority, 2021).</w:t>
      </w:r>
    </w:p>
    <w:p w14:paraId="4D346977" w14:textId="03B256BF" w:rsidR="00483039" w:rsidRPr="00483039" w:rsidRDefault="00483039" w:rsidP="00483039">
      <w:pPr>
        <w:pStyle w:val="Heading2"/>
      </w:pPr>
      <w:bookmarkStart w:id="58" w:name="_Toc236776257"/>
      <w:r w:rsidRPr="00483039">
        <w:t>Risk Mitigation Strategies</w:t>
      </w:r>
      <w:bookmarkEnd w:id="58"/>
    </w:p>
    <w:p w14:paraId="2D5B5FDD" w14:textId="67A62A63" w:rsidR="00483039" w:rsidRDefault="00483039" w:rsidP="00483039">
      <w:pPr>
        <w:pStyle w:val="Caption"/>
        <w:spacing w:line="360" w:lineRule="auto"/>
        <w:rPr>
          <w:rFonts w:ascii="Arial" w:hAnsi="Arial" w:cs="Arial"/>
          <w:i w:val="0"/>
          <w:iCs w:val="0"/>
          <w:color w:val="auto"/>
          <w:sz w:val="24"/>
          <w:szCs w:val="24"/>
        </w:rPr>
      </w:pPr>
      <w:r w:rsidRPr="00483039">
        <w:rPr>
          <w:rFonts w:ascii="Arial" w:hAnsi="Arial" w:cs="Arial"/>
          <w:i w:val="0"/>
          <w:iCs w:val="0"/>
          <w:color w:val="auto"/>
          <w:sz w:val="24"/>
          <w:szCs w:val="24"/>
        </w:rPr>
        <w:t>To reduce these risks, Dove needs to improve the collaboration with suppliers, phase-in product releases, provide training for employees, incorporate third-party environmental certification and track consumer recyclability feedback in order to inform agile product decisions and regulatory compliance.</w:t>
      </w:r>
    </w:p>
    <w:p w14:paraId="6CB507D5" w14:textId="77FA577C" w:rsidR="00E35014" w:rsidRDefault="00E35014" w:rsidP="00E35014"/>
    <w:p w14:paraId="59FB1978" w14:textId="749A96CA" w:rsidR="00E35014" w:rsidRDefault="00E35014" w:rsidP="00E35014">
      <w:r>
        <w:rPr>
          <w:noProof/>
        </w:rPr>
        <w:lastRenderedPageBreak/>
        <w:drawing>
          <wp:inline distT="0" distB="0" distL="0" distR="0" wp14:anchorId="3B080411" wp14:editId="2A38BA0D">
            <wp:extent cx="5731510" cy="35814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b="6265"/>
                    <a:stretch/>
                  </pic:blipFill>
                  <pic:spPr bwMode="auto">
                    <a:xfrm>
                      <a:off x="0" y="0"/>
                      <a:ext cx="5731510" cy="3581400"/>
                    </a:xfrm>
                    <a:prstGeom prst="rect">
                      <a:avLst/>
                    </a:prstGeom>
                    <a:noFill/>
                    <a:ln>
                      <a:noFill/>
                    </a:ln>
                    <a:extLst>
                      <a:ext uri="{53640926-AAD7-44D8-BBD7-CCE9431645EC}">
                        <a14:shadowObscured xmlns:a14="http://schemas.microsoft.com/office/drawing/2010/main"/>
                      </a:ext>
                    </a:extLst>
                  </pic:spPr>
                </pic:pic>
              </a:graphicData>
            </a:graphic>
          </wp:inline>
        </w:drawing>
      </w:r>
    </w:p>
    <w:p w14:paraId="3AD1D03C" w14:textId="78EEFF95" w:rsidR="00E35014" w:rsidRPr="00E35014" w:rsidRDefault="00E35014" w:rsidP="00E35014">
      <w:pPr>
        <w:pStyle w:val="Caption"/>
        <w:rPr>
          <w:rFonts w:ascii="Arial" w:hAnsi="Arial" w:cs="Arial"/>
        </w:rPr>
      </w:pPr>
      <w:bookmarkStart w:id="59" w:name="_Toc236776283"/>
      <w:r w:rsidRPr="00E35014">
        <w:rPr>
          <w:rFonts w:ascii="Arial" w:hAnsi="Arial" w:cs="Arial"/>
        </w:rPr>
        <w:t xml:space="preserve">Figure </w:t>
      </w:r>
      <w:r w:rsidRPr="00E35014">
        <w:rPr>
          <w:rFonts w:ascii="Arial" w:hAnsi="Arial" w:cs="Arial"/>
        </w:rPr>
        <w:fldChar w:fldCharType="begin"/>
      </w:r>
      <w:r w:rsidRPr="00E35014">
        <w:rPr>
          <w:rFonts w:ascii="Arial" w:hAnsi="Arial" w:cs="Arial"/>
        </w:rPr>
        <w:instrText xml:space="preserve"> SEQ Figure \* ARABIC </w:instrText>
      </w:r>
      <w:r w:rsidRPr="00E35014">
        <w:rPr>
          <w:rFonts w:ascii="Arial" w:hAnsi="Arial" w:cs="Arial"/>
        </w:rPr>
        <w:fldChar w:fldCharType="separate"/>
      </w:r>
      <w:r w:rsidR="00EE54B1">
        <w:rPr>
          <w:rFonts w:ascii="Arial" w:hAnsi="Arial" w:cs="Arial"/>
          <w:noProof/>
        </w:rPr>
        <w:t>14</w:t>
      </w:r>
      <w:r w:rsidRPr="00E35014">
        <w:rPr>
          <w:rFonts w:ascii="Arial" w:hAnsi="Arial" w:cs="Arial"/>
        </w:rPr>
        <w:fldChar w:fldCharType="end"/>
      </w:r>
      <w:r w:rsidRPr="00E35014">
        <w:rPr>
          <w:rFonts w:ascii="Arial" w:hAnsi="Arial" w:cs="Arial"/>
        </w:rPr>
        <w:t>: Risk Mitigation Framework</w:t>
      </w:r>
      <w:bookmarkEnd w:id="59"/>
    </w:p>
    <w:p w14:paraId="3D72EEF5" w14:textId="676B404C" w:rsidR="00483039" w:rsidRPr="00483039" w:rsidRDefault="00483039" w:rsidP="00483039">
      <w:pPr>
        <w:pStyle w:val="Heading2"/>
      </w:pPr>
      <w:bookmarkStart w:id="60" w:name="_Toc236776258"/>
      <w:r w:rsidRPr="00483039">
        <w:t>Key Performance Indicators (KPIs)</w:t>
      </w:r>
      <w:bookmarkEnd w:id="60"/>
      <w:r w:rsidRPr="00483039">
        <w:t xml:space="preserve"> </w:t>
      </w:r>
    </w:p>
    <w:p w14:paraId="4D0233C1" w14:textId="2DE280A4" w:rsidR="005F3959" w:rsidRDefault="00483039" w:rsidP="00483039">
      <w:pPr>
        <w:pStyle w:val="Caption"/>
        <w:spacing w:line="360" w:lineRule="auto"/>
        <w:rPr>
          <w:rFonts w:ascii="Arial" w:hAnsi="Arial" w:cs="Arial"/>
          <w:i w:val="0"/>
          <w:iCs w:val="0"/>
          <w:color w:val="auto"/>
          <w:sz w:val="24"/>
          <w:szCs w:val="24"/>
        </w:rPr>
      </w:pPr>
      <w:r w:rsidRPr="00483039">
        <w:rPr>
          <w:rFonts w:ascii="Arial" w:hAnsi="Arial" w:cs="Arial"/>
          <w:i w:val="0"/>
          <w:iCs w:val="0"/>
          <w:color w:val="auto"/>
          <w:sz w:val="24"/>
          <w:szCs w:val="24"/>
        </w:rPr>
        <w:t>Success will be tracked via measurable KPIs, such as revenue growth, UK market share, customer satisfaction, Net Promoter Score (NPS), percentage of recyclable packaging, reduction in carbon emissions, innovation success rate, digital engagement and employee sustainability training completion. These will help Dove measure the strategic progress and track that it is on track with its commercial and sustainability goals (Kaplan and Norton, 1992).</w:t>
      </w:r>
    </w:p>
    <w:p w14:paraId="656DD164" w14:textId="56399A14" w:rsidR="00E35014" w:rsidRDefault="005E47A2" w:rsidP="00E35014">
      <w:r>
        <w:rPr>
          <w:noProof/>
        </w:rPr>
        <w:lastRenderedPageBreak/>
        <w:drawing>
          <wp:inline distT="0" distB="0" distL="0" distR="0" wp14:anchorId="48D51CD5" wp14:editId="63D9B7AA">
            <wp:extent cx="5731510" cy="382079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06241C7" w14:textId="293CF55A" w:rsidR="00E35014" w:rsidRPr="005E47A2" w:rsidRDefault="005E47A2" w:rsidP="005E47A2">
      <w:pPr>
        <w:pStyle w:val="Caption"/>
        <w:rPr>
          <w:rFonts w:ascii="Arial" w:hAnsi="Arial" w:cs="Arial"/>
        </w:rPr>
      </w:pPr>
      <w:bookmarkStart w:id="61" w:name="_Toc236776284"/>
      <w:r w:rsidRPr="005E47A2">
        <w:rPr>
          <w:rFonts w:ascii="Arial" w:hAnsi="Arial" w:cs="Arial"/>
        </w:rPr>
        <w:t xml:space="preserve">Figure </w:t>
      </w:r>
      <w:r w:rsidRPr="005E47A2">
        <w:rPr>
          <w:rFonts w:ascii="Arial" w:hAnsi="Arial" w:cs="Arial"/>
        </w:rPr>
        <w:fldChar w:fldCharType="begin"/>
      </w:r>
      <w:r w:rsidRPr="005E47A2">
        <w:rPr>
          <w:rFonts w:ascii="Arial" w:hAnsi="Arial" w:cs="Arial"/>
        </w:rPr>
        <w:instrText xml:space="preserve"> SEQ Figure \* ARABIC </w:instrText>
      </w:r>
      <w:r w:rsidRPr="005E47A2">
        <w:rPr>
          <w:rFonts w:ascii="Arial" w:hAnsi="Arial" w:cs="Arial"/>
        </w:rPr>
        <w:fldChar w:fldCharType="separate"/>
      </w:r>
      <w:r w:rsidR="00EE54B1">
        <w:rPr>
          <w:rFonts w:ascii="Arial" w:hAnsi="Arial" w:cs="Arial"/>
          <w:noProof/>
        </w:rPr>
        <w:t>15</w:t>
      </w:r>
      <w:r w:rsidRPr="005E47A2">
        <w:rPr>
          <w:rFonts w:ascii="Arial" w:hAnsi="Arial" w:cs="Arial"/>
        </w:rPr>
        <w:fldChar w:fldCharType="end"/>
      </w:r>
      <w:r w:rsidRPr="005E47A2">
        <w:rPr>
          <w:rFonts w:ascii="Arial" w:hAnsi="Arial" w:cs="Arial"/>
        </w:rPr>
        <w:t>: KPI Dashboard for Strategy Implementation</w:t>
      </w:r>
      <w:bookmarkEnd w:id="61"/>
    </w:p>
    <w:p w14:paraId="4E95AE7A" w14:textId="123BDDA6" w:rsidR="005F3959" w:rsidRDefault="005E47A2" w:rsidP="00483039">
      <w:pPr>
        <w:rPr>
          <w:rFonts w:ascii="Arial" w:hAnsi="Arial" w:cs="Arial"/>
          <w:i/>
          <w:iCs/>
          <w:sz w:val="18"/>
          <w:szCs w:val="18"/>
        </w:rPr>
      </w:pPr>
      <w:r w:rsidRPr="005E47A2">
        <w:rPr>
          <w:rFonts w:ascii="Arial" w:hAnsi="Arial" w:cs="Arial"/>
          <w:i/>
          <w:iCs/>
          <w:sz w:val="18"/>
          <w:szCs w:val="18"/>
        </w:rPr>
        <w:t>Source: Kaplan and Norton (1992) Balance Scorecard; Unilever (2024) Annual Report and Accounts 2024</w:t>
      </w:r>
    </w:p>
    <w:p w14:paraId="1DB2EF41" w14:textId="77777777" w:rsidR="005E47A2" w:rsidRPr="005E47A2" w:rsidRDefault="005E47A2" w:rsidP="00483039">
      <w:pPr>
        <w:rPr>
          <w:rFonts w:ascii="Arial" w:hAnsi="Arial" w:cs="Arial"/>
          <w:sz w:val="18"/>
          <w:szCs w:val="18"/>
        </w:rPr>
      </w:pPr>
    </w:p>
    <w:p w14:paraId="1DCE3306" w14:textId="494CB12E" w:rsidR="005F3959" w:rsidRPr="00AD0FEE" w:rsidRDefault="005F3959" w:rsidP="00483039">
      <w:pPr>
        <w:rPr>
          <w:rFonts w:ascii="Arial" w:hAnsi="Arial" w:cs="Arial"/>
        </w:rPr>
      </w:pPr>
    </w:p>
    <w:p w14:paraId="23F7B798" w14:textId="2B946BAF" w:rsidR="005F3959" w:rsidRPr="00AD0FEE" w:rsidRDefault="005F3959" w:rsidP="00483039">
      <w:pPr>
        <w:rPr>
          <w:rFonts w:ascii="Arial" w:hAnsi="Arial" w:cs="Arial"/>
        </w:rPr>
      </w:pPr>
    </w:p>
    <w:p w14:paraId="64365A08" w14:textId="5EC586B5" w:rsidR="005F3959" w:rsidRPr="00AD0FEE" w:rsidRDefault="005F3959" w:rsidP="00483039">
      <w:pPr>
        <w:rPr>
          <w:rFonts w:ascii="Arial" w:hAnsi="Arial" w:cs="Arial"/>
        </w:rPr>
      </w:pPr>
    </w:p>
    <w:p w14:paraId="7D88D042" w14:textId="016445D0" w:rsidR="005F3959" w:rsidRPr="00AD0FEE" w:rsidRDefault="005F3959" w:rsidP="00483039">
      <w:pPr>
        <w:rPr>
          <w:rFonts w:ascii="Arial" w:hAnsi="Arial" w:cs="Arial"/>
        </w:rPr>
      </w:pPr>
    </w:p>
    <w:p w14:paraId="18D92A3D" w14:textId="1A030119" w:rsidR="00E002A4" w:rsidRDefault="00E002A4">
      <w:pPr>
        <w:rPr>
          <w:rFonts w:ascii="Arial" w:hAnsi="Arial" w:cs="Arial"/>
        </w:rPr>
      </w:pPr>
      <w:r>
        <w:rPr>
          <w:rFonts w:ascii="Arial" w:hAnsi="Arial" w:cs="Arial"/>
        </w:rPr>
        <w:br w:type="page"/>
      </w:r>
    </w:p>
    <w:p w14:paraId="7968C25C" w14:textId="77777777" w:rsidR="00E002A4" w:rsidRDefault="00E002A4" w:rsidP="00E002A4">
      <w:pPr>
        <w:pStyle w:val="Heading2"/>
      </w:pPr>
      <w:bookmarkStart w:id="62" w:name="_Toc236241912"/>
      <w:bookmarkStart w:id="63" w:name="_Toc236776259"/>
      <w:r w:rsidRPr="00E002A4">
        <w:lastRenderedPageBreak/>
        <w:t>Section</w:t>
      </w:r>
      <w:r>
        <w:t xml:space="preserve"> 2</w:t>
      </w:r>
      <w:bookmarkEnd w:id="62"/>
      <w:bookmarkEnd w:id="63"/>
    </w:p>
    <w:p w14:paraId="7CE3945F" w14:textId="77777777" w:rsidR="00EE54B1" w:rsidRDefault="00EE54B1" w:rsidP="00EE54B1">
      <w:pPr>
        <w:pStyle w:val="Heading2"/>
      </w:pPr>
      <w:bookmarkStart w:id="64" w:name="_Toc236776260"/>
      <w:r>
        <w:t>Reflective Account (Gibbs' Reflective Cycle):</w:t>
      </w:r>
      <w:bookmarkEnd w:id="64"/>
      <w:r>
        <w:t xml:space="preserve"> </w:t>
      </w:r>
    </w:p>
    <w:p w14:paraId="7BA6784B" w14:textId="732670F8" w:rsidR="00EE54B1" w:rsidRDefault="00EE54B1" w:rsidP="00EE54B1">
      <w:pPr>
        <w:rPr>
          <w:rFonts w:ascii="Arial" w:hAnsi="Arial" w:cs="Arial"/>
        </w:rPr>
      </w:pPr>
      <w:r w:rsidRPr="00EE54B1">
        <w:rPr>
          <w:rFonts w:ascii="Arial" w:hAnsi="Arial" w:cs="Arial"/>
        </w:rPr>
        <w:t>Gibbs' Reflective Cycle (Gibbs, 1988) is used as a reflective account to critically consider the learning that took place in the research, analysis and development of the strategic management report against the Dove Personal Care Business in the United Kingdom for Unilever. The model includes a structured framework of six stages</w:t>
      </w:r>
      <w:r>
        <w:rPr>
          <w:rFonts w:ascii="Arial" w:hAnsi="Arial" w:cs="Arial"/>
        </w:rPr>
        <w:t xml:space="preserve"> </w:t>
      </w:r>
      <w:r w:rsidRPr="00EE54B1">
        <w:rPr>
          <w:rFonts w:ascii="Arial" w:hAnsi="Arial" w:cs="Arial"/>
        </w:rPr>
        <w:t>Description, Feelings, Evaluation, Analysis, Conclusion and Action Plan</w:t>
      </w:r>
      <w:r>
        <w:rPr>
          <w:rFonts w:ascii="Arial" w:hAnsi="Arial" w:cs="Arial"/>
        </w:rPr>
        <w:t xml:space="preserve"> </w:t>
      </w:r>
      <w:r w:rsidRPr="00EE54B1">
        <w:rPr>
          <w:rFonts w:ascii="Arial" w:hAnsi="Arial" w:cs="Arial"/>
        </w:rPr>
        <w:t>that can facilitate systematic reflection and ongoing professional development.</w:t>
      </w:r>
    </w:p>
    <w:p w14:paraId="24C8D594" w14:textId="1B090827" w:rsidR="00EE54B1" w:rsidRPr="00EE54B1" w:rsidRDefault="00EE54B1" w:rsidP="00EE54B1">
      <w:pPr>
        <w:rPr>
          <w:rFonts w:ascii="Arial" w:hAnsi="Arial" w:cs="Arial"/>
        </w:rPr>
      </w:pPr>
      <w:r>
        <w:rPr>
          <w:noProof/>
        </w:rPr>
        <w:drawing>
          <wp:inline distT="0" distB="0" distL="0" distR="0" wp14:anchorId="660E1A7F" wp14:editId="5BD6C744">
            <wp:extent cx="5731510" cy="54292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7">
                      <a:extLst>
                        <a:ext uri="{28A0092B-C50C-407E-A947-70E740481C1C}">
                          <a14:useLocalDpi xmlns:a14="http://schemas.microsoft.com/office/drawing/2010/main" val="0"/>
                        </a:ext>
                      </a:extLst>
                    </a:blip>
                    <a:srcRect b="5274"/>
                    <a:stretch/>
                  </pic:blipFill>
                  <pic:spPr bwMode="auto">
                    <a:xfrm>
                      <a:off x="0" y="0"/>
                      <a:ext cx="5731510" cy="5429250"/>
                    </a:xfrm>
                    <a:prstGeom prst="rect">
                      <a:avLst/>
                    </a:prstGeom>
                    <a:noFill/>
                    <a:ln>
                      <a:noFill/>
                    </a:ln>
                    <a:extLst>
                      <a:ext uri="{53640926-AAD7-44D8-BBD7-CCE9431645EC}">
                        <a14:shadowObscured xmlns:a14="http://schemas.microsoft.com/office/drawing/2010/main"/>
                      </a:ext>
                    </a:extLst>
                  </pic:spPr>
                </pic:pic>
              </a:graphicData>
            </a:graphic>
          </wp:inline>
        </w:drawing>
      </w:r>
    </w:p>
    <w:p w14:paraId="081B7289" w14:textId="67F6E839" w:rsidR="00EE54B1" w:rsidRPr="00EE54B1" w:rsidRDefault="00EE54B1" w:rsidP="00EE54B1">
      <w:pPr>
        <w:pStyle w:val="Caption"/>
        <w:rPr>
          <w:rFonts w:ascii="Arial" w:hAnsi="Arial" w:cs="Arial"/>
        </w:rPr>
      </w:pPr>
      <w:bookmarkStart w:id="65" w:name="_Toc236776285"/>
      <w:r w:rsidRPr="00EE54B1">
        <w:rPr>
          <w:rFonts w:ascii="Arial" w:hAnsi="Arial" w:cs="Arial"/>
        </w:rPr>
        <w:t xml:space="preserve">Figure </w:t>
      </w:r>
      <w:r w:rsidRPr="00EE54B1">
        <w:rPr>
          <w:rFonts w:ascii="Arial" w:hAnsi="Arial" w:cs="Arial"/>
        </w:rPr>
        <w:fldChar w:fldCharType="begin"/>
      </w:r>
      <w:r w:rsidRPr="00EE54B1">
        <w:rPr>
          <w:rFonts w:ascii="Arial" w:hAnsi="Arial" w:cs="Arial"/>
        </w:rPr>
        <w:instrText xml:space="preserve"> SEQ Figure \* ARABIC </w:instrText>
      </w:r>
      <w:r w:rsidRPr="00EE54B1">
        <w:rPr>
          <w:rFonts w:ascii="Arial" w:hAnsi="Arial" w:cs="Arial"/>
        </w:rPr>
        <w:fldChar w:fldCharType="separate"/>
      </w:r>
      <w:r w:rsidRPr="00EE54B1">
        <w:rPr>
          <w:rFonts w:ascii="Arial" w:hAnsi="Arial" w:cs="Arial"/>
          <w:noProof/>
        </w:rPr>
        <w:t>16</w:t>
      </w:r>
      <w:r w:rsidRPr="00EE54B1">
        <w:rPr>
          <w:rFonts w:ascii="Arial" w:hAnsi="Arial" w:cs="Arial"/>
        </w:rPr>
        <w:fldChar w:fldCharType="end"/>
      </w:r>
      <w:r w:rsidRPr="00EE54B1">
        <w:rPr>
          <w:rFonts w:ascii="Arial" w:hAnsi="Arial" w:cs="Arial"/>
        </w:rPr>
        <w:t>: Adapted from Gibbs (1988)</w:t>
      </w:r>
      <w:bookmarkEnd w:id="65"/>
    </w:p>
    <w:p w14:paraId="2452E0F6" w14:textId="77777777" w:rsidR="00EE54B1" w:rsidRDefault="00EE54B1" w:rsidP="00EE54B1"/>
    <w:p w14:paraId="2CACD862" w14:textId="77777777" w:rsidR="00EE54B1" w:rsidRDefault="00EE54B1" w:rsidP="00EE54B1"/>
    <w:p w14:paraId="3C61D347" w14:textId="1A8CF557" w:rsidR="00EE54B1" w:rsidRPr="00EE54B1" w:rsidRDefault="00EE54B1" w:rsidP="00EE54B1">
      <w:pPr>
        <w:pStyle w:val="Heading2"/>
      </w:pPr>
      <w:bookmarkStart w:id="66" w:name="_Toc236776261"/>
      <w:r w:rsidRPr="00EE54B1">
        <w:lastRenderedPageBreak/>
        <w:t>Description</w:t>
      </w:r>
      <w:bookmarkEnd w:id="66"/>
    </w:p>
    <w:p w14:paraId="0FF3125A" w14:textId="77777777" w:rsidR="00EE54B1" w:rsidRPr="00EE54B1" w:rsidRDefault="00EE54B1" w:rsidP="00EE54B1">
      <w:pPr>
        <w:rPr>
          <w:rFonts w:ascii="Arial" w:hAnsi="Arial" w:cs="Arial"/>
        </w:rPr>
      </w:pPr>
      <w:r w:rsidRPr="00EE54B1">
        <w:rPr>
          <w:rFonts w:ascii="Arial" w:hAnsi="Arial" w:cs="Arial"/>
        </w:rPr>
        <w:t xml:space="preserve">The aim of this assessment was to take on the role of a strategic management consultant to appraise Dove's strategic position in the UK personal care market. For this purpose, I gathered data from the academic publications, books, industry publications, company publications and government publications. I used various strategic management tools, such as PESTLE, Porter's Five Forces, VRIO, SWOT, Balanced Scorecard, Porter's Generic Strategies, Ansoff Matrix, BCG Matrix, and </w:t>
      </w:r>
      <w:proofErr w:type="spellStart"/>
      <w:r w:rsidRPr="00EE54B1">
        <w:rPr>
          <w:rFonts w:ascii="Arial" w:hAnsi="Arial" w:cs="Arial"/>
        </w:rPr>
        <w:t>SAFe</w:t>
      </w:r>
      <w:proofErr w:type="spellEnd"/>
      <w:r w:rsidRPr="00EE54B1">
        <w:rPr>
          <w:rFonts w:ascii="Arial" w:hAnsi="Arial" w:cs="Arial"/>
        </w:rPr>
        <w:t xml:space="preserve"> framework to analyze the external environment, resources and capabilities of Dove, strategic options, and implementation plan for the organization. In the whole report, I tried to correlate theory and theory with the business evidence so as to provide realistic and evidence-based strategic recommendations.</w:t>
      </w:r>
    </w:p>
    <w:p w14:paraId="7B13CC13" w14:textId="0C70257E" w:rsidR="00EE54B1" w:rsidRPr="00EE54B1" w:rsidRDefault="00EE54B1" w:rsidP="00EE54B1">
      <w:pPr>
        <w:pStyle w:val="Heading2"/>
      </w:pPr>
      <w:bookmarkStart w:id="67" w:name="_Toc236776262"/>
      <w:r w:rsidRPr="00EE54B1">
        <w:t>Feelings</w:t>
      </w:r>
      <w:bookmarkEnd w:id="67"/>
    </w:p>
    <w:p w14:paraId="4188FCBF" w14:textId="77777777" w:rsidR="00EE54B1" w:rsidRPr="00EE54B1" w:rsidRDefault="00EE54B1" w:rsidP="00EE54B1">
      <w:pPr>
        <w:rPr>
          <w:rFonts w:ascii="Arial" w:hAnsi="Arial" w:cs="Arial"/>
        </w:rPr>
      </w:pPr>
      <w:r w:rsidRPr="00EE54B1">
        <w:rPr>
          <w:rFonts w:ascii="Arial" w:hAnsi="Arial" w:cs="Arial"/>
        </w:rPr>
        <w:t xml:space="preserve">When I was given the task, I was confident of comprehending the strategic management parts of the assignment, but not as confident when I had to combine several analytical frameworks into a report. The first time I saw the strategic models it was a bit difficult to choose the most relevant and to establish logical bridges between them. But, as I read the research papers and </w:t>
      </w:r>
      <w:proofErr w:type="spellStart"/>
      <w:r w:rsidRPr="00EE54B1">
        <w:rPr>
          <w:rFonts w:ascii="Arial" w:hAnsi="Arial" w:cs="Arial"/>
        </w:rPr>
        <w:t>organisational</w:t>
      </w:r>
      <w:proofErr w:type="spellEnd"/>
      <w:r w:rsidRPr="00EE54B1">
        <w:rPr>
          <w:rFonts w:ascii="Arial" w:hAnsi="Arial" w:cs="Arial"/>
        </w:rPr>
        <w:t xml:space="preserve"> reports, my faith slowly grew. The process helped to deepen my understanding of the complementarity of strategic tools in supporting managerial decision making, not as standalone tools.</w:t>
      </w:r>
    </w:p>
    <w:p w14:paraId="3F55115D" w14:textId="7355EB08" w:rsidR="00EE54B1" w:rsidRPr="00EE54B1" w:rsidRDefault="00EE54B1" w:rsidP="00EE54B1">
      <w:pPr>
        <w:pStyle w:val="Heading2"/>
      </w:pPr>
      <w:bookmarkStart w:id="68" w:name="_Toc236776263"/>
      <w:r w:rsidRPr="00EE54B1">
        <w:t>Evaluation</w:t>
      </w:r>
      <w:bookmarkEnd w:id="68"/>
    </w:p>
    <w:p w14:paraId="3D87FECB" w14:textId="77777777" w:rsidR="00EE54B1" w:rsidRPr="00EE54B1" w:rsidRDefault="00EE54B1" w:rsidP="00EE54B1">
      <w:pPr>
        <w:rPr>
          <w:rFonts w:ascii="Arial" w:hAnsi="Arial" w:cs="Arial"/>
        </w:rPr>
      </w:pPr>
      <w:r w:rsidRPr="00EE54B1">
        <w:rPr>
          <w:rFonts w:ascii="Arial" w:hAnsi="Arial" w:cs="Arial"/>
        </w:rPr>
        <w:t xml:space="preserve">In general, I think the research and writing process was successful in that I was able to critically analyze Dove's competitive environment from several different lenses, rather than just descriptive analysis. The results of both the internal and external analyses reinforced the need to recommend a Sustainable Product Innovation Strategy. Furthermore, by </w:t>
      </w:r>
      <w:proofErr w:type="spellStart"/>
      <w:r w:rsidRPr="00EE54B1">
        <w:rPr>
          <w:rFonts w:ascii="Arial" w:hAnsi="Arial" w:cs="Arial"/>
        </w:rPr>
        <w:t>summarising</w:t>
      </w:r>
      <w:proofErr w:type="spellEnd"/>
      <w:r w:rsidRPr="00EE54B1">
        <w:rPr>
          <w:rFonts w:ascii="Arial" w:hAnsi="Arial" w:cs="Arial"/>
        </w:rPr>
        <w:t xml:space="preserve"> the current academic literature, company reports and industry evidence this supported my arguments and deepened my understanding of strategic implementation. However, there was one restriction – that of the financial data available from the public at the business unit level for Dove in the UK market. As a result, certain strategic interpretations were made using information from Unilever's corporate disclosures and industry reports, rather than information specific to the products.</w:t>
      </w:r>
    </w:p>
    <w:p w14:paraId="25467BB4" w14:textId="10D52A8C" w:rsidR="00EE54B1" w:rsidRPr="00EE54B1" w:rsidRDefault="00EE54B1" w:rsidP="00EE54B1">
      <w:pPr>
        <w:pStyle w:val="Heading2"/>
      </w:pPr>
      <w:bookmarkStart w:id="69" w:name="_Toc236776264"/>
      <w:r w:rsidRPr="00EE54B1">
        <w:lastRenderedPageBreak/>
        <w:t>Analysis</w:t>
      </w:r>
      <w:bookmarkEnd w:id="69"/>
    </w:p>
    <w:p w14:paraId="1C046695" w14:textId="02A8BF85" w:rsidR="00EE54B1" w:rsidRPr="00EE54B1" w:rsidRDefault="00EE54B1" w:rsidP="00EE54B1">
      <w:pPr>
        <w:rPr>
          <w:rFonts w:ascii="Arial" w:hAnsi="Arial" w:cs="Arial"/>
        </w:rPr>
      </w:pPr>
      <w:r w:rsidRPr="00EE54B1">
        <w:rPr>
          <w:rFonts w:ascii="Arial" w:hAnsi="Arial" w:cs="Arial"/>
        </w:rPr>
        <w:t xml:space="preserve">This assignment was an eye opener that said that strategic theories must be used in conjunction with one another and not singly. For instance, by conducting PESTLE analysis, external opportunities for Dove were highlighted that include sustainability and shifting consumer trends and through the VRIO analysis, </w:t>
      </w:r>
      <w:proofErr w:type="spellStart"/>
      <w:r w:rsidRPr="00EE54B1">
        <w:rPr>
          <w:rFonts w:ascii="Arial" w:hAnsi="Arial" w:cs="Arial"/>
        </w:rPr>
        <w:t>organisation</w:t>
      </w:r>
      <w:proofErr w:type="spellEnd"/>
      <w:r w:rsidRPr="00EE54B1">
        <w:rPr>
          <w:rFonts w:ascii="Arial" w:hAnsi="Arial" w:cs="Arial"/>
        </w:rPr>
        <w:t xml:space="preserve"> capabilities were identified that can be used to take advantage of the opportunities. Likewise, SWOT analysis was the basis for analyzing the strategic alternatives by Porter's Generic Strategies, Ansoff Matrix, BCG Matrix and </w:t>
      </w:r>
      <w:proofErr w:type="spellStart"/>
      <w:r w:rsidRPr="00EE54B1">
        <w:rPr>
          <w:rFonts w:ascii="Arial" w:hAnsi="Arial" w:cs="Arial"/>
        </w:rPr>
        <w:t>SAFe</w:t>
      </w:r>
      <w:proofErr w:type="spellEnd"/>
      <w:r w:rsidRPr="00EE54B1">
        <w:rPr>
          <w:rFonts w:ascii="Arial" w:hAnsi="Arial" w:cs="Arial"/>
        </w:rPr>
        <w:t xml:space="preserve"> framework. This process of strategic models’ application in the sequence showed the way how evidence-based decision making can be used to enhance the formulation of </w:t>
      </w:r>
      <w:proofErr w:type="spellStart"/>
      <w:r w:rsidRPr="00EE54B1">
        <w:rPr>
          <w:rFonts w:ascii="Arial" w:hAnsi="Arial" w:cs="Arial"/>
        </w:rPr>
        <w:t>organisational</w:t>
      </w:r>
      <w:proofErr w:type="spellEnd"/>
      <w:r w:rsidRPr="00EE54B1">
        <w:rPr>
          <w:rFonts w:ascii="Arial" w:hAnsi="Arial" w:cs="Arial"/>
        </w:rPr>
        <w:t xml:space="preserve"> strategy. Moreover, comparing theories of academics with business practice in real world has improved my analytical capabilities and also upgraded my argumentation, justified recommendations with proper evidence (Johnson et al., 2020).</w:t>
      </w:r>
    </w:p>
    <w:p w14:paraId="6FE032D3" w14:textId="4BD13671" w:rsidR="00EE54B1" w:rsidRPr="00EE54B1" w:rsidRDefault="00EE54B1" w:rsidP="00EE54B1">
      <w:pPr>
        <w:pStyle w:val="Heading2"/>
      </w:pPr>
      <w:bookmarkStart w:id="70" w:name="_Toc236776265"/>
      <w:r w:rsidRPr="00EE54B1">
        <w:t>Conclusion</w:t>
      </w:r>
      <w:bookmarkEnd w:id="70"/>
    </w:p>
    <w:p w14:paraId="070ABA8C" w14:textId="77777777" w:rsidR="00EE54B1" w:rsidRPr="00EE54B1" w:rsidRDefault="00EE54B1" w:rsidP="00EE54B1">
      <w:pPr>
        <w:rPr>
          <w:rFonts w:ascii="Arial" w:hAnsi="Arial" w:cs="Arial"/>
        </w:rPr>
      </w:pPr>
      <w:r w:rsidRPr="00EE54B1">
        <w:rPr>
          <w:rFonts w:ascii="Arial" w:hAnsi="Arial" w:cs="Arial"/>
        </w:rPr>
        <w:t>From my experience in completing this assignment, I understand that the successful strategic management isn't just about knowing each model, it's about being able to combine all the information I've acquired from various sources into an integrated strategic recommendation. I have gained a greater power to think critically, research, write academically and make decisions based on evidence as a result of this experience. It has also added value to my understanding about sustainability, innovation and stakeholder management as key elements in achieving long-term competitive advantage for organizations in the modern world.</w:t>
      </w:r>
    </w:p>
    <w:p w14:paraId="41A343EF" w14:textId="1C13A8B3" w:rsidR="00EE54B1" w:rsidRPr="00EE54B1" w:rsidRDefault="00EE54B1" w:rsidP="00EE54B1">
      <w:pPr>
        <w:pStyle w:val="Heading2"/>
      </w:pPr>
      <w:bookmarkStart w:id="71" w:name="_Toc236776266"/>
      <w:r w:rsidRPr="00EE54B1">
        <w:t>Action Plan</w:t>
      </w:r>
      <w:bookmarkEnd w:id="71"/>
    </w:p>
    <w:p w14:paraId="62CB9CE2" w14:textId="2F71EEB5" w:rsidR="00E002A4" w:rsidRPr="00EE54B1" w:rsidRDefault="00EE54B1" w:rsidP="00EE54B1">
      <w:pPr>
        <w:rPr>
          <w:rFonts w:ascii="Arial" w:hAnsi="Arial" w:cs="Arial"/>
        </w:rPr>
      </w:pPr>
      <w:r w:rsidRPr="00EE54B1">
        <w:rPr>
          <w:rFonts w:ascii="Arial" w:hAnsi="Arial" w:cs="Arial"/>
        </w:rPr>
        <w:t>As far as future academic and professional studies, I plan to gain a more comprehensive grasp on using the various industry databases, expand on quantitative data interpretation, and enhance financial analysis. I will also aim to improve my strategic planning skills and capacity to assess the viability of other strategic scenarios through scenario planning and predictive business analytics. Additionally, I will further develop my academic writing abilities by reading and using more academic sources that have gone through peer review and by applying rigorous Harvard referencing. These will help me to develop stronger consultancy reports and to be able to make sound decisions in management scenarios moving forward.</w:t>
      </w:r>
    </w:p>
    <w:p w14:paraId="5E17A1A6" w14:textId="252085C3" w:rsidR="005F3959" w:rsidRDefault="00EE54B1" w:rsidP="00EE54B1">
      <w:pPr>
        <w:pStyle w:val="Heading2"/>
      </w:pPr>
      <w:bookmarkStart w:id="72" w:name="_Toc236776267"/>
      <w:r>
        <w:lastRenderedPageBreak/>
        <w:t>References</w:t>
      </w:r>
      <w:bookmarkEnd w:id="72"/>
    </w:p>
    <w:p w14:paraId="3F1AD702"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Aaker, D.A. (1996) </w:t>
      </w:r>
      <w:r w:rsidRPr="00A9097D">
        <w:rPr>
          <w:rFonts w:ascii="Arial" w:eastAsia="Times New Roman" w:hAnsi="Arial" w:cs="Arial"/>
          <w:i/>
          <w:iCs/>
          <w:szCs w:val="24"/>
        </w:rPr>
        <w:t>Building Strong Brands</w:t>
      </w:r>
      <w:r w:rsidRPr="00A9097D">
        <w:rPr>
          <w:rFonts w:ascii="Arial" w:eastAsia="Times New Roman" w:hAnsi="Arial" w:cs="Arial"/>
          <w:szCs w:val="24"/>
        </w:rPr>
        <w:t>. New York: Free Press.</w:t>
      </w:r>
    </w:p>
    <w:p w14:paraId="03B742C5" w14:textId="0E5E7A44"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Ansoff, H.I. (1957) 'Strategies for Diversification', </w:t>
      </w:r>
      <w:r w:rsidRPr="00A9097D">
        <w:rPr>
          <w:rFonts w:ascii="Arial" w:eastAsia="Times New Roman" w:hAnsi="Arial" w:cs="Arial"/>
          <w:i/>
          <w:iCs/>
          <w:szCs w:val="24"/>
        </w:rPr>
        <w:t>Harvard Business Review</w:t>
      </w:r>
      <w:r w:rsidRPr="00A9097D">
        <w:rPr>
          <w:rFonts w:ascii="Arial" w:eastAsia="Times New Roman" w:hAnsi="Arial" w:cs="Arial"/>
          <w:szCs w:val="24"/>
        </w:rPr>
        <w:t>, 35(5), pp. 113</w:t>
      </w:r>
      <w:r>
        <w:rPr>
          <w:rFonts w:ascii="Arial" w:eastAsia="Times New Roman" w:hAnsi="Arial" w:cs="Arial"/>
          <w:szCs w:val="24"/>
        </w:rPr>
        <w:t>-</w:t>
      </w:r>
      <w:r w:rsidRPr="00A9097D">
        <w:rPr>
          <w:rFonts w:ascii="Arial" w:eastAsia="Times New Roman" w:hAnsi="Arial" w:cs="Arial"/>
          <w:szCs w:val="24"/>
        </w:rPr>
        <w:t>124.</w:t>
      </w:r>
    </w:p>
    <w:p w14:paraId="28892748" w14:textId="716BAD30"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Barney, J. (1991) 'Firm Resources and Sustained Competitive Advantage', </w:t>
      </w:r>
      <w:r w:rsidRPr="00A9097D">
        <w:rPr>
          <w:rFonts w:ascii="Arial" w:eastAsia="Times New Roman" w:hAnsi="Arial" w:cs="Arial"/>
          <w:i/>
          <w:iCs/>
          <w:szCs w:val="24"/>
        </w:rPr>
        <w:t>Journal of Management</w:t>
      </w:r>
      <w:r w:rsidRPr="00A9097D">
        <w:rPr>
          <w:rFonts w:ascii="Arial" w:eastAsia="Times New Roman" w:hAnsi="Arial" w:cs="Arial"/>
          <w:szCs w:val="24"/>
        </w:rPr>
        <w:t>, 17(1), pp. 99</w:t>
      </w:r>
      <w:r>
        <w:rPr>
          <w:rFonts w:ascii="Arial" w:eastAsia="Times New Roman" w:hAnsi="Arial" w:cs="Arial"/>
          <w:szCs w:val="24"/>
        </w:rPr>
        <w:t>-</w:t>
      </w:r>
      <w:r w:rsidRPr="00A9097D">
        <w:rPr>
          <w:rFonts w:ascii="Arial" w:eastAsia="Times New Roman" w:hAnsi="Arial" w:cs="Arial"/>
          <w:szCs w:val="24"/>
        </w:rPr>
        <w:t>120.</w:t>
      </w:r>
    </w:p>
    <w:p w14:paraId="30B4B2F9" w14:textId="0461F1CA"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Barney, J.B. and Hesterly, W.S. (2021) </w:t>
      </w:r>
      <w:r w:rsidRPr="00A9097D">
        <w:rPr>
          <w:rFonts w:ascii="Arial" w:eastAsia="Times New Roman" w:hAnsi="Arial" w:cs="Arial"/>
          <w:i/>
          <w:iCs/>
          <w:szCs w:val="24"/>
        </w:rPr>
        <w:t>Strategic Management and Competitive Advantage: Concepts and Cases</w:t>
      </w:r>
      <w:r w:rsidRPr="00A9097D">
        <w:rPr>
          <w:rFonts w:ascii="Arial" w:eastAsia="Times New Roman" w:hAnsi="Arial" w:cs="Arial"/>
          <w:szCs w:val="24"/>
        </w:rPr>
        <w:t>. 7th ed. Harlow: Pearson.</w:t>
      </w:r>
    </w:p>
    <w:p w14:paraId="1F42CEAE" w14:textId="5E8F5DFA"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Carroll, A.B. (1991) 'The Pyramid of Corporate Social Responsibility: Toward the Moral Management of Organizational Stakeholders', </w:t>
      </w:r>
      <w:r w:rsidRPr="00A9097D">
        <w:rPr>
          <w:rFonts w:ascii="Arial" w:eastAsia="Times New Roman" w:hAnsi="Arial" w:cs="Arial"/>
          <w:i/>
          <w:iCs/>
          <w:szCs w:val="24"/>
        </w:rPr>
        <w:t>Business Horizons</w:t>
      </w:r>
      <w:r w:rsidRPr="00A9097D">
        <w:rPr>
          <w:rFonts w:ascii="Arial" w:eastAsia="Times New Roman" w:hAnsi="Arial" w:cs="Arial"/>
          <w:szCs w:val="24"/>
        </w:rPr>
        <w:t>, 34(4), pp. 39</w:t>
      </w:r>
      <w:r>
        <w:rPr>
          <w:rFonts w:ascii="Arial" w:eastAsia="Times New Roman" w:hAnsi="Arial" w:cs="Arial"/>
          <w:szCs w:val="24"/>
        </w:rPr>
        <w:t>-</w:t>
      </w:r>
      <w:r w:rsidRPr="00A9097D">
        <w:rPr>
          <w:rFonts w:ascii="Arial" w:eastAsia="Times New Roman" w:hAnsi="Arial" w:cs="Arial"/>
          <w:szCs w:val="24"/>
        </w:rPr>
        <w:t>48.</w:t>
      </w:r>
    </w:p>
    <w:p w14:paraId="60FFA2FB" w14:textId="3C857C31"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Chaffey, D. (2022) </w:t>
      </w:r>
      <w:r w:rsidRPr="00A9097D">
        <w:rPr>
          <w:rFonts w:ascii="Arial" w:eastAsia="Times New Roman" w:hAnsi="Arial" w:cs="Arial"/>
          <w:i/>
          <w:iCs/>
          <w:szCs w:val="24"/>
        </w:rPr>
        <w:t>Digital Business and E-Commerce Management</w:t>
      </w:r>
      <w:r w:rsidRPr="00A9097D">
        <w:rPr>
          <w:rFonts w:ascii="Arial" w:eastAsia="Times New Roman" w:hAnsi="Arial" w:cs="Arial"/>
          <w:szCs w:val="24"/>
        </w:rPr>
        <w:t>. 8th ed. Harlow: Pearson.</w:t>
      </w:r>
    </w:p>
    <w:p w14:paraId="4A1C52BF"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Competition and Markets Authority (2021) </w:t>
      </w:r>
      <w:r w:rsidRPr="00A9097D">
        <w:rPr>
          <w:rFonts w:ascii="Arial" w:eastAsia="Times New Roman" w:hAnsi="Arial" w:cs="Arial"/>
          <w:i/>
          <w:iCs/>
          <w:szCs w:val="24"/>
        </w:rPr>
        <w:t>Green Claims Code: Making Environmental Claims</w:t>
      </w:r>
      <w:r w:rsidRPr="00A9097D">
        <w:rPr>
          <w:rFonts w:ascii="Arial" w:eastAsia="Times New Roman" w:hAnsi="Arial" w:cs="Arial"/>
          <w:szCs w:val="24"/>
        </w:rPr>
        <w:t xml:space="preserve">. Available at: https://www.gov.uk/government/publications/green-claims-code-making-environmental-claims (Accessed: 4 August 2026). </w:t>
      </w:r>
    </w:p>
    <w:p w14:paraId="3B9F41E1"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Dove (2024) </w:t>
      </w:r>
      <w:r w:rsidRPr="00A9097D">
        <w:rPr>
          <w:rFonts w:ascii="Arial" w:eastAsia="Times New Roman" w:hAnsi="Arial" w:cs="Arial"/>
          <w:i/>
          <w:iCs/>
          <w:szCs w:val="24"/>
        </w:rPr>
        <w:t>The Dove Self-Esteem Project: Our Mission in Action</w:t>
      </w:r>
      <w:r w:rsidRPr="00A9097D">
        <w:rPr>
          <w:rFonts w:ascii="Arial" w:eastAsia="Times New Roman" w:hAnsi="Arial" w:cs="Arial"/>
          <w:szCs w:val="24"/>
        </w:rPr>
        <w:t xml:space="preserve">. Available at: https://www.dove.com/us/en/dove-self-esteem-project/our-mission/the-dove-self-esteem-project-our-mission-in-action.html (Accessed: 4 August 2026). </w:t>
      </w:r>
    </w:p>
    <w:p w14:paraId="67AF1C11"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Euromonitor International (2024) </w:t>
      </w:r>
      <w:r w:rsidRPr="00A9097D">
        <w:rPr>
          <w:rFonts w:ascii="Arial" w:eastAsia="Times New Roman" w:hAnsi="Arial" w:cs="Arial"/>
          <w:i/>
          <w:iCs/>
          <w:szCs w:val="24"/>
        </w:rPr>
        <w:t>Beauty and Personal Care in the United Kingdom</w:t>
      </w:r>
      <w:r w:rsidRPr="00A9097D">
        <w:rPr>
          <w:rFonts w:ascii="Arial" w:eastAsia="Times New Roman" w:hAnsi="Arial" w:cs="Arial"/>
          <w:szCs w:val="24"/>
        </w:rPr>
        <w:t>. London: Euromonitor International.</w:t>
      </w:r>
    </w:p>
    <w:p w14:paraId="43D4B562"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Gibbs, G. (1988) </w:t>
      </w:r>
      <w:r w:rsidRPr="00A9097D">
        <w:rPr>
          <w:rFonts w:ascii="Arial" w:eastAsia="Times New Roman" w:hAnsi="Arial" w:cs="Arial"/>
          <w:i/>
          <w:iCs/>
          <w:szCs w:val="24"/>
        </w:rPr>
        <w:t>Learning by Doing: A Guide to Teaching and Learning Methods</w:t>
      </w:r>
      <w:r w:rsidRPr="00A9097D">
        <w:rPr>
          <w:rFonts w:ascii="Arial" w:eastAsia="Times New Roman" w:hAnsi="Arial" w:cs="Arial"/>
          <w:szCs w:val="24"/>
        </w:rPr>
        <w:t>. Oxford: Oxford Polytechnic.</w:t>
      </w:r>
    </w:p>
    <w:p w14:paraId="523F3815"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Henderson, B.D. (1970) </w:t>
      </w:r>
      <w:r w:rsidRPr="00A9097D">
        <w:rPr>
          <w:rFonts w:ascii="Arial" w:eastAsia="Times New Roman" w:hAnsi="Arial" w:cs="Arial"/>
          <w:i/>
          <w:iCs/>
          <w:szCs w:val="24"/>
        </w:rPr>
        <w:t>The Product Portfolio</w:t>
      </w:r>
      <w:r w:rsidRPr="00A9097D">
        <w:rPr>
          <w:rFonts w:ascii="Arial" w:eastAsia="Times New Roman" w:hAnsi="Arial" w:cs="Arial"/>
          <w:szCs w:val="24"/>
        </w:rPr>
        <w:t>. Boston: Boston Consulting Group.</w:t>
      </w:r>
    </w:p>
    <w:p w14:paraId="5E576268" w14:textId="67FA4B46"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lastRenderedPageBreak/>
        <w:t xml:space="preserve">Johnson, G., Scholes, K., Whittington, R. and Angwin, D. (2020) </w:t>
      </w:r>
      <w:r w:rsidRPr="00A9097D">
        <w:rPr>
          <w:rFonts w:ascii="Arial" w:eastAsia="Times New Roman" w:hAnsi="Arial" w:cs="Arial"/>
          <w:i/>
          <w:iCs/>
          <w:szCs w:val="24"/>
        </w:rPr>
        <w:t>Exploring Strategy</w:t>
      </w:r>
      <w:r w:rsidRPr="00A9097D">
        <w:rPr>
          <w:rFonts w:ascii="Arial" w:eastAsia="Times New Roman" w:hAnsi="Arial" w:cs="Arial"/>
          <w:szCs w:val="24"/>
        </w:rPr>
        <w:t>. 12th ed. Harlow: Pearson.</w:t>
      </w:r>
    </w:p>
    <w:p w14:paraId="59671562"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Kaplan, R.S. and Norton, D.P. (1992) 'The Balanced Scorecard</w:t>
      </w:r>
      <w:r w:rsidRPr="00756DED">
        <w:rPr>
          <w:rFonts w:ascii="Arial" w:eastAsia="Times New Roman" w:hAnsi="Arial" w:cs="Arial"/>
          <w:szCs w:val="24"/>
        </w:rPr>
        <w:t xml:space="preserve"> - </w:t>
      </w:r>
      <w:r w:rsidRPr="00A9097D">
        <w:rPr>
          <w:rFonts w:ascii="Arial" w:eastAsia="Times New Roman" w:hAnsi="Arial" w:cs="Arial"/>
          <w:szCs w:val="24"/>
        </w:rPr>
        <w:t xml:space="preserve">Measures That Drive Performance', </w:t>
      </w:r>
      <w:r w:rsidRPr="00A9097D">
        <w:rPr>
          <w:rFonts w:ascii="Arial" w:eastAsia="Times New Roman" w:hAnsi="Arial" w:cs="Arial"/>
          <w:i/>
          <w:iCs/>
          <w:szCs w:val="24"/>
        </w:rPr>
        <w:t>Harvard Business Review</w:t>
      </w:r>
      <w:r w:rsidRPr="00A9097D">
        <w:rPr>
          <w:rFonts w:ascii="Arial" w:eastAsia="Times New Roman" w:hAnsi="Arial" w:cs="Arial"/>
          <w:szCs w:val="24"/>
        </w:rPr>
        <w:t>, 70(1), pp. 71</w:t>
      </w:r>
      <w:r w:rsidRPr="00756DED">
        <w:rPr>
          <w:rFonts w:ascii="Arial" w:eastAsia="Times New Roman" w:hAnsi="Arial" w:cs="Arial"/>
          <w:szCs w:val="24"/>
        </w:rPr>
        <w:t>-</w:t>
      </w:r>
      <w:r w:rsidRPr="00A9097D">
        <w:rPr>
          <w:rFonts w:ascii="Arial" w:eastAsia="Times New Roman" w:hAnsi="Arial" w:cs="Arial"/>
          <w:szCs w:val="24"/>
        </w:rPr>
        <w:t>79.</w:t>
      </w:r>
    </w:p>
    <w:p w14:paraId="62AC3621" w14:textId="0826B6B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Mintzberg, H., Ahlstrand, B. and Lampel, J. (2009) </w:t>
      </w:r>
      <w:r w:rsidRPr="00A9097D">
        <w:rPr>
          <w:rFonts w:ascii="Arial" w:eastAsia="Times New Roman" w:hAnsi="Arial" w:cs="Arial"/>
          <w:i/>
          <w:iCs/>
          <w:szCs w:val="24"/>
        </w:rPr>
        <w:t>Strategy Safari: Your Complete Guide Through the Wilds of Strategic Management</w:t>
      </w:r>
      <w:r w:rsidRPr="00A9097D">
        <w:rPr>
          <w:rFonts w:ascii="Arial" w:eastAsia="Times New Roman" w:hAnsi="Arial" w:cs="Arial"/>
          <w:szCs w:val="24"/>
        </w:rPr>
        <w:t>. 2nd ed. Harlow: Pearson Education.</w:t>
      </w:r>
    </w:p>
    <w:p w14:paraId="03A56E8D"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Porter, M.E. (1980) </w:t>
      </w:r>
      <w:r w:rsidRPr="00A9097D">
        <w:rPr>
          <w:rFonts w:ascii="Arial" w:eastAsia="Times New Roman" w:hAnsi="Arial" w:cs="Arial"/>
          <w:i/>
          <w:iCs/>
          <w:szCs w:val="24"/>
        </w:rPr>
        <w:t xml:space="preserve">Competitive Strategy: Techniques for </w:t>
      </w:r>
      <w:proofErr w:type="spellStart"/>
      <w:r w:rsidRPr="00A9097D">
        <w:rPr>
          <w:rFonts w:ascii="Arial" w:eastAsia="Times New Roman" w:hAnsi="Arial" w:cs="Arial"/>
          <w:i/>
          <w:iCs/>
          <w:szCs w:val="24"/>
        </w:rPr>
        <w:t>Analysing</w:t>
      </w:r>
      <w:proofErr w:type="spellEnd"/>
      <w:r w:rsidRPr="00A9097D">
        <w:rPr>
          <w:rFonts w:ascii="Arial" w:eastAsia="Times New Roman" w:hAnsi="Arial" w:cs="Arial"/>
          <w:i/>
          <w:iCs/>
          <w:szCs w:val="24"/>
        </w:rPr>
        <w:t xml:space="preserve"> Industries and Competitors</w:t>
      </w:r>
      <w:r w:rsidRPr="00A9097D">
        <w:rPr>
          <w:rFonts w:ascii="Arial" w:eastAsia="Times New Roman" w:hAnsi="Arial" w:cs="Arial"/>
          <w:szCs w:val="24"/>
        </w:rPr>
        <w:t>. New York: Free Press.</w:t>
      </w:r>
    </w:p>
    <w:p w14:paraId="7C8ED389"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Porter, M.E. (1985) </w:t>
      </w:r>
      <w:r w:rsidRPr="00A9097D">
        <w:rPr>
          <w:rFonts w:ascii="Arial" w:eastAsia="Times New Roman" w:hAnsi="Arial" w:cs="Arial"/>
          <w:i/>
          <w:iCs/>
          <w:szCs w:val="24"/>
        </w:rPr>
        <w:t>Competitive Advantage: Creating and Sustaining Superior Performance</w:t>
      </w:r>
      <w:r w:rsidRPr="00A9097D">
        <w:rPr>
          <w:rFonts w:ascii="Arial" w:eastAsia="Times New Roman" w:hAnsi="Arial" w:cs="Arial"/>
          <w:szCs w:val="24"/>
        </w:rPr>
        <w:t>. New York: Free Press.</w:t>
      </w:r>
    </w:p>
    <w:p w14:paraId="0E563771"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Unilever (2024a) </w:t>
      </w:r>
      <w:r w:rsidRPr="00A9097D">
        <w:rPr>
          <w:rFonts w:ascii="Arial" w:eastAsia="Times New Roman" w:hAnsi="Arial" w:cs="Arial"/>
          <w:i/>
          <w:iCs/>
          <w:szCs w:val="24"/>
        </w:rPr>
        <w:t>Annual Report and Accounts 2024</w:t>
      </w:r>
      <w:r w:rsidRPr="00A9097D">
        <w:rPr>
          <w:rFonts w:ascii="Arial" w:eastAsia="Times New Roman" w:hAnsi="Arial" w:cs="Arial"/>
          <w:szCs w:val="24"/>
        </w:rPr>
        <w:t xml:space="preserve">. London: Unilever PLC. Available at: </w:t>
      </w:r>
      <w:r w:rsidRPr="00756DED">
        <w:rPr>
          <w:rFonts w:ascii="Arial" w:eastAsia="Times New Roman" w:hAnsi="Arial" w:cs="Arial"/>
          <w:szCs w:val="24"/>
        </w:rPr>
        <w:t>https://www.unilever.com/investors/</w:t>
      </w:r>
      <w:r w:rsidRPr="00A9097D">
        <w:rPr>
          <w:rFonts w:ascii="Arial" w:eastAsia="Times New Roman" w:hAnsi="Arial" w:cs="Arial"/>
          <w:szCs w:val="24"/>
        </w:rPr>
        <w:t xml:space="preserve"> (Accessed: 4 August 2026). </w:t>
      </w:r>
    </w:p>
    <w:p w14:paraId="1C99A984" w14:textId="77777777" w:rsidR="00756DED" w:rsidRPr="00A9097D" w:rsidRDefault="00756DED" w:rsidP="00756DED">
      <w:pPr>
        <w:spacing w:before="100" w:beforeAutospacing="1" w:after="100" w:afterAutospacing="1"/>
        <w:ind w:left="360" w:hanging="360"/>
        <w:jc w:val="left"/>
        <w:rPr>
          <w:rFonts w:ascii="Arial" w:eastAsia="Times New Roman" w:hAnsi="Arial" w:cs="Arial"/>
          <w:szCs w:val="24"/>
        </w:rPr>
      </w:pPr>
      <w:r w:rsidRPr="00A9097D">
        <w:rPr>
          <w:rFonts w:ascii="Arial" w:eastAsia="Times New Roman" w:hAnsi="Arial" w:cs="Arial"/>
          <w:szCs w:val="24"/>
        </w:rPr>
        <w:t xml:space="preserve">Unilever (2024b) </w:t>
      </w:r>
      <w:r w:rsidRPr="00A9097D">
        <w:rPr>
          <w:rFonts w:ascii="Arial" w:eastAsia="Times New Roman" w:hAnsi="Arial" w:cs="Arial"/>
          <w:i/>
          <w:iCs/>
          <w:szCs w:val="24"/>
        </w:rPr>
        <w:t>Climate Transition Action Plan</w:t>
      </w:r>
      <w:r w:rsidRPr="00A9097D">
        <w:rPr>
          <w:rFonts w:ascii="Arial" w:eastAsia="Times New Roman" w:hAnsi="Arial" w:cs="Arial"/>
          <w:szCs w:val="24"/>
        </w:rPr>
        <w:t>. Available at: https://www.unilever.com/planet-and-society/climate-action/ (Accessed: 4 August 2026).</w:t>
      </w:r>
    </w:p>
    <w:p w14:paraId="6BB840C3" w14:textId="77777777" w:rsidR="00EE54B1" w:rsidRPr="00756DED" w:rsidRDefault="00EE54B1" w:rsidP="00756DED">
      <w:pPr>
        <w:ind w:left="360" w:hanging="360"/>
        <w:jc w:val="left"/>
        <w:rPr>
          <w:rFonts w:ascii="Arial" w:hAnsi="Arial" w:cs="Arial"/>
        </w:rPr>
      </w:pPr>
    </w:p>
    <w:p w14:paraId="07A44061" w14:textId="49A07185" w:rsidR="005F3959" w:rsidRPr="00756DED" w:rsidRDefault="005F3959" w:rsidP="00756DED">
      <w:pPr>
        <w:ind w:left="360" w:hanging="360"/>
        <w:jc w:val="left"/>
        <w:rPr>
          <w:rFonts w:ascii="Arial" w:hAnsi="Arial" w:cs="Arial"/>
        </w:rPr>
      </w:pPr>
    </w:p>
    <w:p w14:paraId="00623EB8" w14:textId="5FC779A5" w:rsidR="005F3959" w:rsidRPr="00756DED" w:rsidRDefault="005F3959" w:rsidP="00756DED">
      <w:pPr>
        <w:ind w:left="360" w:hanging="360"/>
        <w:jc w:val="left"/>
        <w:rPr>
          <w:rFonts w:ascii="Arial" w:hAnsi="Arial" w:cs="Arial"/>
        </w:rPr>
      </w:pPr>
    </w:p>
    <w:p w14:paraId="0A6BD2F1" w14:textId="415F1EBD" w:rsidR="005F3959" w:rsidRPr="00756DED" w:rsidRDefault="005F3959" w:rsidP="00756DED">
      <w:pPr>
        <w:ind w:left="360" w:hanging="360"/>
        <w:jc w:val="left"/>
        <w:rPr>
          <w:rFonts w:ascii="Arial" w:hAnsi="Arial" w:cs="Arial"/>
        </w:rPr>
      </w:pPr>
    </w:p>
    <w:p w14:paraId="2F3A2778" w14:textId="77777777" w:rsidR="005F3959" w:rsidRPr="00756DED" w:rsidRDefault="005F3959" w:rsidP="00756DED">
      <w:pPr>
        <w:ind w:left="360" w:hanging="360"/>
        <w:jc w:val="left"/>
        <w:rPr>
          <w:rFonts w:ascii="Arial" w:hAnsi="Arial" w:cs="Arial"/>
        </w:rPr>
      </w:pPr>
    </w:p>
    <w:p w14:paraId="078401FD" w14:textId="25201971" w:rsidR="00993258" w:rsidRPr="00EE54B1" w:rsidRDefault="00993258" w:rsidP="002F58F0">
      <w:pPr>
        <w:jc w:val="left"/>
        <w:rPr>
          <w:rFonts w:ascii="Arial" w:hAnsi="Arial" w:cs="Arial"/>
        </w:rPr>
      </w:pPr>
    </w:p>
    <w:sectPr w:rsidR="00993258" w:rsidRPr="00EE54B1" w:rsidSect="003D4ED9">
      <w:footerReference w:type="default" r:id="rId2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D5985" w14:textId="77777777" w:rsidR="008E3EEF" w:rsidRDefault="008E3EEF" w:rsidP="003D4ED9">
      <w:pPr>
        <w:spacing w:after="0" w:line="240" w:lineRule="auto"/>
      </w:pPr>
      <w:r>
        <w:separator/>
      </w:r>
    </w:p>
  </w:endnote>
  <w:endnote w:type="continuationSeparator" w:id="0">
    <w:p w14:paraId="2F9AE761" w14:textId="77777777" w:rsidR="008E3EEF" w:rsidRDefault="008E3EEF" w:rsidP="003D4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149430369"/>
      <w:docPartObj>
        <w:docPartGallery w:val="Page Numbers (Bottom of Page)"/>
        <w:docPartUnique/>
      </w:docPartObj>
    </w:sdtPr>
    <w:sdtEndPr>
      <w:rPr>
        <w:noProof/>
      </w:rPr>
    </w:sdtEndPr>
    <w:sdtContent>
      <w:p w14:paraId="1543684D" w14:textId="1C1BC284" w:rsidR="003D4ED9" w:rsidRPr="003D4ED9" w:rsidRDefault="003D4ED9">
        <w:pPr>
          <w:pStyle w:val="Footer"/>
          <w:jc w:val="right"/>
          <w:rPr>
            <w:rFonts w:ascii="Arial" w:hAnsi="Arial" w:cs="Arial"/>
          </w:rPr>
        </w:pPr>
        <w:r w:rsidRPr="003D4ED9">
          <w:rPr>
            <w:rFonts w:ascii="Arial" w:hAnsi="Arial" w:cs="Arial"/>
          </w:rPr>
          <w:fldChar w:fldCharType="begin"/>
        </w:r>
        <w:r w:rsidRPr="003D4ED9">
          <w:rPr>
            <w:rFonts w:ascii="Arial" w:hAnsi="Arial" w:cs="Arial"/>
          </w:rPr>
          <w:instrText xml:space="preserve"> PAGE   \* MERGEFORMAT </w:instrText>
        </w:r>
        <w:r w:rsidRPr="003D4ED9">
          <w:rPr>
            <w:rFonts w:ascii="Arial" w:hAnsi="Arial" w:cs="Arial"/>
          </w:rPr>
          <w:fldChar w:fldCharType="separate"/>
        </w:r>
        <w:r w:rsidRPr="003D4ED9">
          <w:rPr>
            <w:rFonts w:ascii="Arial" w:hAnsi="Arial" w:cs="Arial"/>
            <w:noProof/>
          </w:rPr>
          <w:t>2</w:t>
        </w:r>
        <w:r w:rsidRPr="003D4ED9">
          <w:rPr>
            <w:rFonts w:ascii="Arial" w:hAnsi="Arial" w:cs="Arial"/>
            <w:noProof/>
          </w:rPr>
          <w:fldChar w:fldCharType="end"/>
        </w:r>
      </w:p>
    </w:sdtContent>
  </w:sdt>
  <w:p w14:paraId="57C9634D" w14:textId="77777777" w:rsidR="003D4ED9" w:rsidRPr="003D4ED9" w:rsidRDefault="003D4ED9">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19D93" w14:textId="77777777" w:rsidR="008E3EEF" w:rsidRDefault="008E3EEF" w:rsidP="003D4ED9">
      <w:pPr>
        <w:spacing w:after="0" w:line="240" w:lineRule="auto"/>
      </w:pPr>
      <w:r>
        <w:separator/>
      </w:r>
    </w:p>
  </w:footnote>
  <w:footnote w:type="continuationSeparator" w:id="0">
    <w:p w14:paraId="46C74BC6" w14:textId="77777777" w:rsidR="008E3EEF" w:rsidRDefault="008E3EEF" w:rsidP="003D4E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ED9"/>
    <w:rsid w:val="000B05E2"/>
    <w:rsid w:val="00112AAD"/>
    <w:rsid w:val="00297731"/>
    <w:rsid w:val="002C004E"/>
    <w:rsid w:val="002F0AE1"/>
    <w:rsid w:val="002F58F0"/>
    <w:rsid w:val="00356AB9"/>
    <w:rsid w:val="00363640"/>
    <w:rsid w:val="00370BC2"/>
    <w:rsid w:val="00385E48"/>
    <w:rsid w:val="003D4ED9"/>
    <w:rsid w:val="00445448"/>
    <w:rsid w:val="0046471E"/>
    <w:rsid w:val="00483039"/>
    <w:rsid w:val="004D0686"/>
    <w:rsid w:val="00507F3A"/>
    <w:rsid w:val="005C0F28"/>
    <w:rsid w:val="005E47A2"/>
    <w:rsid w:val="005F3959"/>
    <w:rsid w:val="00661082"/>
    <w:rsid w:val="006F77E5"/>
    <w:rsid w:val="00756DED"/>
    <w:rsid w:val="00766AE3"/>
    <w:rsid w:val="007A652D"/>
    <w:rsid w:val="007D516A"/>
    <w:rsid w:val="00886BCD"/>
    <w:rsid w:val="008A256C"/>
    <w:rsid w:val="008A3221"/>
    <w:rsid w:val="008E3EEF"/>
    <w:rsid w:val="00993258"/>
    <w:rsid w:val="00A307D2"/>
    <w:rsid w:val="00A5456E"/>
    <w:rsid w:val="00A61D5A"/>
    <w:rsid w:val="00A96F17"/>
    <w:rsid w:val="00AB7EAE"/>
    <w:rsid w:val="00AD0FEE"/>
    <w:rsid w:val="00AF2A89"/>
    <w:rsid w:val="00B07003"/>
    <w:rsid w:val="00BB7374"/>
    <w:rsid w:val="00BE084E"/>
    <w:rsid w:val="00D451EC"/>
    <w:rsid w:val="00D57203"/>
    <w:rsid w:val="00D80534"/>
    <w:rsid w:val="00DA03DD"/>
    <w:rsid w:val="00DC00A5"/>
    <w:rsid w:val="00DF4BC7"/>
    <w:rsid w:val="00E002A4"/>
    <w:rsid w:val="00E35014"/>
    <w:rsid w:val="00E912FB"/>
    <w:rsid w:val="00EE54B1"/>
    <w:rsid w:val="00F25F5E"/>
    <w:rsid w:val="00F507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D3C98"/>
  <w15:chartTrackingRefBased/>
  <w15:docId w15:val="{AE58E24F-15AE-4BC5-A03D-5F7D8AAD6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5E2"/>
    <w:rPr>
      <w:rFonts w:ascii="Times New Roman" w:hAnsi="Times New Roman"/>
      <w:sz w:val="24"/>
    </w:rPr>
  </w:style>
  <w:style w:type="paragraph" w:styleId="Heading1">
    <w:name w:val="heading 1"/>
    <w:basedOn w:val="Normal"/>
    <w:next w:val="Normal"/>
    <w:link w:val="Heading1Char"/>
    <w:uiPriority w:val="9"/>
    <w:qFormat/>
    <w:rsid w:val="00356A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6AB9"/>
    <w:pPr>
      <w:keepNext/>
      <w:keepLines/>
      <w:spacing w:before="40" w:after="0"/>
      <w:outlineLvl w:val="1"/>
    </w:pPr>
    <w:rPr>
      <w:rFonts w:ascii="Arial" w:eastAsiaTheme="majorEastAsia" w:hAnsi="Arial"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4E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4ED9"/>
    <w:rPr>
      <w:rFonts w:ascii="Times New Roman" w:hAnsi="Times New Roman"/>
      <w:sz w:val="24"/>
    </w:rPr>
  </w:style>
  <w:style w:type="paragraph" w:styleId="Footer">
    <w:name w:val="footer"/>
    <w:basedOn w:val="Normal"/>
    <w:link w:val="FooterChar"/>
    <w:uiPriority w:val="99"/>
    <w:unhideWhenUsed/>
    <w:rsid w:val="003D4E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4ED9"/>
    <w:rPr>
      <w:rFonts w:ascii="Times New Roman" w:hAnsi="Times New Roman"/>
      <w:sz w:val="24"/>
    </w:rPr>
  </w:style>
  <w:style w:type="paragraph" w:styleId="Caption">
    <w:name w:val="caption"/>
    <w:basedOn w:val="Normal"/>
    <w:next w:val="Normal"/>
    <w:uiPriority w:val="35"/>
    <w:unhideWhenUsed/>
    <w:qFormat/>
    <w:rsid w:val="00886BCD"/>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356AB9"/>
    <w:rPr>
      <w:rFonts w:ascii="Arial" w:eastAsiaTheme="majorEastAsia" w:hAnsi="Arial" w:cstheme="majorBidi"/>
      <w:b/>
      <w:color w:val="2F5496" w:themeColor="accent1" w:themeShade="BF"/>
      <w:sz w:val="24"/>
      <w:szCs w:val="26"/>
    </w:rPr>
  </w:style>
  <w:style w:type="character" w:styleId="Strong">
    <w:name w:val="Strong"/>
    <w:basedOn w:val="DefaultParagraphFont"/>
    <w:uiPriority w:val="22"/>
    <w:qFormat/>
    <w:rsid w:val="00363640"/>
    <w:rPr>
      <w:b/>
      <w:bCs/>
    </w:rPr>
  </w:style>
  <w:style w:type="paragraph" w:styleId="NormalWeb">
    <w:name w:val="Normal (Web)"/>
    <w:basedOn w:val="Normal"/>
    <w:uiPriority w:val="99"/>
    <w:semiHidden/>
    <w:unhideWhenUsed/>
    <w:rsid w:val="002C004E"/>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AF2A89"/>
    <w:rPr>
      <w:i/>
      <w:iCs/>
    </w:rPr>
  </w:style>
  <w:style w:type="paragraph" w:styleId="NoSpacing">
    <w:name w:val="No Spacing"/>
    <w:uiPriority w:val="1"/>
    <w:qFormat/>
    <w:rsid w:val="00356AB9"/>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356A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0686"/>
    <w:pPr>
      <w:spacing w:line="259" w:lineRule="auto"/>
      <w:jc w:val="left"/>
      <w:outlineLvl w:val="9"/>
    </w:pPr>
  </w:style>
  <w:style w:type="paragraph" w:styleId="TOC2">
    <w:name w:val="toc 2"/>
    <w:basedOn w:val="Normal"/>
    <w:next w:val="Normal"/>
    <w:autoRedefine/>
    <w:uiPriority w:val="39"/>
    <w:unhideWhenUsed/>
    <w:rsid w:val="004D0686"/>
    <w:pPr>
      <w:spacing w:after="100"/>
      <w:ind w:left="240"/>
    </w:pPr>
  </w:style>
  <w:style w:type="character" w:styleId="Hyperlink">
    <w:name w:val="Hyperlink"/>
    <w:basedOn w:val="DefaultParagraphFont"/>
    <w:uiPriority w:val="99"/>
    <w:unhideWhenUsed/>
    <w:rsid w:val="004D0686"/>
    <w:rPr>
      <w:color w:val="0563C1" w:themeColor="hyperlink"/>
      <w:u w:val="single"/>
    </w:rPr>
  </w:style>
  <w:style w:type="paragraph" w:styleId="TableofFigures">
    <w:name w:val="table of figures"/>
    <w:basedOn w:val="Normal"/>
    <w:next w:val="Normal"/>
    <w:uiPriority w:val="99"/>
    <w:unhideWhenUsed/>
    <w:rsid w:val="004D068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447467">
      <w:bodyDiv w:val="1"/>
      <w:marLeft w:val="0"/>
      <w:marRight w:val="0"/>
      <w:marTop w:val="0"/>
      <w:marBottom w:val="0"/>
      <w:divBdr>
        <w:top w:val="none" w:sz="0" w:space="0" w:color="auto"/>
        <w:left w:val="none" w:sz="0" w:space="0" w:color="auto"/>
        <w:bottom w:val="none" w:sz="0" w:space="0" w:color="auto"/>
        <w:right w:val="none" w:sz="0" w:space="0" w:color="auto"/>
      </w:divBdr>
    </w:div>
    <w:div w:id="1619488453">
      <w:bodyDiv w:val="1"/>
      <w:marLeft w:val="0"/>
      <w:marRight w:val="0"/>
      <w:marTop w:val="0"/>
      <w:marBottom w:val="0"/>
      <w:divBdr>
        <w:top w:val="none" w:sz="0" w:space="0" w:color="auto"/>
        <w:left w:val="none" w:sz="0" w:space="0" w:color="auto"/>
        <w:bottom w:val="none" w:sz="0" w:space="0" w:color="auto"/>
        <w:right w:val="none" w:sz="0" w:space="0" w:color="auto"/>
      </w:divBdr>
    </w:div>
    <w:div w:id="1758134362">
      <w:bodyDiv w:val="1"/>
      <w:marLeft w:val="0"/>
      <w:marRight w:val="0"/>
      <w:marTop w:val="0"/>
      <w:marBottom w:val="0"/>
      <w:divBdr>
        <w:top w:val="none" w:sz="0" w:space="0" w:color="auto"/>
        <w:left w:val="none" w:sz="0" w:space="0" w:color="auto"/>
        <w:bottom w:val="none" w:sz="0" w:space="0" w:color="auto"/>
        <w:right w:val="none" w:sz="0" w:space="0" w:color="auto"/>
      </w:divBdr>
    </w:div>
    <w:div w:id="1865092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F91FA2-71A7-4863-912E-602D030BB247}"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US"/>
        </a:p>
      </dgm:t>
    </dgm:pt>
    <dgm:pt modelId="{D57B1805-3C4E-4511-BC5F-A601C4098300}">
      <dgm:prSet phldrT="[Text]" custT="1"/>
      <dgm:spPr/>
      <dgm:t>
        <a:bodyPr/>
        <a:lstStyle/>
        <a:p>
          <a:r>
            <a:rPr lang="en-US" sz="800">
              <a:latin typeface="Arial" panose="020B0604020202020204" pitchFamily="34" charset="0"/>
              <a:cs typeface="Arial" panose="020B0604020202020204" pitchFamily="34" charset="0"/>
            </a:rPr>
            <a:t>Macro Environment</a:t>
          </a:r>
        </a:p>
      </dgm:t>
    </dgm:pt>
    <dgm:pt modelId="{E19D8E67-365D-4A56-AEB5-5C1A4F45D058}" type="parTrans" cxnId="{667736E2-7FB1-4C5A-8652-AA650F582EB0}">
      <dgm:prSet/>
      <dgm:spPr/>
      <dgm:t>
        <a:bodyPr/>
        <a:lstStyle/>
        <a:p>
          <a:endParaRPr lang="en-US"/>
        </a:p>
      </dgm:t>
    </dgm:pt>
    <dgm:pt modelId="{31DB97FB-D098-4170-B04A-FF393719170B}" type="sibTrans" cxnId="{667736E2-7FB1-4C5A-8652-AA650F582EB0}">
      <dgm:prSet/>
      <dgm:spPr/>
      <dgm:t>
        <a:bodyPr/>
        <a:lstStyle/>
        <a:p>
          <a:endParaRPr lang="en-US"/>
        </a:p>
      </dgm:t>
    </dgm:pt>
    <dgm:pt modelId="{82E4193A-5AE1-4C67-9747-6C0A9E84D6F0}">
      <dgm:prSet phldrT="[Text]" custT="1"/>
      <dgm:spPr/>
      <dgm:t>
        <a:bodyPr/>
        <a:lstStyle/>
        <a:p>
          <a:r>
            <a:rPr lang="en-US" sz="800">
              <a:latin typeface="Arial" panose="020B0604020202020204" pitchFamily="34" charset="0"/>
              <a:cs typeface="Arial" panose="020B0604020202020204" pitchFamily="34" charset="0"/>
            </a:rPr>
            <a:t>Political</a:t>
          </a:r>
        </a:p>
      </dgm:t>
    </dgm:pt>
    <dgm:pt modelId="{F1C8226B-D809-42F5-A28B-2DE5838ACC72}" type="parTrans" cxnId="{AA99957E-537E-4F05-A5A6-3D54B509886F}">
      <dgm:prSet/>
      <dgm:spPr/>
      <dgm:t>
        <a:bodyPr/>
        <a:lstStyle/>
        <a:p>
          <a:endParaRPr lang="en-US"/>
        </a:p>
      </dgm:t>
    </dgm:pt>
    <dgm:pt modelId="{59EDFA8E-346B-4B4B-A1EC-8DAF69616898}" type="sibTrans" cxnId="{AA99957E-537E-4F05-A5A6-3D54B509886F}">
      <dgm:prSet/>
      <dgm:spPr/>
      <dgm:t>
        <a:bodyPr/>
        <a:lstStyle/>
        <a:p>
          <a:endParaRPr lang="en-US" sz="800">
            <a:latin typeface="Arial" panose="020B0604020202020204" pitchFamily="34" charset="0"/>
            <a:cs typeface="Arial" panose="020B0604020202020204" pitchFamily="34" charset="0"/>
          </a:endParaRPr>
        </a:p>
      </dgm:t>
    </dgm:pt>
    <dgm:pt modelId="{D3D7F064-1ACE-4C77-B60E-B18A1A9E6BDE}">
      <dgm:prSet phldrT="[Text]" custT="1"/>
      <dgm:spPr/>
      <dgm:t>
        <a:bodyPr/>
        <a:lstStyle/>
        <a:p>
          <a:r>
            <a:rPr lang="en-US" sz="800">
              <a:latin typeface="Arial" panose="020B0604020202020204" pitchFamily="34" charset="0"/>
              <a:cs typeface="Arial" panose="020B0604020202020204" pitchFamily="34" charset="0"/>
            </a:rPr>
            <a:t>Social</a:t>
          </a:r>
        </a:p>
      </dgm:t>
    </dgm:pt>
    <dgm:pt modelId="{5CE511EA-2E6C-49B0-B753-9334EB21ED64}" type="parTrans" cxnId="{D5180718-1A71-4432-B231-081D3F85C9D4}">
      <dgm:prSet/>
      <dgm:spPr/>
      <dgm:t>
        <a:bodyPr/>
        <a:lstStyle/>
        <a:p>
          <a:endParaRPr lang="en-US"/>
        </a:p>
      </dgm:t>
    </dgm:pt>
    <dgm:pt modelId="{956EBAA0-E358-481B-82D5-214C9786E029}" type="sibTrans" cxnId="{D5180718-1A71-4432-B231-081D3F85C9D4}">
      <dgm:prSet/>
      <dgm:spPr/>
      <dgm:t>
        <a:bodyPr/>
        <a:lstStyle/>
        <a:p>
          <a:endParaRPr lang="en-US" sz="800">
            <a:latin typeface="Arial" panose="020B0604020202020204" pitchFamily="34" charset="0"/>
            <a:cs typeface="Arial" panose="020B0604020202020204" pitchFamily="34" charset="0"/>
          </a:endParaRPr>
        </a:p>
      </dgm:t>
    </dgm:pt>
    <dgm:pt modelId="{CBFEA987-9B2C-48D7-B8E7-4CAB846EBF6A}">
      <dgm:prSet phldrT="[Text]" custT="1"/>
      <dgm:spPr/>
      <dgm:t>
        <a:bodyPr/>
        <a:lstStyle/>
        <a:p>
          <a:r>
            <a:rPr lang="en-US" sz="800">
              <a:latin typeface="Arial" panose="020B0604020202020204" pitchFamily="34" charset="0"/>
              <a:cs typeface="Arial" panose="020B0604020202020204" pitchFamily="34" charset="0"/>
            </a:rPr>
            <a:t>Legal</a:t>
          </a:r>
        </a:p>
      </dgm:t>
    </dgm:pt>
    <dgm:pt modelId="{85367538-B954-44A0-A883-1702CD9582D4}" type="parTrans" cxnId="{F443D102-FD83-4CFD-AFA7-D199C638D1D7}">
      <dgm:prSet/>
      <dgm:spPr/>
      <dgm:t>
        <a:bodyPr/>
        <a:lstStyle/>
        <a:p>
          <a:endParaRPr lang="en-US"/>
        </a:p>
      </dgm:t>
    </dgm:pt>
    <dgm:pt modelId="{D5DA837C-4431-45D6-8EDD-720A059F9696}" type="sibTrans" cxnId="{F443D102-FD83-4CFD-AFA7-D199C638D1D7}">
      <dgm:prSet/>
      <dgm:spPr/>
      <dgm:t>
        <a:bodyPr/>
        <a:lstStyle/>
        <a:p>
          <a:endParaRPr lang="en-US" sz="800">
            <a:latin typeface="Arial" panose="020B0604020202020204" pitchFamily="34" charset="0"/>
            <a:cs typeface="Arial" panose="020B0604020202020204" pitchFamily="34" charset="0"/>
          </a:endParaRPr>
        </a:p>
      </dgm:t>
    </dgm:pt>
    <dgm:pt modelId="{656CEDA2-9C04-4A11-BF38-029A20B5B25C}">
      <dgm:prSet custT="1"/>
      <dgm:spPr/>
      <dgm:t>
        <a:bodyPr/>
        <a:lstStyle/>
        <a:p>
          <a:r>
            <a:rPr lang="en-US" sz="800">
              <a:latin typeface="Arial" panose="020B0604020202020204" pitchFamily="34" charset="0"/>
              <a:cs typeface="Arial" panose="020B0604020202020204" pitchFamily="34" charset="0"/>
            </a:rPr>
            <a:t>Economic</a:t>
          </a:r>
        </a:p>
      </dgm:t>
    </dgm:pt>
    <dgm:pt modelId="{B7202853-017B-40C7-B1A4-B5776338D3FC}" type="parTrans" cxnId="{924AA70D-F0D8-475B-95D3-504561268A52}">
      <dgm:prSet/>
      <dgm:spPr/>
      <dgm:t>
        <a:bodyPr/>
        <a:lstStyle/>
        <a:p>
          <a:endParaRPr lang="en-US"/>
        </a:p>
      </dgm:t>
    </dgm:pt>
    <dgm:pt modelId="{033A2BBE-8148-4455-A820-1A6BC6259C25}" type="sibTrans" cxnId="{924AA70D-F0D8-475B-95D3-504561268A52}">
      <dgm:prSet/>
      <dgm:spPr/>
      <dgm:t>
        <a:bodyPr/>
        <a:lstStyle/>
        <a:p>
          <a:endParaRPr lang="en-US" sz="800">
            <a:latin typeface="Arial" panose="020B0604020202020204" pitchFamily="34" charset="0"/>
            <a:cs typeface="Arial" panose="020B0604020202020204" pitchFamily="34" charset="0"/>
          </a:endParaRPr>
        </a:p>
      </dgm:t>
    </dgm:pt>
    <dgm:pt modelId="{65F8692A-AB56-4634-95B5-499B96C8ED43}">
      <dgm:prSet custT="1"/>
      <dgm:spPr/>
      <dgm:t>
        <a:bodyPr/>
        <a:lstStyle/>
        <a:p>
          <a:r>
            <a:rPr lang="en-US" sz="800">
              <a:latin typeface="Arial" panose="020B0604020202020204" pitchFamily="34" charset="0"/>
              <a:cs typeface="Arial" panose="020B0604020202020204" pitchFamily="34" charset="0"/>
            </a:rPr>
            <a:t>Technological</a:t>
          </a:r>
        </a:p>
      </dgm:t>
    </dgm:pt>
    <dgm:pt modelId="{3CCB08C0-5A2F-4F73-B733-836B10FFAE6F}" type="parTrans" cxnId="{1E9C5CA2-9A9E-4BC3-B544-012A80891351}">
      <dgm:prSet/>
      <dgm:spPr/>
      <dgm:t>
        <a:bodyPr/>
        <a:lstStyle/>
        <a:p>
          <a:endParaRPr lang="en-US"/>
        </a:p>
      </dgm:t>
    </dgm:pt>
    <dgm:pt modelId="{7CC6A917-C909-43C9-85F5-783A09CCFA6F}" type="sibTrans" cxnId="{1E9C5CA2-9A9E-4BC3-B544-012A80891351}">
      <dgm:prSet/>
      <dgm:spPr/>
      <dgm:t>
        <a:bodyPr/>
        <a:lstStyle/>
        <a:p>
          <a:endParaRPr lang="en-US" sz="800">
            <a:latin typeface="Arial" panose="020B0604020202020204" pitchFamily="34" charset="0"/>
            <a:cs typeface="Arial" panose="020B0604020202020204" pitchFamily="34" charset="0"/>
          </a:endParaRPr>
        </a:p>
      </dgm:t>
    </dgm:pt>
    <dgm:pt modelId="{390F7D58-2266-4A22-8057-8A8203FAD401}">
      <dgm:prSet custT="1"/>
      <dgm:spPr/>
      <dgm:t>
        <a:bodyPr/>
        <a:lstStyle/>
        <a:p>
          <a:r>
            <a:rPr lang="en-US" sz="800">
              <a:latin typeface="Arial" panose="020B0604020202020204" pitchFamily="34" charset="0"/>
              <a:cs typeface="Arial" panose="020B0604020202020204" pitchFamily="34" charset="0"/>
            </a:rPr>
            <a:t>Environmental</a:t>
          </a:r>
        </a:p>
      </dgm:t>
    </dgm:pt>
    <dgm:pt modelId="{A37660BA-32AB-47D6-BFD1-6185DB4EF7D4}" type="parTrans" cxnId="{A9E6DAA1-E4E7-49DC-B724-CCB2DB70BB62}">
      <dgm:prSet/>
      <dgm:spPr/>
      <dgm:t>
        <a:bodyPr/>
        <a:lstStyle/>
        <a:p>
          <a:endParaRPr lang="en-US"/>
        </a:p>
      </dgm:t>
    </dgm:pt>
    <dgm:pt modelId="{4A6E4EA2-8CEA-4C5B-A44C-4ADEF874D450}" type="sibTrans" cxnId="{A9E6DAA1-E4E7-49DC-B724-CCB2DB70BB62}">
      <dgm:prSet/>
      <dgm:spPr/>
      <dgm:t>
        <a:bodyPr/>
        <a:lstStyle/>
        <a:p>
          <a:endParaRPr lang="en-US"/>
        </a:p>
      </dgm:t>
    </dgm:pt>
    <dgm:pt modelId="{56D7C0DA-22C3-48BC-A684-AECFF1593398}" type="pres">
      <dgm:prSet presAssocID="{70F91FA2-71A7-4863-912E-602D030BB247}" presName="Name0" presStyleCnt="0">
        <dgm:presLayoutVars>
          <dgm:chMax val="1"/>
          <dgm:dir/>
          <dgm:animLvl val="ctr"/>
          <dgm:resizeHandles val="exact"/>
        </dgm:presLayoutVars>
      </dgm:prSet>
      <dgm:spPr/>
    </dgm:pt>
    <dgm:pt modelId="{2CB37D83-9047-4AD8-8803-81A9B909FF52}" type="pres">
      <dgm:prSet presAssocID="{D57B1805-3C4E-4511-BC5F-A601C4098300}" presName="centerShape" presStyleLbl="node0" presStyleIdx="0" presStyleCnt="1"/>
      <dgm:spPr/>
    </dgm:pt>
    <dgm:pt modelId="{5E5C2BCB-B7E1-4B3C-88B9-2DDC1A7FADE0}" type="pres">
      <dgm:prSet presAssocID="{82E4193A-5AE1-4C67-9747-6C0A9E84D6F0}" presName="node" presStyleLbl="node1" presStyleIdx="0" presStyleCnt="6">
        <dgm:presLayoutVars>
          <dgm:bulletEnabled val="1"/>
        </dgm:presLayoutVars>
      </dgm:prSet>
      <dgm:spPr/>
    </dgm:pt>
    <dgm:pt modelId="{0617EF9C-FA45-40C7-9148-843D573F6935}" type="pres">
      <dgm:prSet presAssocID="{82E4193A-5AE1-4C67-9747-6C0A9E84D6F0}" presName="dummy" presStyleCnt="0"/>
      <dgm:spPr/>
    </dgm:pt>
    <dgm:pt modelId="{187EC904-37A4-4836-8A66-54A54CD66249}" type="pres">
      <dgm:prSet presAssocID="{59EDFA8E-346B-4B4B-A1EC-8DAF69616898}" presName="sibTrans" presStyleLbl="sibTrans2D1" presStyleIdx="0" presStyleCnt="6"/>
      <dgm:spPr/>
    </dgm:pt>
    <dgm:pt modelId="{A9D18092-711B-4D7D-8116-22BA9952660F}" type="pres">
      <dgm:prSet presAssocID="{656CEDA2-9C04-4A11-BF38-029A20B5B25C}" presName="node" presStyleLbl="node1" presStyleIdx="1" presStyleCnt="6">
        <dgm:presLayoutVars>
          <dgm:bulletEnabled val="1"/>
        </dgm:presLayoutVars>
      </dgm:prSet>
      <dgm:spPr/>
    </dgm:pt>
    <dgm:pt modelId="{B116EA8E-7232-4465-B664-B4FA06C4C201}" type="pres">
      <dgm:prSet presAssocID="{656CEDA2-9C04-4A11-BF38-029A20B5B25C}" presName="dummy" presStyleCnt="0"/>
      <dgm:spPr/>
    </dgm:pt>
    <dgm:pt modelId="{14131F1A-0A6D-4071-ABBD-8AB458E6EAC7}" type="pres">
      <dgm:prSet presAssocID="{033A2BBE-8148-4455-A820-1A6BC6259C25}" presName="sibTrans" presStyleLbl="sibTrans2D1" presStyleIdx="1" presStyleCnt="6"/>
      <dgm:spPr/>
    </dgm:pt>
    <dgm:pt modelId="{87B4B994-F18B-4551-A0CE-89201F911CAD}" type="pres">
      <dgm:prSet presAssocID="{D3D7F064-1ACE-4C77-B60E-B18A1A9E6BDE}" presName="node" presStyleLbl="node1" presStyleIdx="2" presStyleCnt="6">
        <dgm:presLayoutVars>
          <dgm:bulletEnabled val="1"/>
        </dgm:presLayoutVars>
      </dgm:prSet>
      <dgm:spPr/>
    </dgm:pt>
    <dgm:pt modelId="{0610EE12-C363-40C8-A2AA-1C9FBE4CD236}" type="pres">
      <dgm:prSet presAssocID="{D3D7F064-1ACE-4C77-B60E-B18A1A9E6BDE}" presName="dummy" presStyleCnt="0"/>
      <dgm:spPr/>
    </dgm:pt>
    <dgm:pt modelId="{D96854D2-937E-45E8-8DED-B75771165F65}" type="pres">
      <dgm:prSet presAssocID="{956EBAA0-E358-481B-82D5-214C9786E029}" presName="sibTrans" presStyleLbl="sibTrans2D1" presStyleIdx="2" presStyleCnt="6"/>
      <dgm:spPr/>
    </dgm:pt>
    <dgm:pt modelId="{EB85FE47-4307-4366-A40B-0F7786EB9264}" type="pres">
      <dgm:prSet presAssocID="{65F8692A-AB56-4634-95B5-499B96C8ED43}" presName="node" presStyleLbl="node1" presStyleIdx="3" presStyleCnt="6">
        <dgm:presLayoutVars>
          <dgm:bulletEnabled val="1"/>
        </dgm:presLayoutVars>
      </dgm:prSet>
      <dgm:spPr/>
    </dgm:pt>
    <dgm:pt modelId="{9BA164AC-CD1D-4C0A-A9DD-1992829FAC52}" type="pres">
      <dgm:prSet presAssocID="{65F8692A-AB56-4634-95B5-499B96C8ED43}" presName="dummy" presStyleCnt="0"/>
      <dgm:spPr/>
    </dgm:pt>
    <dgm:pt modelId="{A369AA2C-4BF1-4881-B372-3D2401BF705E}" type="pres">
      <dgm:prSet presAssocID="{7CC6A917-C909-43C9-85F5-783A09CCFA6F}" presName="sibTrans" presStyleLbl="sibTrans2D1" presStyleIdx="3" presStyleCnt="6"/>
      <dgm:spPr/>
    </dgm:pt>
    <dgm:pt modelId="{027CB8B9-0F05-40D2-AF1B-1ABBA1D77E3C}" type="pres">
      <dgm:prSet presAssocID="{390F7D58-2266-4A22-8057-8A8203FAD401}" presName="node" presStyleLbl="node1" presStyleIdx="4" presStyleCnt="6">
        <dgm:presLayoutVars>
          <dgm:bulletEnabled val="1"/>
        </dgm:presLayoutVars>
      </dgm:prSet>
      <dgm:spPr/>
    </dgm:pt>
    <dgm:pt modelId="{0F72B69C-F286-44E5-ABFA-9EFE85009137}" type="pres">
      <dgm:prSet presAssocID="{390F7D58-2266-4A22-8057-8A8203FAD401}" presName="dummy" presStyleCnt="0"/>
      <dgm:spPr/>
    </dgm:pt>
    <dgm:pt modelId="{54A77C42-0C24-4532-888B-0B1707F46A75}" type="pres">
      <dgm:prSet presAssocID="{4A6E4EA2-8CEA-4C5B-A44C-4ADEF874D450}" presName="sibTrans" presStyleLbl="sibTrans2D1" presStyleIdx="4" presStyleCnt="6"/>
      <dgm:spPr/>
    </dgm:pt>
    <dgm:pt modelId="{C8124807-A24F-4680-BBBB-C03C454B2B05}" type="pres">
      <dgm:prSet presAssocID="{CBFEA987-9B2C-48D7-B8E7-4CAB846EBF6A}" presName="node" presStyleLbl="node1" presStyleIdx="5" presStyleCnt="6">
        <dgm:presLayoutVars>
          <dgm:bulletEnabled val="1"/>
        </dgm:presLayoutVars>
      </dgm:prSet>
      <dgm:spPr/>
    </dgm:pt>
    <dgm:pt modelId="{A2BD07A2-E3F8-413C-80C7-1704567BC533}" type="pres">
      <dgm:prSet presAssocID="{CBFEA987-9B2C-48D7-B8E7-4CAB846EBF6A}" presName="dummy" presStyleCnt="0"/>
      <dgm:spPr/>
    </dgm:pt>
    <dgm:pt modelId="{8043E0F0-6654-4D60-A3D9-253DB09A0AB9}" type="pres">
      <dgm:prSet presAssocID="{D5DA837C-4431-45D6-8EDD-720A059F9696}" presName="sibTrans" presStyleLbl="sibTrans2D1" presStyleIdx="5" presStyleCnt="6"/>
      <dgm:spPr/>
    </dgm:pt>
  </dgm:ptLst>
  <dgm:cxnLst>
    <dgm:cxn modelId="{F443D102-FD83-4CFD-AFA7-D199C638D1D7}" srcId="{D57B1805-3C4E-4511-BC5F-A601C4098300}" destId="{CBFEA987-9B2C-48D7-B8E7-4CAB846EBF6A}" srcOrd="5" destOrd="0" parTransId="{85367538-B954-44A0-A883-1702CD9582D4}" sibTransId="{D5DA837C-4431-45D6-8EDD-720A059F9696}"/>
    <dgm:cxn modelId="{5775580C-BB2D-459A-B3B3-6C561002C53E}" type="presOf" srcId="{033A2BBE-8148-4455-A820-1A6BC6259C25}" destId="{14131F1A-0A6D-4071-ABBD-8AB458E6EAC7}" srcOrd="0" destOrd="0" presId="urn:microsoft.com/office/officeart/2005/8/layout/radial6"/>
    <dgm:cxn modelId="{924AA70D-F0D8-475B-95D3-504561268A52}" srcId="{D57B1805-3C4E-4511-BC5F-A601C4098300}" destId="{656CEDA2-9C04-4A11-BF38-029A20B5B25C}" srcOrd="1" destOrd="0" parTransId="{B7202853-017B-40C7-B1A4-B5776338D3FC}" sibTransId="{033A2BBE-8148-4455-A820-1A6BC6259C25}"/>
    <dgm:cxn modelId="{D5180718-1A71-4432-B231-081D3F85C9D4}" srcId="{D57B1805-3C4E-4511-BC5F-A601C4098300}" destId="{D3D7F064-1ACE-4C77-B60E-B18A1A9E6BDE}" srcOrd="2" destOrd="0" parTransId="{5CE511EA-2E6C-49B0-B753-9334EB21ED64}" sibTransId="{956EBAA0-E358-481B-82D5-214C9786E029}"/>
    <dgm:cxn modelId="{49E7391E-FD92-42AA-9D14-5F1306821C59}" type="presOf" srcId="{D57B1805-3C4E-4511-BC5F-A601C4098300}" destId="{2CB37D83-9047-4AD8-8803-81A9B909FF52}" srcOrd="0" destOrd="0" presId="urn:microsoft.com/office/officeart/2005/8/layout/radial6"/>
    <dgm:cxn modelId="{F2375229-BDDD-41C9-9BC2-5A61676F454C}" type="presOf" srcId="{656CEDA2-9C04-4A11-BF38-029A20B5B25C}" destId="{A9D18092-711B-4D7D-8116-22BA9952660F}" srcOrd="0" destOrd="0" presId="urn:microsoft.com/office/officeart/2005/8/layout/radial6"/>
    <dgm:cxn modelId="{9E21163C-1D25-43F2-A24A-00E930BF5363}" type="presOf" srcId="{4A6E4EA2-8CEA-4C5B-A44C-4ADEF874D450}" destId="{54A77C42-0C24-4532-888B-0B1707F46A75}" srcOrd="0" destOrd="0" presId="urn:microsoft.com/office/officeart/2005/8/layout/radial6"/>
    <dgm:cxn modelId="{FBC7126B-1166-4E7C-B8E2-F1369C467D8A}" type="presOf" srcId="{390F7D58-2266-4A22-8057-8A8203FAD401}" destId="{027CB8B9-0F05-40D2-AF1B-1ABBA1D77E3C}" srcOrd="0" destOrd="0" presId="urn:microsoft.com/office/officeart/2005/8/layout/radial6"/>
    <dgm:cxn modelId="{99F83F57-54DD-4528-B616-950A29099702}" type="presOf" srcId="{7CC6A917-C909-43C9-85F5-783A09CCFA6F}" destId="{A369AA2C-4BF1-4881-B372-3D2401BF705E}" srcOrd="0" destOrd="0" presId="urn:microsoft.com/office/officeart/2005/8/layout/radial6"/>
    <dgm:cxn modelId="{A55E5579-7BFE-482A-849F-74356B597EE5}" type="presOf" srcId="{59EDFA8E-346B-4B4B-A1EC-8DAF69616898}" destId="{187EC904-37A4-4836-8A66-54A54CD66249}" srcOrd="0" destOrd="0" presId="urn:microsoft.com/office/officeart/2005/8/layout/radial6"/>
    <dgm:cxn modelId="{9A252C7C-4CFD-4B26-9B0E-F651CE6306D4}" type="presOf" srcId="{70F91FA2-71A7-4863-912E-602D030BB247}" destId="{56D7C0DA-22C3-48BC-A684-AECFF1593398}" srcOrd="0" destOrd="0" presId="urn:microsoft.com/office/officeart/2005/8/layout/radial6"/>
    <dgm:cxn modelId="{AA99957E-537E-4F05-A5A6-3D54B509886F}" srcId="{D57B1805-3C4E-4511-BC5F-A601C4098300}" destId="{82E4193A-5AE1-4C67-9747-6C0A9E84D6F0}" srcOrd="0" destOrd="0" parTransId="{F1C8226B-D809-42F5-A28B-2DE5838ACC72}" sibTransId="{59EDFA8E-346B-4B4B-A1EC-8DAF69616898}"/>
    <dgm:cxn modelId="{307B0682-7708-46BC-86F7-1A3BAFE28FDD}" type="presOf" srcId="{82E4193A-5AE1-4C67-9747-6C0A9E84D6F0}" destId="{5E5C2BCB-B7E1-4B3C-88B9-2DDC1A7FADE0}" srcOrd="0" destOrd="0" presId="urn:microsoft.com/office/officeart/2005/8/layout/radial6"/>
    <dgm:cxn modelId="{76425F8F-EAA8-434D-9630-1D6D4827F13E}" type="presOf" srcId="{D5DA837C-4431-45D6-8EDD-720A059F9696}" destId="{8043E0F0-6654-4D60-A3D9-253DB09A0AB9}" srcOrd="0" destOrd="0" presId="urn:microsoft.com/office/officeart/2005/8/layout/radial6"/>
    <dgm:cxn modelId="{39700992-49A8-46C4-AC39-95335057BD51}" type="presOf" srcId="{D3D7F064-1ACE-4C77-B60E-B18A1A9E6BDE}" destId="{87B4B994-F18B-4551-A0CE-89201F911CAD}" srcOrd="0" destOrd="0" presId="urn:microsoft.com/office/officeart/2005/8/layout/radial6"/>
    <dgm:cxn modelId="{780EA893-71C4-4DA5-87EB-7518CDFE7FBD}" type="presOf" srcId="{CBFEA987-9B2C-48D7-B8E7-4CAB846EBF6A}" destId="{C8124807-A24F-4680-BBBB-C03C454B2B05}" srcOrd="0" destOrd="0" presId="urn:microsoft.com/office/officeart/2005/8/layout/radial6"/>
    <dgm:cxn modelId="{B7F0CF9F-8C0A-414F-A45D-8215D495381B}" type="presOf" srcId="{65F8692A-AB56-4634-95B5-499B96C8ED43}" destId="{EB85FE47-4307-4366-A40B-0F7786EB9264}" srcOrd="0" destOrd="0" presId="urn:microsoft.com/office/officeart/2005/8/layout/radial6"/>
    <dgm:cxn modelId="{A9E6DAA1-E4E7-49DC-B724-CCB2DB70BB62}" srcId="{D57B1805-3C4E-4511-BC5F-A601C4098300}" destId="{390F7D58-2266-4A22-8057-8A8203FAD401}" srcOrd="4" destOrd="0" parTransId="{A37660BA-32AB-47D6-BFD1-6185DB4EF7D4}" sibTransId="{4A6E4EA2-8CEA-4C5B-A44C-4ADEF874D450}"/>
    <dgm:cxn modelId="{1E9C5CA2-9A9E-4BC3-B544-012A80891351}" srcId="{D57B1805-3C4E-4511-BC5F-A601C4098300}" destId="{65F8692A-AB56-4634-95B5-499B96C8ED43}" srcOrd="3" destOrd="0" parTransId="{3CCB08C0-5A2F-4F73-B733-836B10FFAE6F}" sibTransId="{7CC6A917-C909-43C9-85F5-783A09CCFA6F}"/>
    <dgm:cxn modelId="{667736E2-7FB1-4C5A-8652-AA650F582EB0}" srcId="{70F91FA2-71A7-4863-912E-602D030BB247}" destId="{D57B1805-3C4E-4511-BC5F-A601C4098300}" srcOrd="0" destOrd="0" parTransId="{E19D8E67-365D-4A56-AEB5-5C1A4F45D058}" sibTransId="{31DB97FB-D098-4170-B04A-FF393719170B}"/>
    <dgm:cxn modelId="{7E6071E8-B433-4A65-BE5A-7C74EA579A09}" type="presOf" srcId="{956EBAA0-E358-481B-82D5-214C9786E029}" destId="{D96854D2-937E-45E8-8DED-B75771165F65}" srcOrd="0" destOrd="0" presId="urn:microsoft.com/office/officeart/2005/8/layout/radial6"/>
    <dgm:cxn modelId="{43AB3843-8D5B-4CF1-BDB8-A4C11AABAC6E}" type="presParOf" srcId="{56D7C0DA-22C3-48BC-A684-AECFF1593398}" destId="{2CB37D83-9047-4AD8-8803-81A9B909FF52}" srcOrd="0" destOrd="0" presId="urn:microsoft.com/office/officeart/2005/8/layout/radial6"/>
    <dgm:cxn modelId="{576C0C49-AE05-4600-9905-604B97631440}" type="presParOf" srcId="{56D7C0DA-22C3-48BC-A684-AECFF1593398}" destId="{5E5C2BCB-B7E1-4B3C-88B9-2DDC1A7FADE0}" srcOrd="1" destOrd="0" presId="urn:microsoft.com/office/officeart/2005/8/layout/radial6"/>
    <dgm:cxn modelId="{03B6B1AF-B509-4A82-AF75-3FBB15E1AEF8}" type="presParOf" srcId="{56D7C0DA-22C3-48BC-A684-AECFF1593398}" destId="{0617EF9C-FA45-40C7-9148-843D573F6935}" srcOrd="2" destOrd="0" presId="urn:microsoft.com/office/officeart/2005/8/layout/radial6"/>
    <dgm:cxn modelId="{A44FD796-085A-4F43-B90C-976DA6CBC23E}" type="presParOf" srcId="{56D7C0DA-22C3-48BC-A684-AECFF1593398}" destId="{187EC904-37A4-4836-8A66-54A54CD66249}" srcOrd="3" destOrd="0" presId="urn:microsoft.com/office/officeart/2005/8/layout/radial6"/>
    <dgm:cxn modelId="{1F2FC5DC-6DC5-4A29-A507-6FFF862EB435}" type="presParOf" srcId="{56D7C0DA-22C3-48BC-A684-AECFF1593398}" destId="{A9D18092-711B-4D7D-8116-22BA9952660F}" srcOrd="4" destOrd="0" presId="urn:microsoft.com/office/officeart/2005/8/layout/radial6"/>
    <dgm:cxn modelId="{1B931724-6C56-43E0-8A1D-99E241191206}" type="presParOf" srcId="{56D7C0DA-22C3-48BC-A684-AECFF1593398}" destId="{B116EA8E-7232-4465-B664-B4FA06C4C201}" srcOrd="5" destOrd="0" presId="urn:microsoft.com/office/officeart/2005/8/layout/radial6"/>
    <dgm:cxn modelId="{69BC9E36-45E1-49DB-8EDF-67B271A184FC}" type="presParOf" srcId="{56D7C0DA-22C3-48BC-A684-AECFF1593398}" destId="{14131F1A-0A6D-4071-ABBD-8AB458E6EAC7}" srcOrd="6" destOrd="0" presId="urn:microsoft.com/office/officeart/2005/8/layout/radial6"/>
    <dgm:cxn modelId="{08D8F491-FE51-441F-A46F-3C094B98F93E}" type="presParOf" srcId="{56D7C0DA-22C3-48BC-A684-AECFF1593398}" destId="{87B4B994-F18B-4551-A0CE-89201F911CAD}" srcOrd="7" destOrd="0" presId="urn:microsoft.com/office/officeart/2005/8/layout/radial6"/>
    <dgm:cxn modelId="{C7865BF5-E63D-4E3F-831A-AA447BB62619}" type="presParOf" srcId="{56D7C0DA-22C3-48BC-A684-AECFF1593398}" destId="{0610EE12-C363-40C8-A2AA-1C9FBE4CD236}" srcOrd="8" destOrd="0" presId="urn:microsoft.com/office/officeart/2005/8/layout/radial6"/>
    <dgm:cxn modelId="{BBDFA6E7-110A-44CE-9C4D-C405D7C35DC8}" type="presParOf" srcId="{56D7C0DA-22C3-48BC-A684-AECFF1593398}" destId="{D96854D2-937E-45E8-8DED-B75771165F65}" srcOrd="9" destOrd="0" presId="urn:microsoft.com/office/officeart/2005/8/layout/radial6"/>
    <dgm:cxn modelId="{B635C8CA-B04B-4A8A-A7F1-A25422E8F641}" type="presParOf" srcId="{56D7C0DA-22C3-48BC-A684-AECFF1593398}" destId="{EB85FE47-4307-4366-A40B-0F7786EB9264}" srcOrd="10" destOrd="0" presId="urn:microsoft.com/office/officeart/2005/8/layout/radial6"/>
    <dgm:cxn modelId="{19B31F92-32F1-4781-BB49-6349F771968D}" type="presParOf" srcId="{56D7C0DA-22C3-48BC-A684-AECFF1593398}" destId="{9BA164AC-CD1D-4C0A-A9DD-1992829FAC52}" srcOrd="11" destOrd="0" presId="urn:microsoft.com/office/officeart/2005/8/layout/radial6"/>
    <dgm:cxn modelId="{E3621B4F-139F-4E75-94D4-25F521428C38}" type="presParOf" srcId="{56D7C0DA-22C3-48BC-A684-AECFF1593398}" destId="{A369AA2C-4BF1-4881-B372-3D2401BF705E}" srcOrd="12" destOrd="0" presId="urn:microsoft.com/office/officeart/2005/8/layout/radial6"/>
    <dgm:cxn modelId="{66C6CFD2-2797-4809-B109-1C8FF49B173D}" type="presParOf" srcId="{56D7C0DA-22C3-48BC-A684-AECFF1593398}" destId="{027CB8B9-0F05-40D2-AF1B-1ABBA1D77E3C}" srcOrd="13" destOrd="0" presId="urn:microsoft.com/office/officeart/2005/8/layout/radial6"/>
    <dgm:cxn modelId="{A9BB61D2-00C3-45BA-BE6C-419D2715B0C2}" type="presParOf" srcId="{56D7C0DA-22C3-48BC-A684-AECFF1593398}" destId="{0F72B69C-F286-44E5-ABFA-9EFE85009137}" srcOrd="14" destOrd="0" presId="urn:microsoft.com/office/officeart/2005/8/layout/radial6"/>
    <dgm:cxn modelId="{2A26CED4-744C-40D5-8CB0-68005D0E7876}" type="presParOf" srcId="{56D7C0DA-22C3-48BC-A684-AECFF1593398}" destId="{54A77C42-0C24-4532-888B-0B1707F46A75}" srcOrd="15" destOrd="0" presId="urn:microsoft.com/office/officeart/2005/8/layout/radial6"/>
    <dgm:cxn modelId="{B566730B-9B11-4D34-8ADA-704A43740D2D}" type="presParOf" srcId="{56D7C0DA-22C3-48BC-A684-AECFF1593398}" destId="{C8124807-A24F-4680-BBBB-C03C454B2B05}" srcOrd="16" destOrd="0" presId="urn:microsoft.com/office/officeart/2005/8/layout/radial6"/>
    <dgm:cxn modelId="{B7736308-69D9-4922-9C4C-25E9C3DCA47A}" type="presParOf" srcId="{56D7C0DA-22C3-48BC-A684-AECFF1593398}" destId="{A2BD07A2-E3F8-413C-80C7-1704567BC533}" srcOrd="17" destOrd="0" presId="urn:microsoft.com/office/officeart/2005/8/layout/radial6"/>
    <dgm:cxn modelId="{71379993-C691-4A93-8089-A076921126FE}" type="presParOf" srcId="{56D7C0DA-22C3-48BC-A684-AECFF1593398}" destId="{8043E0F0-6654-4D60-A3D9-253DB09A0AB9}" srcOrd="18"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43E0F0-6654-4D60-A3D9-253DB09A0AB9}">
      <dsp:nvSpPr>
        <dsp:cNvPr id="0" name=""/>
        <dsp:cNvSpPr/>
      </dsp:nvSpPr>
      <dsp:spPr>
        <a:xfrm>
          <a:off x="1538590" y="375270"/>
          <a:ext cx="2576859" cy="2576859"/>
        </a:xfrm>
        <a:prstGeom prst="blockArc">
          <a:avLst>
            <a:gd name="adj1" fmla="val 12600000"/>
            <a:gd name="adj2" fmla="val 16200000"/>
            <a:gd name="adj3" fmla="val 4514"/>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4A77C42-0C24-4532-888B-0B1707F46A75}">
      <dsp:nvSpPr>
        <dsp:cNvPr id="0" name=""/>
        <dsp:cNvSpPr/>
      </dsp:nvSpPr>
      <dsp:spPr>
        <a:xfrm>
          <a:off x="1538590" y="375270"/>
          <a:ext cx="2576859" cy="2576859"/>
        </a:xfrm>
        <a:prstGeom prst="blockArc">
          <a:avLst>
            <a:gd name="adj1" fmla="val 9000000"/>
            <a:gd name="adj2" fmla="val 12600000"/>
            <a:gd name="adj3" fmla="val 4514"/>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369AA2C-4BF1-4881-B372-3D2401BF705E}">
      <dsp:nvSpPr>
        <dsp:cNvPr id="0" name=""/>
        <dsp:cNvSpPr/>
      </dsp:nvSpPr>
      <dsp:spPr>
        <a:xfrm>
          <a:off x="1538590" y="375270"/>
          <a:ext cx="2576859" cy="2576859"/>
        </a:xfrm>
        <a:prstGeom prst="blockArc">
          <a:avLst>
            <a:gd name="adj1" fmla="val 5400000"/>
            <a:gd name="adj2" fmla="val 9000000"/>
            <a:gd name="adj3" fmla="val 4514"/>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96854D2-937E-45E8-8DED-B75771165F65}">
      <dsp:nvSpPr>
        <dsp:cNvPr id="0" name=""/>
        <dsp:cNvSpPr/>
      </dsp:nvSpPr>
      <dsp:spPr>
        <a:xfrm>
          <a:off x="1538590" y="375270"/>
          <a:ext cx="2576859" cy="2576859"/>
        </a:xfrm>
        <a:prstGeom prst="blockArc">
          <a:avLst>
            <a:gd name="adj1" fmla="val 1800000"/>
            <a:gd name="adj2" fmla="val 5400000"/>
            <a:gd name="adj3" fmla="val 4514"/>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4131F1A-0A6D-4071-ABBD-8AB458E6EAC7}">
      <dsp:nvSpPr>
        <dsp:cNvPr id="0" name=""/>
        <dsp:cNvSpPr/>
      </dsp:nvSpPr>
      <dsp:spPr>
        <a:xfrm>
          <a:off x="1538590" y="375270"/>
          <a:ext cx="2576859" cy="2576859"/>
        </a:xfrm>
        <a:prstGeom prst="blockArc">
          <a:avLst>
            <a:gd name="adj1" fmla="val 19800000"/>
            <a:gd name="adj2" fmla="val 1800000"/>
            <a:gd name="adj3" fmla="val 4514"/>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87EC904-37A4-4836-8A66-54A54CD66249}">
      <dsp:nvSpPr>
        <dsp:cNvPr id="0" name=""/>
        <dsp:cNvSpPr/>
      </dsp:nvSpPr>
      <dsp:spPr>
        <a:xfrm>
          <a:off x="1538590" y="375270"/>
          <a:ext cx="2576859" cy="2576859"/>
        </a:xfrm>
        <a:prstGeom prst="blockArc">
          <a:avLst>
            <a:gd name="adj1" fmla="val 16200000"/>
            <a:gd name="adj2" fmla="val 19800000"/>
            <a:gd name="adj3" fmla="val 4514"/>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B37D83-9047-4AD8-8803-81A9B909FF52}">
      <dsp:nvSpPr>
        <dsp:cNvPr id="0" name=""/>
        <dsp:cNvSpPr/>
      </dsp:nvSpPr>
      <dsp:spPr>
        <a:xfrm>
          <a:off x="2250020" y="1086700"/>
          <a:ext cx="1153998" cy="115399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Macro Environment</a:t>
          </a:r>
        </a:p>
      </dsp:txBody>
      <dsp:txXfrm>
        <a:off x="2419019" y="1255699"/>
        <a:ext cx="816000" cy="816000"/>
      </dsp:txXfrm>
    </dsp:sp>
    <dsp:sp modelId="{5E5C2BCB-B7E1-4B3C-88B9-2DDC1A7FADE0}">
      <dsp:nvSpPr>
        <dsp:cNvPr id="0" name=""/>
        <dsp:cNvSpPr/>
      </dsp:nvSpPr>
      <dsp:spPr>
        <a:xfrm>
          <a:off x="2423120" y="451"/>
          <a:ext cx="807798" cy="807798"/>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Political</a:t>
          </a:r>
        </a:p>
      </dsp:txBody>
      <dsp:txXfrm>
        <a:off x="2541419" y="118750"/>
        <a:ext cx="571200" cy="571200"/>
      </dsp:txXfrm>
    </dsp:sp>
    <dsp:sp modelId="{A9D18092-711B-4D7D-8116-22BA9952660F}">
      <dsp:nvSpPr>
        <dsp:cNvPr id="0" name=""/>
        <dsp:cNvSpPr/>
      </dsp:nvSpPr>
      <dsp:spPr>
        <a:xfrm>
          <a:off x="3513748" y="630126"/>
          <a:ext cx="807798" cy="80779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Economic</a:t>
          </a:r>
        </a:p>
      </dsp:txBody>
      <dsp:txXfrm>
        <a:off x="3632047" y="748425"/>
        <a:ext cx="571200" cy="571200"/>
      </dsp:txXfrm>
    </dsp:sp>
    <dsp:sp modelId="{87B4B994-F18B-4551-A0CE-89201F911CAD}">
      <dsp:nvSpPr>
        <dsp:cNvPr id="0" name=""/>
        <dsp:cNvSpPr/>
      </dsp:nvSpPr>
      <dsp:spPr>
        <a:xfrm>
          <a:off x="3513748" y="1889475"/>
          <a:ext cx="807798" cy="807798"/>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Social</a:t>
          </a:r>
        </a:p>
      </dsp:txBody>
      <dsp:txXfrm>
        <a:off x="3632047" y="2007774"/>
        <a:ext cx="571200" cy="571200"/>
      </dsp:txXfrm>
    </dsp:sp>
    <dsp:sp modelId="{EB85FE47-4307-4366-A40B-0F7786EB9264}">
      <dsp:nvSpPr>
        <dsp:cNvPr id="0" name=""/>
        <dsp:cNvSpPr/>
      </dsp:nvSpPr>
      <dsp:spPr>
        <a:xfrm>
          <a:off x="2423120" y="2519149"/>
          <a:ext cx="807798" cy="807798"/>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Technological</a:t>
          </a:r>
        </a:p>
      </dsp:txBody>
      <dsp:txXfrm>
        <a:off x="2541419" y="2637448"/>
        <a:ext cx="571200" cy="571200"/>
      </dsp:txXfrm>
    </dsp:sp>
    <dsp:sp modelId="{027CB8B9-0F05-40D2-AF1B-1ABBA1D77E3C}">
      <dsp:nvSpPr>
        <dsp:cNvPr id="0" name=""/>
        <dsp:cNvSpPr/>
      </dsp:nvSpPr>
      <dsp:spPr>
        <a:xfrm>
          <a:off x="1332492" y="1889475"/>
          <a:ext cx="807798" cy="807798"/>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Environmental</a:t>
          </a:r>
        </a:p>
      </dsp:txBody>
      <dsp:txXfrm>
        <a:off x="1450791" y="2007774"/>
        <a:ext cx="571200" cy="571200"/>
      </dsp:txXfrm>
    </dsp:sp>
    <dsp:sp modelId="{C8124807-A24F-4680-BBBB-C03C454B2B05}">
      <dsp:nvSpPr>
        <dsp:cNvPr id="0" name=""/>
        <dsp:cNvSpPr/>
      </dsp:nvSpPr>
      <dsp:spPr>
        <a:xfrm>
          <a:off x="1332492" y="630126"/>
          <a:ext cx="807798" cy="807798"/>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Legal</a:t>
          </a:r>
        </a:p>
      </dsp:txBody>
      <dsp:txXfrm>
        <a:off x="1450791" y="748425"/>
        <a:ext cx="571200" cy="57120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40704E-DFC6-43F8-8978-853B833F1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35</Pages>
  <Words>7211</Words>
  <Characters>41103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2508483</dc:creator>
  <cp:keywords/>
  <dc:description/>
  <cp:lastModifiedBy>2508483@student.uwtsd.ac.uk</cp:lastModifiedBy>
  <cp:revision>18</cp:revision>
  <dcterms:created xsi:type="dcterms:W3CDTF">2026-08-02T07:34:00Z</dcterms:created>
  <dcterms:modified xsi:type="dcterms:W3CDTF">2026-08-10T17:34:00Z</dcterms:modified>
</cp:coreProperties>
</file>