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68"/>
      </w:tblGrid>
      <w:tr w:rsidR="00F927A1" w:rsidRPr="005D3F07" w14:paraId="68CAA39D" w14:textId="77777777" w:rsidTr="004336BE">
        <w:trPr>
          <w:trHeight w:val="3840"/>
        </w:trPr>
        <w:tc>
          <w:tcPr>
            <w:tcW w:w="10868" w:type="dxa"/>
          </w:tcPr>
          <w:p w14:paraId="02F8EE88" w14:textId="3AA1EE71" w:rsidR="00986B43" w:rsidRPr="004336BE" w:rsidRDefault="00986B43" w:rsidP="005D3F07">
            <w:pPr>
              <w:overflowPunct/>
              <w:autoSpaceDE/>
              <w:autoSpaceDN/>
              <w:adjustRightInd/>
              <w:ind w:right="-957"/>
              <w:textAlignment w:val="auto"/>
              <w:rPr>
                <w:rFonts w:ascii="Times New Roman" w:hAnsi="Times New Roman" w:cs="Times New Roman"/>
                <w:bCs/>
                <w:color w:val="auto"/>
                <w:sz w:val="48"/>
              </w:rPr>
            </w:pPr>
            <w:r w:rsidRPr="004336BE">
              <w:rPr>
                <w:rFonts w:ascii="Times New Roman" w:hAnsi="Times New Roman" w:cs="Times New Roman"/>
                <w:bCs/>
                <w:color w:val="auto"/>
                <w:sz w:val="48"/>
              </w:rPr>
              <w:t>Learner’s name:</w:t>
            </w:r>
            <w:r w:rsidR="00247265" w:rsidRPr="004336BE">
              <w:rPr>
                <w:rFonts w:ascii="Times New Roman" w:hAnsi="Times New Roman" w:cs="Times New Roman"/>
                <w:bCs/>
                <w:color w:val="auto"/>
                <w:sz w:val="48"/>
              </w:rPr>
              <w:t xml:space="preserve"> </w:t>
            </w:r>
            <w:r w:rsidR="001044F6" w:rsidRPr="004336BE">
              <w:rPr>
                <w:rFonts w:ascii="Times New Roman" w:hAnsi="Times New Roman" w:cs="Times New Roman"/>
                <w:bCs/>
                <w:color w:val="auto"/>
                <w:sz w:val="48"/>
              </w:rPr>
              <w:t>Helen Tanner</w:t>
            </w:r>
          </w:p>
          <w:p w14:paraId="0B6CD0DB" w14:textId="689515B5" w:rsidR="009C337F" w:rsidRPr="004336BE" w:rsidRDefault="009C337F" w:rsidP="005D3F07">
            <w:pPr>
              <w:overflowPunct/>
              <w:autoSpaceDE/>
              <w:autoSpaceDN/>
              <w:adjustRightInd/>
              <w:ind w:right="-957"/>
              <w:textAlignment w:val="auto"/>
              <w:rPr>
                <w:rFonts w:ascii="Times New Roman" w:hAnsi="Times New Roman" w:cs="Times New Roman"/>
                <w:bCs/>
                <w:color w:val="auto"/>
                <w:sz w:val="48"/>
              </w:rPr>
            </w:pPr>
          </w:p>
          <w:p w14:paraId="3A6EAAC7" w14:textId="7C88A8E8" w:rsidR="009C337F" w:rsidRPr="004336BE" w:rsidRDefault="009C337F" w:rsidP="005D3F07">
            <w:pPr>
              <w:overflowPunct/>
              <w:autoSpaceDE/>
              <w:autoSpaceDN/>
              <w:adjustRightInd/>
              <w:ind w:right="-957"/>
              <w:textAlignment w:val="auto"/>
              <w:rPr>
                <w:rFonts w:ascii="Times New Roman" w:hAnsi="Times New Roman" w:cs="Times New Roman"/>
                <w:bCs/>
                <w:color w:val="auto"/>
                <w:sz w:val="48"/>
              </w:rPr>
            </w:pPr>
            <w:r w:rsidRPr="004336BE">
              <w:rPr>
                <w:rFonts w:ascii="Times New Roman" w:hAnsi="Times New Roman" w:cs="Times New Roman"/>
                <w:bCs/>
                <w:color w:val="auto"/>
                <w:sz w:val="48"/>
              </w:rPr>
              <w:t>Email address:</w:t>
            </w:r>
            <w:r w:rsidR="001044F6" w:rsidRPr="004336BE">
              <w:rPr>
                <w:rFonts w:ascii="Times New Roman" w:hAnsi="Times New Roman" w:cs="Times New Roman"/>
                <w:bCs/>
                <w:color w:val="auto"/>
                <w:sz w:val="48"/>
              </w:rPr>
              <w:t>helen.tanner@powys.gov.uk</w:t>
            </w:r>
          </w:p>
          <w:p w14:paraId="22E38809" w14:textId="77777777" w:rsidR="00986B43" w:rsidRPr="004336BE" w:rsidRDefault="00986B43" w:rsidP="005D3F07">
            <w:pPr>
              <w:overflowPunct/>
              <w:autoSpaceDE/>
              <w:autoSpaceDN/>
              <w:adjustRightInd/>
              <w:ind w:right="-957"/>
              <w:textAlignment w:val="auto"/>
              <w:rPr>
                <w:rFonts w:ascii="Times New Roman" w:hAnsi="Times New Roman" w:cs="Times New Roman"/>
                <w:bCs/>
                <w:color w:val="auto"/>
                <w:sz w:val="48"/>
              </w:rPr>
            </w:pPr>
          </w:p>
          <w:p w14:paraId="0DE696B2" w14:textId="2F3340E1" w:rsidR="00F927A1" w:rsidRPr="004336BE" w:rsidRDefault="0085230E" w:rsidP="005D3F07">
            <w:pPr>
              <w:overflowPunct/>
              <w:autoSpaceDE/>
              <w:autoSpaceDN/>
              <w:adjustRightInd/>
              <w:ind w:right="-957"/>
              <w:textAlignment w:val="auto"/>
              <w:rPr>
                <w:rFonts w:ascii="Times New Roman" w:hAnsi="Times New Roman" w:cs="Times New Roman"/>
                <w:bCs/>
                <w:color w:val="auto"/>
                <w:sz w:val="48"/>
              </w:rPr>
            </w:pPr>
            <w:r w:rsidRPr="004336BE">
              <w:rPr>
                <w:rFonts w:ascii="Times New Roman" w:hAnsi="Times New Roman" w:cs="Times New Roman"/>
                <w:bCs/>
                <w:color w:val="auto"/>
                <w:sz w:val="48"/>
              </w:rPr>
              <w:t>Learner’s University Registration</w:t>
            </w:r>
            <w:r w:rsidR="00F927A1" w:rsidRPr="004336BE">
              <w:rPr>
                <w:rFonts w:ascii="Times New Roman" w:hAnsi="Times New Roman" w:cs="Times New Roman"/>
                <w:bCs/>
                <w:color w:val="auto"/>
                <w:sz w:val="48"/>
              </w:rPr>
              <w:t xml:space="preserve"> Number:</w:t>
            </w:r>
            <w:r w:rsidR="004336BE" w:rsidRPr="004336BE">
              <w:rPr>
                <w:rFonts w:ascii="Times New Roman" w:hAnsi="Times New Roman" w:cs="Times New Roman"/>
                <w:bCs/>
                <w:color w:val="auto"/>
                <w:sz w:val="48"/>
              </w:rPr>
              <w:t>2416654</w:t>
            </w:r>
          </w:p>
          <w:p w14:paraId="622FD17A" w14:textId="77777777" w:rsidR="0085230E" w:rsidRPr="004336BE" w:rsidRDefault="0085230E" w:rsidP="005D3F07">
            <w:pPr>
              <w:overflowPunct/>
              <w:autoSpaceDE/>
              <w:autoSpaceDN/>
              <w:adjustRightInd/>
              <w:ind w:right="-957"/>
              <w:textAlignment w:val="auto"/>
              <w:rPr>
                <w:rFonts w:ascii="Times New Roman" w:hAnsi="Times New Roman" w:cs="Times New Roman"/>
                <w:bCs/>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4336BE">
              <w:rPr>
                <w:rFonts w:ascii="Times New Roman" w:hAnsi="Times New Roman" w:cs="Times New Roman"/>
                <w:bCs/>
                <w:color w:val="auto"/>
                <w:sz w:val="48"/>
              </w:rPr>
              <w:t xml:space="preserve">Cohort: </w:t>
            </w:r>
            <w:r w:rsidR="00512AB1" w:rsidRPr="004336BE">
              <w:rPr>
                <w:rFonts w:ascii="Times New Roman" w:hAnsi="Times New Roman" w:cs="Times New Roman"/>
                <w:bCs/>
                <w:color w:val="auto"/>
                <w:sz w:val="48"/>
              </w:rPr>
              <w:t>21</w:t>
            </w:r>
            <w:r w:rsidR="00AE6231" w:rsidRPr="004336BE">
              <w:rPr>
                <w:rFonts w:ascii="Times New Roman" w:hAnsi="Times New Roman" w:cs="Times New Roman"/>
                <w:bCs/>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0F884228"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val="en-US" w:eastAsia="en-US"/>
        </w:rPr>
      </w:pPr>
      <w:r w:rsidRPr="00EF28CA">
        <w:rPr>
          <w:rFonts w:eastAsia="MS Mincho"/>
          <w:color w:val="auto"/>
          <w:sz w:val="22"/>
          <w:szCs w:val="22"/>
          <w:lang w:val="en-US" w:eastAsia="en-US"/>
        </w:rPr>
        <w:t xml:space="preserve">Adams, P. and Shepherd, E. (2020). Undertaking checks and references in fostering and adoption assessments. London: CoramBAAF. (online) Available at: </w:t>
      </w:r>
      <w:hyperlink r:id="rId11" w:history="1">
        <w:r w:rsidRPr="00EF28CA">
          <w:rPr>
            <w:rFonts w:eastAsia="MS Mincho"/>
            <w:color w:val="0000FF"/>
            <w:sz w:val="22"/>
            <w:szCs w:val="22"/>
            <w:u w:val="single"/>
            <w:lang w:val="en-US" w:eastAsia="en-US"/>
          </w:rPr>
          <w:t>https://corambaaf.org.uk/books/undertaking-checks-and-references-fostering-and-adoption-assessments</w:t>
        </w:r>
      </w:hyperlink>
      <w:r w:rsidRPr="00EF28CA">
        <w:rPr>
          <w:rFonts w:eastAsia="MS Mincho"/>
          <w:color w:val="auto"/>
          <w:sz w:val="22"/>
          <w:szCs w:val="22"/>
          <w:lang w:val="en-US" w:eastAsia="en-US"/>
        </w:rPr>
        <w:t xml:space="preserve">  [Accessed 19 Sep. 2025].</w:t>
      </w:r>
    </w:p>
    <w:p w14:paraId="795EC16F"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AFKA Cymru. (2018). Good Practice Guidance for Kinship and Connected Persons Foster Carers. [Online]. Available at: </w:t>
      </w:r>
      <w:hyperlink r:id="rId12" w:history="1">
        <w:r w:rsidRPr="00EF28CA">
          <w:rPr>
            <w:rFonts w:eastAsia="MS Mincho"/>
            <w:color w:val="0000FF"/>
            <w:sz w:val="22"/>
            <w:szCs w:val="22"/>
            <w:u w:val="single"/>
            <w:lang w:eastAsia="en-US"/>
          </w:rPr>
          <w:t>https://afkacymru.org.uk/good-practice-guides/</w:t>
        </w:r>
      </w:hyperlink>
      <w:r w:rsidRPr="00EF28CA">
        <w:rPr>
          <w:rFonts w:eastAsia="MS Mincho"/>
          <w:color w:val="auto"/>
          <w:sz w:val="22"/>
          <w:szCs w:val="22"/>
          <w:lang w:eastAsia="en-US"/>
        </w:rPr>
        <w:t xml:space="preserve">  [Accessed 30 Sep. 2025].</w:t>
      </w:r>
    </w:p>
    <w:p w14:paraId="432FB569"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AFKA Cymru. (2025). Competency Framework: Skills and Qualities for Kinship Foster Carers in Wales. [Online]. Available at: </w:t>
      </w:r>
      <w:hyperlink r:id="rId13" w:history="1">
        <w:r w:rsidRPr="00EF28CA">
          <w:rPr>
            <w:rFonts w:eastAsia="MS Mincho"/>
            <w:color w:val="0000FF"/>
            <w:sz w:val="22"/>
            <w:szCs w:val="22"/>
            <w:u w:val="single"/>
            <w:lang w:eastAsia="en-US"/>
          </w:rPr>
          <w:t>https://afkacymru.org.uk/wp-content/uploads/2025/06/AFKA-CYMRU-COMPETENCY-FRAMEWORK-KINSHIP-FOSTER-CARERS-WALES.pdf</w:t>
        </w:r>
      </w:hyperlink>
      <w:r w:rsidRPr="00EF28CA">
        <w:rPr>
          <w:rFonts w:eastAsia="MS Mincho"/>
          <w:color w:val="auto"/>
          <w:sz w:val="22"/>
          <w:szCs w:val="22"/>
          <w:lang w:eastAsia="en-US"/>
        </w:rPr>
        <w:t xml:space="preserve">  [Accessed 30 Sep. 2025].</w:t>
      </w:r>
    </w:p>
    <w:p w14:paraId="184F612D"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AFKA Cymru. (2025). Foster Wales Good Practice Guide for the Assessment and Support of Connected Persons Foster Carers. [Online]. Available at: </w:t>
      </w:r>
      <w:hyperlink r:id="rId14" w:history="1">
        <w:r w:rsidRPr="00EF28CA">
          <w:rPr>
            <w:rFonts w:eastAsia="MS Mincho"/>
            <w:color w:val="0000FF"/>
            <w:sz w:val="22"/>
            <w:szCs w:val="22"/>
            <w:u w:val="single"/>
            <w:lang w:eastAsia="en-US"/>
          </w:rPr>
          <w:t>https://afkacymru.org.uk/wp-content/uploads/2025/09/Foster-Wales-Good-practice-Guide-for-the-Assessment-and-Support-of-Connected-Persons-Foster-Carers.pdf</w:t>
        </w:r>
      </w:hyperlink>
      <w:r w:rsidRPr="00EF28CA">
        <w:rPr>
          <w:rFonts w:eastAsia="MS Mincho"/>
          <w:color w:val="auto"/>
          <w:sz w:val="22"/>
          <w:szCs w:val="22"/>
          <w:lang w:eastAsia="en-US"/>
        </w:rPr>
        <w:t xml:space="preserve"> [Accessed 30 Sep. 2025].</w:t>
      </w:r>
    </w:p>
    <w:p w14:paraId="384FC1A2"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val="en-US" w:eastAsia="en-US"/>
        </w:rPr>
      </w:pPr>
      <w:r w:rsidRPr="00EF28CA">
        <w:rPr>
          <w:rFonts w:eastAsia="MS Mincho"/>
          <w:color w:val="auto"/>
          <w:sz w:val="22"/>
          <w:szCs w:val="22"/>
          <w:lang w:val="en-US" w:eastAsia="en-US"/>
        </w:rPr>
        <w:t>Bolton, G. (2001). Reflective Practice: Writing and Professional Development. London: SAGE Publications.</w:t>
      </w:r>
    </w:p>
    <w:p w14:paraId="66C425DD"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Bowlby, J. (1969). </w:t>
      </w:r>
      <w:r w:rsidRPr="00EF28CA">
        <w:rPr>
          <w:rFonts w:eastAsia="MS Mincho"/>
          <w:i/>
          <w:iCs/>
          <w:color w:val="auto"/>
          <w:sz w:val="22"/>
          <w:szCs w:val="22"/>
          <w:lang w:eastAsia="en-US"/>
        </w:rPr>
        <w:t>Attachment and Loss: Volume 1. Attachment</w:t>
      </w:r>
      <w:r w:rsidRPr="00EF28CA">
        <w:rPr>
          <w:rFonts w:eastAsia="MS Mincho"/>
          <w:color w:val="auto"/>
          <w:sz w:val="22"/>
          <w:szCs w:val="22"/>
          <w:lang w:eastAsia="en-US"/>
        </w:rPr>
        <w:t>. New York: Basic Books.</w:t>
      </w:r>
    </w:p>
    <w:p w14:paraId="0DED6A1A"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val="en-US" w:eastAsia="en-US"/>
        </w:rPr>
      </w:pPr>
      <w:r w:rsidRPr="00EF28CA">
        <w:rPr>
          <w:rFonts w:eastAsia="MS Mincho"/>
          <w:color w:val="auto"/>
          <w:sz w:val="22"/>
          <w:szCs w:val="22"/>
          <w:lang w:val="en-US" w:eastAsia="en-US"/>
        </w:rPr>
        <w:t xml:space="preserve">British Association of Social Workers (BASW) (2021). The BASW code of ethics for social work. Birmingham: BASW. (Online) Available at: </w:t>
      </w:r>
      <w:hyperlink r:id="rId15" w:history="1">
        <w:r w:rsidRPr="00EF28CA">
          <w:rPr>
            <w:rFonts w:eastAsia="MS Mincho"/>
            <w:color w:val="0000FF"/>
            <w:sz w:val="22"/>
            <w:szCs w:val="22"/>
            <w:u w:val="single"/>
            <w:lang w:val="en-US" w:eastAsia="en-US"/>
          </w:rPr>
          <w:t>https://www.basw.co.uk/resources/basw-code-ethics-social-work</w:t>
        </w:r>
      </w:hyperlink>
      <w:r w:rsidRPr="00EF28CA">
        <w:rPr>
          <w:rFonts w:eastAsia="MS Mincho"/>
          <w:color w:val="auto"/>
          <w:sz w:val="22"/>
          <w:szCs w:val="22"/>
          <w:lang w:val="en-US" w:eastAsia="en-US"/>
        </w:rPr>
        <w:t xml:space="preserve">  [Accessed 19 Sep. 2025].</w:t>
      </w:r>
    </w:p>
    <w:p w14:paraId="680C209D"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val="en-US" w:eastAsia="en-US"/>
        </w:rPr>
      </w:pPr>
      <w:r w:rsidRPr="00EF28CA">
        <w:rPr>
          <w:rFonts w:eastAsia="MS Mincho"/>
          <w:color w:val="auto"/>
          <w:sz w:val="22"/>
          <w:szCs w:val="22"/>
          <w:lang w:val="en-US" w:eastAsia="en-US"/>
        </w:rPr>
        <w:t xml:space="preserve">British Association of Social Workers (BASW) (2023). The role of the supervising social worker in foster care. (Online) Available at: </w:t>
      </w:r>
      <w:hyperlink r:id="rId16" w:history="1">
        <w:r w:rsidRPr="00EF28CA">
          <w:rPr>
            <w:rFonts w:eastAsia="MS Mincho"/>
            <w:color w:val="0000FF"/>
            <w:sz w:val="22"/>
            <w:szCs w:val="22"/>
            <w:u w:val="single"/>
            <w:lang w:val="en-US" w:eastAsia="en-US"/>
          </w:rPr>
          <w:t>https://basw.co.uk/policy-and-practice/resources/role-supervising-social-worker-foster-care</w:t>
        </w:r>
      </w:hyperlink>
      <w:r w:rsidRPr="00EF28CA">
        <w:rPr>
          <w:rFonts w:eastAsia="MS Mincho"/>
          <w:color w:val="auto"/>
          <w:sz w:val="22"/>
          <w:szCs w:val="22"/>
          <w:lang w:val="en-US" w:eastAsia="en-US"/>
        </w:rPr>
        <w:t xml:space="preserve">  [Accessed 19 Sep. 2025].</w:t>
      </w:r>
    </w:p>
    <w:p w14:paraId="344C1794"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Bronfenbrenner, U. (1979). </w:t>
      </w:r>
      <w:r w:rsidRPr="00EF28CA">
        <w:rPr>
          <w:rFonts w:eastAsia="MS Mincho"/>
          <w:i/>
          <w:iCs/>
          <w:color w:val="auto"/>
          <w:sz w:val="22"/>
          <w:szCs w:val="22"/>
          <w:lang w:eastAsia="en-US"/>
        </w:rPr>
        <w:t>The Ecology of Human Development: Experiments by Nature and Design</w:t>
      </w:r>
      <w:r w:rsidRPr="00EF28CA">
        <w:rPr>
          <w:rFonts w:eastAsia="MS Mincho"/>
          <w:color w:val="auto"/>
          <w:sz w:val="22"/>
          <w:szCs w:val="22"/>
          <w:lang w:eastAsia="en-US"/>
        </w:rPr>
        <w:t>. Cambridge, MA: Harvard University Press.</w:t>
      </w:r>
    </w:p>
    <w:p w14:paraId="66315BDC"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Children (Abolition of Defence of Reasonable Punishment) (Wales) Act 2020. (anaw 3). [Online]. Available at: </w:t>
      </w:r>
      <w:hyperlink r:id="rId17" w:history="1">
        <w:r w:rsidRPr="00EF28CA">
          <w:rPr>
            <w:rFonts w:eastAsia="MS Mincho"/>
            <w:color w:val="0000FF"/>
            <w:sz w:val="22"/>
            <w:szCs w:val="22"/>
            <w:u w:val="single"/>
            <w:lang w:eastAsia="en-US"/>
          </w:rPr>
          <w:t>https://www.legislation.gov.uk/anaw/2020/3</w:t>
        </w:r>
      </w:hyperlink>
      <w:r w:rsidRPr="00EF28CA">
        <w:rPr>
          <w:rFonts w:eastAsia="MS Mincho"/>
          <w:color w:val="auto"/>
          <w:sz w:val="22"/>
          <w:szCs w:val="22"/>
          <w:lang w:eastAsia="en-US"/>
        </w:rPr>
        <w:t xml:space="preserve">  [Accessed 30 Sep. 2025].</w:t>
      </w:r>
    </w:p>
    <w:p w14:paraId="0E9DF1A0"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Children Act 1989. (c.41). [Online]. Available at: </w:t>
      </w:r>
      <w:hyperlink r:id="rId18" w:history="1">
        <w:r w:rsidRPr="00EF28CA">
          <w:rPr>
            <w:rFonts w:eastAsia="MS Mincho"/>
            <w:color w:val="0000FF"/>
            <w:sz w:val="22"/>
            <w:szCs w:val="22"/>
            <w:u w:val="single"/>
            <w:lang w:eastAsia="en-US"/>
          </w:rPr>
          <w:t>https://www.legislation.gov.uk/ukpga/1989/41</w:t>
        </w:r>
      </w:hyperlink>
      <w:r w:rsidRPr="00EF28CA">
        <w:rPr>
          <w:rFonts w:eastAsia="MS Mincho"/>
          <w:color w:val="auto"/>
          <w:sz w:val="22"/>
          <w:szCs w:val="22"/>
          <w:lang w:eastAsia="en-US"/>
        </w:rPr>
        <w:t xml:space="preserve">  [Accessed 30 Sep. 2025].</w:t>
      </w:r>
    </w:p>
    <w:p w14:paraId="5C4B2D69"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Children Act 2004. (c.31). [Online]. Available at: </w:t>
      </w:r>
      <w:hyperlink r:id="rId19" w:history="1">
        <w:r w:rsidRPr="00EF28CA">
          <w:rPr>
            <w:rFonts w:eastAsia="MS Mincho"/>
            <w:color w:val="0000FF"/>
            <w:sz w:val="22"/>
            <w:szCs w:val="22"/>
            <w:u w:val="single"/>
            <w:lang w:eastAsia="en-US"/>
          </w:rPr>
          <w:t>https://www.legislation.gov.uk/ukpga/2004/31/contents</w:t>
        </w:r>
      </w:hyperlink>
      <w:r w:rsidRPr="00EF28CA">
        <w:rPr>
          <w:rFonts w:eastAsia="MS Mincho"/>
          <w:color w:val="auto"/>
          <w:sz w:val="22"/>
          <w:szCs w:val="22"/>
          <w:lang w:eastAsia="en-US"/>
        </w:rPr>
        <w:t xml:space="preserve">  [Accessed 30 Sep. 2025].</w:t>
      </w:r>
    </w:p>
    <w:p w14:paraId="4B1A0E61"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p>
    <w:p w14:paraId="41A67508"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lastRenderedPageBreak/>
        <w:t xml:space="preserve">CoramBAAF. (2022). </w:t>
      </w:r>
      <w:r w:rsidRPr="00EF28CA">
        <w:rPr>
          <w:rFonts w:eastAsia="MS Mincho"/>
          <w:i/>
          <w:iCs/>
          <w:color w:val="auto"/>
          <w:sz w:val="22"/>
          <w:szCs w:val="22"/>
          <w:lang w:eastAsia="en-US"/>
        </w:rPr>
        <w:t>Undertaking a Connected Person/Kinship Assessment in Wales: A Guide to Collecting and Analysing Information for Form C</w:t>
      </w:r>
      <w:r w:rsidRPr="00EF28CA">
        <w:rPr>
          <w:rFonts w:eastAsia="MS Mincho"/>
          <w:color w:val="auto"/>
          <w:sz w:val="22"/>
          <w:szCs w:val="22"/>
          <w:lang w:eastAsia="en-US"/>
        </w:rPr>
        <w:t>. London: British Association for Adoption &amp; Fostering.</w:t>
      </w:r>
    </w:p>
    <w:p w14:paraId="29E48CEC"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val="en-US" w:eastAsia="en-US"/>
        </w:rPr>
      </w:pPr>
      <w:r w:rsidRPr="00EF28CA">
        <w:rPr>
          <w:rFonts w:eastAsia="MS Mincho"/>
          <w:color w:val="auto"/>
          <w:sz w:val="22"/>
          <w:szCs w:val="22"/>
          <w:lang w:val="en-US" w:eastAsia="en-US"/>
        </w:rPr>
        <w:t>Gibbs, G. (1988). Learning by Doing: A Guide to Teaching and Learning Methods. Oxford: Oxford Polytechnic.</w:t>
      </w:r>
    </w:p>
    <w:p w14:paraId="3FFF0B7B"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Hong, J.S., Espelage, D.L. &amp; Kral, M.J. (2011). Understanding suicide among adolescents in the United States: Applying Bronfenbrenner’s ecological systems theory. </w:t>
      </w:r>
      <w:r w:rsidRPr="00EF28CA">
        <w:rPr>
          <w:rFonts w:eastAsia="MS Mincho"/>
          <w:i/>
          <w:iCs/>
          <w:color w:val="auto"/>
          <w:sz w:val="22"/>
          <w:szCs w:val="22"/>
          <w:lang w:eastAsia="en-US"/>
        </w:rPr>
        <w:t>Journal of Adolescence</w:t>
      </w:r>
      <w:r w:rsidRPr="00EF28CA">
        <w:rPr>
          <w:rFonts w:eastAsia="MS Mincho"/>
          <w:color w:val="auto"/>
          <w:sz w:val="22"/>
          <w:szCs w:val="22"/>
          <w:lang w:eastAsia="en-US"/>
        </w:rPr>
        <w:t>, 34(5), pp.895–905.</w:t>
      </w:r>
    </w:p>
    <w:p w14:paraId="36684E0B"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val="en-US" w:eastAsia="en-US"/>
        </w:rPr>
      </w:pPr>
      <w:r w:rsidRPr="00EF28CA">
        <w:rPr>
          <w:rFonts w:eastAsia="MS Mincho"/>
          <w:color w:val="auto"/>
          <w:sz w:val="22"/>
          <w:szCs w:val="22"/>
          <w:lang w:val="en-US" w:eastAsia="en-US"/>
        </w:rPr>
        <w:t>Jasper, M. (2013). Beginning Reflective Practice. 2nd ed. Andover: Cengage Learning.</w:t>
      </w:r>
    </w:p>
    <w:p w14:paraId="5A86C619"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Kolb, D.A. (1984). </w:t>
      </w:r>
      <w:r w:rsidRPr="00EF28CA">
        <w:rPr>
          <w:rFonts w:eastAsia="MS Mincho"/>
          <w:i/>
          <w:iCs/>
          <w:color w:val="auto"/>
          <w:sz w:val="22"/>
          <w:szCs w:val="22"/>
          <w:lang w:eastAsia="en-US"/>
        </w:rPr>
        <w:t>Experiential Learning: Experience as the Source of Learning and Development</w:t>
      </w:r>
      <w:r w:rsidRPr="00EF28CA">
        <w:rPr>
          <w:rFonts w:eastAsia="MS Mincho"/>
          <w:color w:val="auto"/>
          <w:sz w:val="22"/>
          <w:szCs w:val="22"/>
          <w:lang w:eastAsia="en-US"/>
        </w:rPr>
        <w:t>. Englewood Cliffs, NJ: Prentice-Hall.</w:t>
      </w:r>
    </w:p>
    <w:p w14:paraId="7F6A9F92"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val="en-US" w:eastAsia="en-US"/>
        </w:rPr>
        <w:t xml:space="preserve">Koutsounia, A. (2024). ‘Look back at the “brilliant” social work colleagues of 2024’, </w:t>
      </w:r>
      <w:r w:rsidRPr="00EF28CA">
        <w:rPr>
          <w:rFonts w:eastAsia="MS Mincho"/>
          <w:i/>
          <w:iCs/>
          <w:color w:val="auto"/>
          <w:sz w:val="22"/>
          <w:szCs w:val="22"/>
          <w:lang w:val="en-US" w:eastAsia="en-US"/>
        </w:rPr>
        <w:t>Community Care</w:t>
      </w:r>
      <w:r w:rsidRPr="00EF28CA">
        <w:rPr>
          <w:rFonts w:eastAsia="MS Mincho"/>
          <w:color w:val="auto"/>
          <w:sz w:val="22"/>
          <w:szCs w:val="22"/>
          <w:lang w:val="en-US" w:eastAsia="en-US"/>
        </w:rPr>
        <w:t xml:space="preserve">, [Online] 19 December. Available at: </w:t>
      </w:r>
      <w:hyperlink r:id="rId20" w:history="1">
        <w:r w:rsidRPr="00EF28CA">
          <w:rPr>
            <w:rFonts w:eastAsia="MS Mincho"/>
            <w:color w:val="0000FF"/>
            <w:sz w:val="22"/>
            <w:szCs w:val="22"/>
            <w:u w:val="single"/>
            <w:lang w:val="en-US" w:eastAsia="en-US"/>
          </w:rPr>
          <w:t>https://www.communitycare.co.uk/2024/12/19/look-back-at-the-brilliant-social-work-colleagues-of-2024/</w:t>
        </w:r>
      </w:hyperlink>
      <w:r w:rsidRPr="00EF28CA">
        <w:rPr>
          <w:rFonts w:eastAsia="MS Mincho"/>
          <w:color w:val="auto"/>
          <w:sz w:val="22"/>
          <w:szCs w:val="22"/>
          <w:lang w:val="en-US" w:eastAsia="en-US"/>
        </w:rPr>
        <w:t xml:space="preserve">  [Accessed: 19 September 2025].</w:t>
      </w:r>
    </w:p>
    <w:p w14:paraId="387892DC"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val="en-US" w:eastAsia="en-US"/>
        </w:rPr>
      </w:pPr>
      <w:r w:rsidRPr="00EF28CA">
        <w:rPr>
          <w:rFonts w:eastAsia="MS Mincho"/>
          <w:color w:val="auto"/>
          <w:sz w:val="22"/>
          <w:szCs w:val="22"/>
          <w:lang w:val="en-US" w:eastAsia="en-US"/>
        </w:rPr>
        <w:t xml:space="preserve">Mathias, J. (2015). ‘Thinking like a social worker: Examining the meaning of critical thinking in social work’, </w:t>
      </w:r>
      <w:r w:rsidRPr="00EF28CA">
        <w:rPr>
          <w:rFonts w:eastAsia="MS Mincho"/>
          <w:i/>
          <w:iCs/>
          <w:color w:val="auto"/>
          <w:sz w:val="22"/>
          <w:szCs w:val="22"/>
          <w:lang w:val="en-US" w:eastAsia="en-US"/>
        </w:rPr>
        <w:t>Journal of Social Work Education</w:t>
      </w:r>
      <w:r w:rsidRPr="00EF28CA">
        <w:rPr>
          <w:rFonts w:eastAsia="MS Mincho"/>
          <w:color w:val="auto"/>
          <w:sz w:val="22"/>
          <w:szCs w:val="22"/>
          <w:lang w:val="en-US" w:eastAsia="en-US"/>
        </w:rPr>
        <w:t xml:space="preserve">, 51(2), pp. 264–279. [Online]. Available at: </w:t>
      </w:r>
      <w:hyperlink r:id="rId21" w:history="1">
        <w:r w:rsidRPr="00EF28CA">
          <w:rPr>
            <w:rFonts w:eastAsia="MS Mincho"/>
            <w:color w:val="0000FF"/>
            <w:sz w:val="22"/>
            <w:szCs w:val="22"/>
            <w:u w:val="single"/>
            <w:lang w:val="en-US" w:eastAsia="en-US"/>
          </w:rPr>
          <w:t>https://www.jstor.org/stable/pdf/44017131.pdf</w:t>
        </w:r>
      </w:hyperlink>
      <w:r w:rsidRPr="00EF28CA">
        <w:rPr>
          <w:rFonts w:eastAsia="MS Mincho"/>
          <w:color w:val="auto"/>
          <w:sz w:val="22"/>
          <w:szCs w:val="22"/>
          <w:lang w:val="en-US" w:eastAsia="en-US"/>
        </w:rPr>
        <w:t xml:space="preserve">  (Accessed: 30 September 2025).</w:t>
      </w:r>
    </w:p>
    <w:p w14:paraId="04A6CE47"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Mezirow, J. (1991). </w:t>
      </w:r>
      <w:r w:rsidRPr="00EF28CA">
        <w:rPr>
          <w:rFonts w:eastAsia="MS Mincho"/>
          <w:i/>
          <w:iCs/>
          <w:color w:val="auto"/>
          <w:sz w:val="22"/>
          <w:szCs w:val="22"/>
          <w:lang w:eastAsia="en-US"/>
        </w:rPr>
        <w:t>Transformative Dimensions of Adult Learning</w:t>
      </w:r>
      <w:r w:rsidRPr="00EF28CA">
        <w:rPr>
          <w:rFonts w:eastAsia="MS Mincho"/>
          <w:color w:val="auto"/>
          <w:sz w:val="22"/>
          <w:szCs w:val="22"/>
          <w:lang w:eastAsia="en-US"/>
        </w:rPr>
        <w:t>. San Francisco: Jossey-Bass.</w:t>
      </w:r>
    </w:p>
    <w:p w14:paraId="0E4430CB"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National Assembly for Wales. (2014). </w:t>
      </w:r>
      <w:r w:rsidRPr="00EF28CA">
        <w:rPr>
          <w:rFonts w:eastAsia="MS Mincho"/>
          <w:i/>
          <w:iCs/>
          <w:color w:val="auto"/>
          <w:sz w:val="22"/>
          <w:szCs w:val="22"/>
          <w:lang w:eastAsia="en-US"/>
        </w:rPr>
        <w:t>Social Services and Well-being (Wales) Act 2014</w:t>
      </w:r>
      <w:r w:rsidRPr="00EF28CA">
        <w:rPr>
          <w:rFonts w:eastAsia="MS Mincho"/>
          <w:color w:val="auto"/>
          <w:sz w:val="22"/>
          <w:szCs w:val="22"/>
          <w:lang w:eastAsia="en-US"/>
        </w:rPr>
        <w:t xml:space="preserve">. [Online]. Available at: </w:t>
      </w:r>
      <w:hyperlink r:id="rId22" w:history="1">
        <w:r w:rsidRPr="00EF28CA">
          <w:rPr>
            <w:rFonts w:eastAsia="MS Mincho"/>
            <w:color w:val="0000FF"/>
            <w:sz w:val="22"/>
            <w:szCs w:val="22"/>
            <w:u w:val="single"/>
            <w:lang w:eastAsia="en-US"/>
          </w:rPr>
          <w:t>https://www.legislation.gov.uk/anaw/2014/4</w:t>
        </w:r>
      </w:hyperlink>
      <w:r w:rsidRPr="00EF28CA">
        <w:rPr>
          <w:rFonts w:eastAsia="MS Mincho"/>
          <w:color w:val="auto"/>
          <w:sz w:val="22"/>
          <w:szCs w:val="22"/>
          <w:lang w:eastAsia="en-US"/>
        </w:rPr>
        <w:t xml:space="preserve">  (Accessed: 30 September 2025).</w:t>
      </w:r>
    </w:p>
    <w:p w14:paraId="69109BA8"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val="en-US" w:eastAsia="en-US"/>
        </w:rPr>
        <w:t xml:space="preserve">Noordink, T., Verharen, L., Schalk, R., van Eck, M. and van Regenmortel, T. (2021). ‘Measuring instruments for empowerment in social work: A scoping review’, </w:t>
      </w:r>
      <w:r w:rsidRPr="00EF28CA">
        <w:rPr>
          <w:rFonts w:eastAsia="MS Mincho"/>
          <w:i/>
          <w:iCs/>
          <w:color w:val="auto"/>
          <w:sz w:val="22"/>
          <w:szCs w:val="22"/>
          <w:lang w:val="en-US" w:eastAsia="en-US"/>
        </w:rPr>
        <w:t>British Journal of Social Work</w:t>
      </w:r>
      <w:r w:rsidRPr="00EF28CA">
        <w:rPr>
          <w:rFonts w:eastAsia="MS Mincho"/>
          <w:color w:val="auto"/>
          <w:sz w:val="22"/>
          <w:szCs w:val="22"/>
          <w:lang w:val="en-US" w:eastAsia="en-US"/>
        </w:rPr>
        <w:t xml:space="preserve">, 51(4), pp. 1482–1508. [Online]. Available at: </w:t>
      </w:r>
      <w:hyperlink r:id="rId23" w:history="1">
        <w:r w:rsidRPr="00EF28CA">
          <w:rPr>
            <w:rFonts w:eastAsia="MS Mincho"/>
            <w:color w:val="0000FF"/>
            <w:sz w:val="22"/>
            <w:szCs w:val="22"/>
            <w:u w:val="single"/>
            <w:lang w:val="en-US" w:eastAsia="en-US"/>
          </w:rPr>
          <w:t>https://doi.org/10.1093/bjsw/bcab054</w:t>
        </w:r>
      </w:hyperlink>
      <w:r w:rsidRPr="00EF28CA">
        <w:rPr>
          <w:rFonts w:eastAsia="MS Mincho"/>
          <w:color w:val="auto"/>
          <w:sz w:val="22"/>
          <w:szCs w:val="22"/>
          <w:lang w:val="en-US" w:eastAsia="en-US"/>
        </w:rPr>
        <w:t xml:space="preserve">  (Accessed: 19 September 2025).</w:t>
      </w:r>
    </w:p>
    <w:p w14:paraId="3D3079E9"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Olokotor, P.N.C., Prince-Olokotor, I. and Tembo, T. (2024). Rethinking kinship care in England and Wales: A critique of law and practice. </w:t>
      </w:r>
      <w:r w:rsidRPr="00EF28CA">
        <w:rPr>
          <w:rFonts w:eastAsia="MS Mincho"/>
          <w:i/>
          <w:iCs/>
          <w:color w:val="auto"/>
          <w:sz w:val="22"/>
          <w:szCs w:val="22"/>
          <w:lang w:eastAsia="en-US"/>
        </w:rPr>
        <w:t>Journal of Law, Policy and Globalization</w:t>
      </w:r>
      <w:r w:rsidRPr="00EF28CA">
        <w:rPr>
          <w:rFonts w:eastAsia="MS Mincho"/>
          <w:color w:val="auto"/>
          <w:sz w:val="22"/>
          <w:szCs w:val="22"/>
          <w:lang w:eastAsia="en-US"/>
        </w:rPr>
        <w:t xml:space="preserve">, 141, pp.66–78. [Online]. Available at: </w:t>
      </w:r>
      <w:hyperlink r:id="rId24" w:history="1">
        <w:r w:rsidRPr="00EF28CA">
          <w:rPr>
            <w:rFonts w:eastAsia="MS Mincho"/>
            <w:color w:val="0000FF"/>
            <w:sz w:val="22"/>
            <w:szCs w:val="22"/>
            <w:u w:val="single"/>
            <w:lang w:eastAsia="en-US"/>
          </w:rPr>
          <w:t>https://www.iiste.org/Journals/index.php/JLPG/article/view/62343</w:t>
        </w:r>
      </w:hyperlink>
      <w:r w:rsidRPr="00EF28CA">
        <w:rPr>
          <w:rFonts w:eastAsia="MS Mincho"/>
          <w:color w:val="auto"/>
          <w:sz w:val="22"/>
          <w:szCs w:val="22"/>
          <w:lang w:eastAsia="en-US"/>
        </w:rPr>
        <w:t xml:space="preserve">  (Accessed: 30 September 2025).</w:t>
      </w:r>
    </w:p>
    <w:p w14:paraId="07C1BF7B"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Phillips, J., Ainslie, S., Fowler, A. and Westaby, C. (2022). ‘What does professional curiosity mean to you?’: An exploration of professional curiosity in probation. </w:t>
      </w:r>
      <w:r w:rsidRPr="00EF28CA">
        <w:rPr>
          <w:rFonts w:eastAsia="MS Mincho"/>
          <w:i/>
          <w:iCs/>
          <w:color w:val="auto"/>
          <w:sz w:val="22"/>
          <w:szCs w:val="22"/>
          <w:lang w:eastAsia="en-US"/>
        </w:rPr>
        <w:t>The British Journal of Social Work</w:t>
      </w:r>
      <w:r w:rsidRPr="00EF28CA">
        <w:rPr>
          <w:rFonts w:eastAsia="MS Mincho"/>
          <w:color w:val="auto"/>
          <w:sz w:val="22"/>
          <w:szCs w:val="22"/>
          <w:lang w:eastAsia="en-US"/>
        </w:rPr>
        <w:t xml:space="preserve">, 52(1), pp.554–572. [Online]. Available at: </w:t>
      </w:r>
      <w:hyperlink r:id="rId25" w:history="1">
        <w:r w:rsidRPr="00EF28CA">
          <w:rPr>
            <w:rFonts w:eastAsia="MS Mincho"/>
            <w:color w:val="0000FF"/>
            <w:sz w:val="22"/>
            <w:szCs w:val="22"/>
            <w:u w:val="single"/>
            <w:lang w:eastAsia="en-US"/>
          </w:rPr>
          <w:t>https://academic.oup.com/bjsw/article-abstract/52/1/554/6134870</w:t>
        </w:r>
      </w:hyperlink>
      <w:r w:rsidRPr="00EF28CA">
        <w:rPr>
          <w:rFonts w:eastAsia="MS Mincho"/>
          <w:color w:val="auto"/>
          <w:sz w:val="22"/>
          <w:szCs w:val="22"/>
          <w:lang w:eastAsia="en-US"/>
        </w:rPr>
        <w:t xml:space="preserve">  (Accessed: 30 September 2025).</w:t>
      </w:r>
    </w:p>
    <w:p w14:paraId="2EDB9160"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Ravalier, J.M., Wegrzynek, P., Mitchell, A., McGowan, J., McFadden, P. and Bald, C. (2023). A rapid review of reflective supervision in social work. </w:t>
      </w:r>
      <w:r w:rsidRPr="00EF28CA">
        <w:rPr>
          <w:rFonts w:eastAsia="MS Mincho"/>
          <w:i/>
          <w:iCs/>
          <w:color w:val="auto"/>
          <w:sz w:val="22"/>
          <w:szCs w:val="22"/>
          <w:lang w:eastAsia="en-US"/>
        </w:rPr>
        <w:t>The British Journal of Social Work</w:t>
      </w:r>
      <w:r w:rsidRPr="00EF28CA">
        <w:rPr>
          <w:rFonts w:eastAsia="MS Mincho"/>
          <w:color w:val="auto"/>
          <w:sz w:val="22"/>
          <w:szCs w:val="22"/>
          <w:lang w:eastAsia="en-US"/>
        </w:rPr>
        <w:t xml:space="preserve">, 53(4), pp.1945–1962. [Online]. Available at: </w:t>
      </w:r>
      <w:hyperlink r:id="rId26" w:history="1">
        <w:r w:rsidRPr="00EF28CA">
          <w:rPr>
            <w:rFonts w:eastAsia="MS Mincho"/>
            <w:color w:val="0000FF"/>
            <w:sz w:val="22"/>
            <w:szCs w:val="22"/>
            <w:u w:val="single"/>
            <w:lang w:eastAsia="en-US"/>
          </w:rPr>
          <w:t>https://academic.oup.com/bjsw/article/53/4/1945/6884098</w:t>
        </w:r>
      </w:hyperlink>
      <w:r w:rsidRPr="00EF28CA">
        <w:rPr>
          <w:rFonts w:eastAsia="MS Mincho"/>
          <w:color w:val="auto"/>
          <w:sz w:val="22"/>
          <w:szCs w:val="22"/>
          <w:lang w:eastAsia="en-US"/>
        </w:rPr>
        <w:t xml:space="preserve">  (Accessed: 30 September 2025).</w:t>
      </w:r>
    </w:p>
    <w:p w14:paraId="3864D27D"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val="en-US" w:eastAsia="en-US"/>
        </w:rPr>
      </w:pPr>
      <w:r w:rsidRPr="00EF28CA">
        <w:rPr>
          <w:rFonts w:eastAsia="MS Mincho"/>
          <w:color w:val="auto"/>
          <w:sz w:val="22"/>
          <w:szCs w:val="22"/>
          <w:lang w:val="en-US" w:eastAsia="en-US"/>
        </w:rPr>
        <w:lastRenderedPageBreak/>
        <w:t>Ruch, G., Turney, D. and Ward, A. (2010). Relationship-Based Social Work: Getting to the Heart of Practice. London: Jessica Kingsley Publishers.</w:t>
      </w:r>
    </w:p>
    <w:p w14:paraId="0EEBCB3F"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Saraw, A. (2009). Ecological Systems Theory and Child Welfare Practice: A Review of the Literature. </w:t>
      </w:r>
      <w:r w:rsidRPr="00EF28CA">
        <w:rPr>
          <w:rFonts w:eastAsia="MS Mincho"/>
          <w:i/>
          <w:iCs/>
          <w:color w:val="auto"/>
          <w:sz w:val="22"/>
          <w:szCs w:val="22"/>
          <w:lang w:eastAsia="en-US"/>
        </w:rPr>
        <w:t>Child and Youth Services Review</w:t>
      </w:r>
      <w:r w:rsidRPr="00EF28CA">
        <w:rPr>
          <w:rFonts w:eastAsia="MS Mincho"/>
          <w:color w:val="auto"/>
          <w:sz w:val="22"/>
          <w:szCs w:val="22"/>
          <w:lang w:eastAsia="en-US"/>
        </w:rPr>
        <w:t>, 31(9), pp.1010–1018.</w:t>
      </w:r>
    </w:p>
    <w:p w14:paraId="06E0EE75"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Social Care Wales. (2011). </w:t>
      </w:r>
      <w:r w:rsidRPr="00EF28CA">
        <w:rPr>
          <w:rFonts w:eastAsia="MS Mincho"/>
          <w:i/>
          <w:iCs/>
          <w:color w:val="auto"/>
          <w:sz w:val="22"/>
          <w:szCs w:val="22"/>
          <w:lang w:eastAsia="en-US"/>
        </w:rPr>
        <w:t>National Occupational Standards for Social Work</w:t>
      </w:r>
      <w:r w:rsidRPr="00EF28CA">
        <w:rPr>
          <w:rFonts w:eastAsia="MS Mincho"/>
          <w:color w:val="auto"/>
          <w:sz w:val="22"/>
          <w:szCs w:val="22"/>
          <w:lang w:eastAsia="en-US"/>
        </w:rPr>
        <w:t xml:space="preserve">. [Online]. Available at: </w:t>
      </w:r>
      <w:hyperlink r:id="rId27" w:history="1">
        <w:r w:rsidRPr="00EF28CA">
          <w:rPr>
            <w:rFonts w:eastAsia="MS Mincho"/>
            <w:color w:val="0000FF"/>
            <w:sz w:val="22"/>
            <w:szCs w:val="22"/>
            <w:u w:val="single"/>
            <w:lang w:eastAsia="en-US"/>
          </w:rPr>
          <w:t>https://socialcare.wales/resources-guidance/early-years-and-childcare/national-occupational-standards-nos</w:t>
        </w:r>
      </w:hyperlink>
      <w:r w:rsidRPr="00EF28CA">
        <w:rPr>
          <w:rFonts w:eastAsia="MS Mincho"/>
          <w:color w:val="auto"/>
          <w:sz w:val="22"/>
          <w:szCs w:val="22"/>
          <w:lang w:eastAsia="en-US"/>
        </w:rPr>
        <w:t xml:space="preserve">  (Accessed: 30 September 2025).</w:t>
      </w:r>
    </w:p>
    <w:p w14:paraId="7E28A550"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val="en-US" w:eastAsia="en-US"/>
        </w:rPr>
        <w:t xml:space="preserve">Social Care Wales. (2017). </w:t>
      </w:r>
      <w:r w:rsidRPr="00EF28CA">
        <w:rPr>
          <w:rFonts w:eastAsia="MS Mincho"/>
          <w:i/>
          <w:iCs/>
          <w:color w:val="auto"/>
          <w:sz w:val="22"/>
          <w:szCs w:val="22"/>
          <w:lang w:val="en-US" w:eastAsia="en-US"/>
        </w:rPr>
        <w:t>Code of Professional Practice for Social Care</w:t>
      </w:r>
      <w:r w:rsidRPr="00EF28CA">
        <w:rPr>
          <w:rFonts w:eastAsia="MS Mincho"/>
          <w:color w:val="auto"/>
          <w:sz w:val="22"/>
          <w:szCs w:val="22"/>
          <w:lang w:val="en-US" w:eastAsia="en-US"/>
        </w:rPr>
        <w:t xml:space="preserve">. [Online]. Available at: </w:t>
      </w:r>
      <w:hyperlink r:id="rId28" w:history="1">
        <w:r w:rsidRPr="00EF28CA">
          <w:rPr>
            <w:rFonts w:eastAsia="MS Mincho"/>
            <w:color w:val="0000FF"/>
            <w:sz w:val="22"/>
            <w:szCs w:val="22"/>
            <w:u w:val="single"/>
            <w:lang w:val="en-US" w:eastAsia="en-US"/>
          </w:rPr>
          <w:t>https://socialcare.wales/cms-assets/documents/Code-of-Professional-Practice-for-Social-Care-web-version.pdf</w:t>
        </w:r>
      </w:hyperlink>
      <w:r w:rsidRPr="00EF28CA">
        <w:rPr>
          <w:rFonts w:eastAsia="MS Mincho"/>
          <w:color w:val="auto"/>
          <w:sz w:val="22"/>
          <w:szCs w:val="22"/>
          <w:lang w:val="en-US" w:eastAsia="en-US"/>
        </w:rPr>
        <w:t xml:space="preserve">  (Accessed: 19 September 2025).</w:t>
      </w:r>
    </w:p>
    <w:p w14:paraId="785AF1B5"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Social Care Wales. (2019). </w:t>
      </w:r>
      <w:r w:rsidRPr="00EF28CA">
        <w:rPr>
          <w:rFonts w:eastAsia="MS Mincho"/>
          <w:i/>
          <w:iCs/>
          <w:color w:val="auto"/>
          <w:sz w:val="22"/>
          <w:szCs w:val="22"/>
          <w:lang w:eastAsia="en-US"/>
        </w:rPr>
        <w:t>Wales Safeguarding Procedures</w:t>
      </w:r>
      <w:r w:rsidRPr="00EF28CA">
        <w:rPr>
          <w:rFonts w:eastAsia="MS Mincho"/>
          <w:color w:val="auto"/>
          <w:sz w:val="22"/>
          <w:szCs w:val="22"/>
          <w:lang w:eastAsia="en-US"/>
        </w:rPr>
        <w:t xml:space="preserve">. [Online]. Available at: </w:t>
      </w:r>
      <w:hyperlink r:id="rId29" w:history="1">
        <w:r w:rsidRPr="00EF28CA">
          <w:rPr>
            <w:rFonts w:eastAsia="MS Mincho"/>
            <w:color w:val="0000FF"/>
            <w:sz w:val="22"/>
            <w:szCs w:val="22"/>
            <w:u w:val="single"/>
            <w:lang w:eastAsia="en-US"/>
          </w:rPr>
          <w:t>https://safeguarding.wales</w:t>
        </w:r>
      </w:hyperlink>
      <w:r w:rsidRPr="00EF28CA">
        <w:rPr>
          <w:rFonts w:eastAsia="MS Mincho"/>
          <w:color w:val="auto"/>
          <w:sz w:val="22"/>
          <w:szCs w:val="22"/>
          <w:lang w:eastAsia="en-US"/>
        </w:rPr>
        <w:t xml:space="preserve">  [Accessed 30 Sep. 2025].</w:t>
      </w:r>
    </w:p>
    <w:p w14:paraId="53F7B280"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val="en-US" w:eastAsia="en-US"/>
        </w:rPr>
        <w:t xml:space="preserve">Social Care Wales. (2021). </w:t>
      </w:r>
      <w:r w:rsidRPr="00EF28CA">
        <w:rPr>
          <w:rFonts w:eastAsia="MS Mincho"/>
          <w:i/>
          <w:iCs/>
          <w:color w:val="auto"/>
          <w:sz w:val="22"/>
          <w:szCs w:val="22"/>
          <w:lang w:val="en-US" w:eastAsia="en-US"/>
        </w:rPr>
        <w:t>Code of Professional Practice for Social Care</w:t>
      </w:r>
      <w:r w:rsidRPr="00EF28CA">
        <w:rPr>
          <w:rFonts w:eastAsia="MS Mincho"/>
          <w:color w:val="auto"/>
          <w:sz w:val="22"/>
          <w:szCs w:val="22"/>
          <w:lang w:val="en-US" w:eastAsia="en-US"/>
        </w:rPr>
        <w:t xml:space="preserve">. [Online]. Available at: </w:t>
      </w:r>
      <w:hyperlink r:id="rId30" w:history="1">
        <w:r w:rsidRPr="00EF28CA">
          <w:rPr>
            <w:rFonts w:eastAsia="MS Mincho"/>
            <w:color w:val="0000FF"/>
            <w:sz w:val="22"/>
            <w:szCs w:val="22"/>
            <w:u w:val="single"/>
            <w:lang w:val="en-US" w:eastAsia="en-US"/>
          </w:rPr>
          <w:t>https://socialcare.wales/dealing-with-concerns/codes-of-practice-and-guidance</w:t>
        </w:r>
      </w:hyperlink>
      <w:r w:rsidRPr="00EF28CA">
        <w:rPr>
          <w:rFonts w:eastAsia="MS Mincho"/>
          <w:color w:val="auto"/>
          <w:sz w:val="22"/>
          <w:szCs w:val="22"/>
          <w:lang w:val="en-US" w:eastAsia="en-US"/>
        </w:rPr>
        <w:t xml:space="preserve">  (Accessed: 30 September 2025).</w:t>
      </w:r>
    </w:p>
    <w:p w14:paraId="6087BB2E"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The Care Planning, Placement and Case Review (Wales) Regulations 2015. (SI 2015/1818 (W.261)). [Online]. Available at: </w:t>
      </w:r>
      <w:hyperlink r:id="rId31" w:history="1">
        <w:r w:rsidRPr="00EF28CA">
          <w:rPr>
            <w:rFonts w:eastAsia="MS Mincho"/>
            <w:color w:val="0000FF"/>
            <w:sz w:val="22"/>
            <w:szCs w:val="22"/>
            <w:u w:val="single"/>
            <w:lang w:eastAsia="en-US"/>
          </w:rPr>
          <w:t>https://www.legislation.gov.uk/wsi/2015/1818/contents</w:t>
        </w:r>
      </w:hyperlink>
      <w:r w:rsidRPr="00EF28CA">
        <w:rPr>
          <w:rFonts w:eastAsia="MS Mincho"/>
          <w:color w:val="auto"/>
          <w:sz w:val="22"/>
          <w:szCs w:val="22"/>
          <w:lang w:eastAsia="en-US"/>
        </w:rPr>
        <w:t xml:space="preserve">  [Accessed 30 Sep. 2025].</w:t>
      </w:r>
    </w:p>
    <w:p w14:paraId="5224B604"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val="en-US" w:eastAsia="en-US"/>
        </w:rPr>
      </w:pPr>
      <w:r w:rsidRPr="00EF28CA">
        <w:rPr>
          <w:rFonts w:eastAsia="MS Mincho"/>
          <w:color w:val="auto"/>
          <w:sz w:val="22"/>
          <w:szCs w:val="22"/>
          <w:lang w:val="en-US" w:eastAsia="en-US"/>
        </w:rPr>
        <w:t xml:space="preserve">The Fostering Network. (2025). </w:t>
      </w:r>
      <w:r w:rsidRPr="00EF28CA">
        <w:rPr>
          <w:rFonts w:eastAsia="MS Mincho"/>
          <w:i/>
          <w:iCs/>
          <w:color w:val="auto"/>
          <w:sz w:val="22"/>
          <w:szCs w:val="22"/>
          <w:lang w:val="en-US" w:eastAsia="en-US"/>
        </w:rPr>
        <w:t>Fostering legislation, guidance and best practice</w:t>
      </w:r>
      <w:r w:rsidRPr="00EF28CA">
        <w:rPr>
          <w:rFonts w:eastAsia="MS Mincho"/>
          <w:color w:val="auto"/>
          <w:sz w:val="22"/>
          <w:szCs w:val="22"/>
          <w:lang w:val="en-US" w:eastAsia="en-US"/>
        </w:rPr>
        <w:t xml:space="preserve">. [Online]. Available at: </w:t>
      </w:r>
      <w:hyperlink r:id="rId32" w:history="1">
        <w:r w:rsidRPr="00EF28CA">
          <w:rPr>
            <w:rFonts w:eastAsia="MS Mincho"/>
            <w:color w:val="0000FF"/>
            <w:sz w:val="22"/>
            <w:szCs w:val="22"/>
            <w:u w:val="single"/>
            <w:lang w:val="en-US" w:eastAsia="en-US"/>
          </w:rPr>
          <w:t>https://www.thefosteringnetwork.org.uk/about-fostering/for-fostering-services/legislation-guidance-and-best-practice/fostering-legislation-guidance-and-best-practice</w:t>
        </w:r>
      </w:hyperlink>
      <w:r w:rsidRPr="00EF28CA">
        <w:rPr>
          <w:rFonts w:eastAsia="MS Mincho"/>
          <w:color w:val="auto"/>
          <w:sz w:val="22"/>
          <w:szCs w:val="22"/>
          <w:lang w:val="en-US" w:eastAsia="en-US"/>
        </w:rPr>
        <w:t xml:space="preserve">  (Accessed: 19 September 2025).</w:t>
      </w:r>
    </w:p>
    <w:p w14:paraId="65679D47"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val="en-US" w:eastAsia="en-US"/>
        </w:rPr>
      </w:pPr>
      <w:r w:rsidRPr="00EF28CA">
        <w:rPr>
          <w:rFonts w:eastAsia="MS Mincho"/>
          <w:color w:val="auto"/>
          <w:sz w:val="22"/>
          <w:szCs w:val="22"/>
          <w:lang w:val="en-US" w:eastAsia="en-US"/>
        </w:rPr>
        <w:t xml:space="preserve">The Health Foundation. (2014). </w:t>
      </w:r>
      <w:r w:rsidRPr="00EF28CA">
        <w:rPr>
          <w:rFonts w:eastAsia="MS Mincho"/>
          <w:i/>
          <w:iCs/>
          <w:color w:val="auto"/>
          <w:sz w:val="22"/>
          <w:szCs w:val="22"/>
          <w:lang w:val="en-US" w:eastAsia="en-US"/>
        </w:rPr>
        <w:t>Person-centred care: From ideas to action</w:t>
      </w:r>
      <w:r w:rsidRPr="00EF28CA">
        <w:rPr>
          <w:rFonts w:eastAsia="MS Mincho"/>
          <w:color w:val="auto"/>
          <w:sz w:val="22"/>
          <w:szCs w:val="22"/>
          <w:lang w:val="en-US" w:eastAsia="en-US"/>
        </w:rPr>
        <w:t xml:space="preserve">. London: The Health Foundation. [Online]. Available at: </w:t>
      </w:r>
      <w:hyperlink r:id="rId33" w:history="1">
        <w:r w:rsidRPr="00EF28CA">
          <w:rPr>
            <w:rFonts w:eastAsia="MS Mincho"/>
            <w:color w:val="0000FF"/>
            <w:sz w:val="22"/>
            <w:szCs w:val="22"/>
            <w:u w:val="single"/>
            <w:lang w:val="en-US" w:eastAsia="en-US"/>
          </w:rPr>
          <w:t>https://www.health.org.uk/sites/default/files/PersonCentredCareFromIdeasToAction.pdf</w:t>
        </w:r>
      </w:hyperlink>
      <w:r w:rsidRPr="00EF28CA">
        <w:rPr>
          <w:rFonts w:eastAsia="MS Mincho"/>
          <w:color w:val="auto"/>
          <w:sz w:val="22"/>
          <w:szCs w:val="22"/>
          <w:lang w:val="en-US" w:eastAsia="en-US"/>
        </w:rPr>
        <w:t xml:space="preserve"> [Accessed: 19 September 2025].</w:t>
      </w:r>
    </w:p>
    <w:p w14:paraId="5309A73A"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val="en-US" w:eastAsia="en-US"/>
        </w:rPr>
        <w:t xml:space="preserve">The Social Work Graduate. (2025). </w:t>
      </w:r>
      <w:r w:rsidRPr="00EF28CA">
        <w:rPr>
          <w:rFonts w:eastAsia="MS Mincho"/>
          <w:i/>
          <w:iCs/>
          <w:color w:val="auto"/>
          <w:sz w:val="22"/>
          <w:szCs w:val="22"/>
          <w:lang w:val="en-US" w:eastAsia="en-US"/>
        </w:rPr>
        <w:t>Empowerment</w:t>
      </w:r>
      <w:r w:rsidRPr="00EF28CA">
        <w:rPr>
          <w:rFonts w:eastAsia="MS Mincho"/>
          <w:color w:val="auto"/>
          <w:sz w:val="22"/>
          <w:szCs w:val="22"/>
          <w:lang w:val="en-US" w:eastAsia="en-US"/>
        </w:rPr>
        <w:t xml:space="preserve">. [Online]. Available at: </w:t>
      </w:r>
      <w:hyperlink r:id="rId34" w:history="1">
        <w:r w:rsidRPr="00EF28CA">
          <w:rPr>
            <w:rFonts w:eastAsia="MS Mincho"/>
            <w:color w:val="0000FF"/>
            <w:sz w:val="22"/>
            <w:szCs w:val="22"/>
            <w:u w:val="single"/>
            <w:lang w:val="en-US" w:eastAsia="en-US"/>
          </w:rPr>
          <w:t>https://www.thesocialworkgraduate.com/post/empowerment</w:t>
        </w:r>
      </w:hyperlink>
      <w:r w:rsidRPr="00EF28CA">
        <w:rPr>
          <w:rFonts w:eastAsia="MS Mincho"/>
          <w:color w:val="auto"/>
          <w:sz w:val="22"/>
          <w:szCs w:val="22"/>
          <w:lang w:val="en-US" w:eastAsia="en-US"/>
        </w:rPr>
        <w:t xml:space="preserve">  (Accessed: 19 September 2025).</w:t>
      </w:r>
    </w:p>
    <w:p w14:paraId="34612E45"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val="en-US" w:eastAsia="en-US"/>
        </w:rPr>
      </w:pPr>
      <w:r w:rsidRPr="00EF28CA">
        <w:rPr>
          <w:rFonts w:eastAsia="MS Mincho"/>
          <w:color w:val="auto"/>
          <w:sz w:val="22"/>
          <w:szCs w:val="22"/>
          <w:lang w:val="en-US" w:eastAsia="en-US"/>
        </w:rPr>
        <w:t xml:space="preserve">UK Government. (1998). </w:t>
      </w:r>
      <w:r w:rsidRPr="00EF28CA">
        <w:rPr>
          <w:rFonts w:eastAsia="MS Mincho"/>
          <w:i/>
          <w:iCs/>
          <w:color w:val="auto"/>
          <w:sz w:val="22"/>
          <w:szCs w:val="22"/>
          <w:lang w:val="en-US" w:eastAsia="en-US"/>
        </w:rPr>
        <w:t>Human Rights Act 1998</w:t>
      </w:r>
      <w:r w:rsidRPr="00EF28CA">
        <w:rPr>
          <w:rFonts w:eastAsia="MS Mincho"/>
          <w:color w:val="auto"/>
          <w:sz w:val="22"/>
          <w:szCs w:val="22"/>
          <w:lang w:val="en-US" w:eastAsia="en-US"/>
        </w:rPr>
        <w:t xml:space="preserve">, c.42, Schedule 1, Part I, Article 8. [Online]. Available at: </w:t>
      </w:r>
      <w:hyperlink r:id="rId35" w:history="1">
        <w:r w:rsidRPr="00EF28CA">
          <w:rPr>
            <w:rFonts w:eastAsia="MS Mincho"/>
            <w:color w:val="0000FF"/>
            <w:sz w:val="22"/>
            <w:szCs w:val="22"/>
            <w:u w:val="single"/>
            <w:lang w:val="en-US" w:eastAsia="en-US"/>
          </w:rPr>
          <w:t>https://www.legislation.gov.uk/ukpga/1998/42/schedule/1/part/I/chapter/7</w:t>
        </w:r>
      </w:hyperlink>
      <w:r w:rsidRPr="00EF28CA">
        <w:rPr>
          <w:rFonts w:eastAsia="MS Mincho"/>
          <w:color w:val="auto"/>
          <w:sz w:val="22"/>
          <w:szCs w:val="22"/>
          <w:lang w:val="en-US" w:eastAsia="en-US"/>
        </w:rPr>
        <w:t xml:space="preserve">  (Accessed: 30 September 2025).</w:t>
      </w:r>
    </w:p>
    <w:p w14:paraId="0F38CA83"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val="en-US" w:eastAsia="en-US"/>
        </w:rPr>
      </w:pPr>
      <w:r w:rsidRPr="00EF28CA">
        <w:rPr>
          <w:rFonts w:eastAsia="MS Mincho"/>
          <w:color w:val="auto"/>
          <w:sz w:val="22"/>
          <w:szCs w:val="22"/>
          <w:lang w:val="en-US" w:eastAsia="en-US"/>
        </w:rPr>
        <w:t xml:space="preserve">Understanding Welsh Places. (2025). </w:t>
      </w:r>
      <w:r w:rsidRPr="00EF28CA">
        <w:rPr>
          <w:rFonts w:eastAsia="MS Mincho"/>
          <w:i/>
          <w:iCs/>
          <w:color w:val="auto"/>
          <w:sz w:val="22"/>
          <w:szCs w:val="22"/>
          <w:lang w:val="en-US" w:eastAsia="en-US"/>
        </w:rPr>
        <w:t>Understanding Welsh Places</w:t>
      </w:r>
      <w:r w:rsidRPr="00EF28CA">
        <w:rPr>
          <w:rFonts w:eastAsia="MS Mincho"/>
          <w:color w:val="auto"/>
          <w:sz w:val="22"/>
          <w:szCs w:val="22"/>
          <w:lang w:val="en-US" w:eastAsia="en-US"/>
        </w:rPr>
        <w:t xml:space="preserve">. Cardiff: Wales Institute of Social and Economic Research and Data. [Online]. Available at: </w:t>
      </w:r>
      <w:hyperlink r:id="rId36" w:history="1">
        <w:r w:rsidRPr="00EF28CA">
          <w:rPr>
            <w:rFonts w:eastAsia="MS Mincho"/>
            <w:color w:val="0000FF"/>
            <w:sz w:val="22"/>
            <w:szCs w:val="22"/>
            <w:u w:val="single"/>
            <w:lang w:val="en-US" w:eastAsia="en-US"/>
          </w:rPr>
          <w:t>http://www.understandingwelshplaces.wales</w:t>
        </w:r>
      </w:hyperlink>
      <w:r w:rsidRPr="00EF28CA">
        <w:rPr>
          <w:rFonts w:eastAsia="MS Mincho"/>
          <w:color w:val="auto"/>
          <w:sz w:val="22"/>
          <w:szCs w:val="22"/>
          <w:lang w:val="en-US" w:eastAsia="en-US"/>
        </w:rPr>
        <w:t xml:space="preserve">  [Accessed: 19 September 2025].</w:t>
      </w:r>
    </w:p>
    <w:p w14:paraId="10BDB4F9"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Violence Against Women, Domestic Abuse and Sexual Violence (Wales) Act 2015. (anaw 3). [Online]. Available at: </w:t>
      </w:r>
      <w:hyperlink r:id="rId37" w:history="1">
        <w:r w:rsidRPr="00EF28CA">
          <w:rPr>
            <w:rFonts w:eastAsia="MS Mincho"/>
            <w:color w:val="0000FF"/>
            <w:sz w:val="22"/>
            <w:szCs w:val="22"/>
            <w:u w:val="single"/>
            <w:lang w:eastAsia="en-US"/>
          </w:rPr>
          <w:t>https://www.legislation.gov.uk/anaw/2015/3/contents</w:t>
        </w:r>
      </w:hyperlink>
      <w:r w:rsidRPr="00EF28CA">
        <w:rPr>
          <w:rFonts w:eastAsia="MS Mincho"/>
          <w:color w:val="auto"/>
          <w:sz w:val="22"/>
          <w:szCs w:val="22"/>
          <w:lang w:eastAsia="en-US"/>
        </w:rPr>
        <w:t xml:space="preserve">  [Accessed 30 Sep. 2025].</w:t>
      </w:r>
    </w:p>
    <w:p w14:paraId="58D45C78"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val="en-US" w:eastAsia="en-US"/>
        </w:rPr>
      </w:pPr>
      <w:r w:rsidRPr="00EF28CA">
        <w:rPr>
          <w:rFonts w:eastAsia="MS Mincho"/>
          <w:color w:val="auto"/>
          <w:sz w:val="22"/>
          <w:szCs w:val="22"/>
          <w:lang w:val="en-US" w:eastAsia="en-US"/>
        </w:rPr>
        <w:lastRenderedPageBreak/>
        <w:t xml:space="preserve">Welsh Government. (2014). </w:t>
      </w:r>
      <w:r w:rsidRPr="00EF28CA">
        <w:rPr>
          <w:rFonts w:eastAsia="MS Mincho"/>
          <w:i/>
          <w:iCs/>
          <w:color w:val="auto"/>
          <w:sz w:val="22"/>
          <w:szCs w:val="22"/>
          <w:lang w:val="en-US" w:eastAsia="en-US"/>
        </w:rPr>
        <w:t>Social Services and Well-being (Wales) Act 2014</w:t>
      </w:r>
      <w:r w:rsidRPr="00EF28CA">
        <w:rPr>
          <w:rFonts w:eastAsia="MS Mincho"/>
          <w:color w:val="auto"/>
          <w:sz w:val="22"/>
          <w:szCs w:val="22"/>
          <w:lang w:val="en-US" w:eastAsia="en-US"/>
        </w:rPr>
        <w:t xml:space="preserve">. [Online]. Available at: </w:t>
      </w:r>
      <w:hyperlink r:id="rId38" w:history="1">
        <w:r w:rsidRPr="00EF28CA">
          <w:rPr>
            <w:rFonts w:eastAsia="MS Mincho"/>
            <w:color w:val="0000FF"/>
            <w:sz w:val="22"/>
            <w:szCs w:val="22"/>
            <w:u w:val="single"/>
            <w:lang w:val="en-US" w:eastAsia="en-US"/>
          </w:rPr>
          <w:t>https://www.legislation.gov.uk/anaw/2014/4/contents</w:t>
        </w:r>
      </w:hyperlink>
      <w:r w:rsidRPr="00EF28CA">
        <w:rPr>
          <w:rFonts w:eastAsia="MS Mincho"/>
          <w:color w:val="auto"/>
          <w:sz w:val="22"/>
          <w:szCs w:val="22"/>
          <w:lang w:val="en-US" w:eastAsia="en-US"/>
        </w:rPr>
        <w:t xml:space="preserve">  (Accessed: 19 September 2025).</w:t>
      </w:r>
    </w:p>
    <w:p w14:paraId="65EC4148"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Welsh Government. (2015). </w:t>
      </w:r>
      <w:r w:rsidRPr="00EF28CA">
        <w:rPr>
          <w:rFonts w:eastAsia="MS Mincho"/>
          <w:i/>
          <w:iCs/>
          <w:color w:val="auto"/>
          <w:sz w:val="22"/>
          <w:szCs w:val="22"/>
          <w:lang w:eastAsia="en-US"/>
        </w:rPr>
        <w:t>Code of Practice on Assessing Care and Support Needs</w:t>
      </w:r>
      <w:r w:rsidRPr="00EF28CA">
        <w:rPr>
          <w:rFonts w:eastAsia="MS Mincho"/>
          <w:color w:val="auto"/>
          <w:sz w:val="22"/>
          <w:szCs w:val="22"/>
          <w:lang w:eastAsia="en-US"/>
        </w:rPr>
        <w:t xml:space="preserve">. [Online]. Available at: </w:t>
      </w:r>
      <w:hyperlink r:id="rId39" w:history="1">
        <w:r w:rsidRPr="00EF28CA">
          <w:rPr>
            <w:rFonts w:eastAsia="MS Mincho"/>
            <w:color w:val="0000FF"/>
            <w:sz w:val="22"/>
            <w:szCs w:val="22"/>
            <w:u w:val="single"/>
            <w:lang w:eastAsia="en-US"/>
          </w:rPr>
          <w:t>https://www.gov.wales/assessing-care-and-support-needs-individuals-code-practice</w:t>
        </w:r>
      </w:hyperlink>
      <w:r w:rsidRPr="00EF28CA">
        <w:rPr>
          <w:rFonts w:eastAsia="MS Mincho"/>
          <w:color w:val="auto"/>
          <w:sz w:val="22"/>
          <w:szCs w:val="22"/>
          <w:lang w:eastAsia="en-US"/>
        </w:rPr>
        <w:t xml:space="preserve">  [Accessed 30 Sep. 2025].</w:t>
      </w:r>
    </w:p>
    <w:p w14:paraId="33915141"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Welsh Government. (2015). </w:t>
      </w:r>
      <w:r w:rsidRPr="00EF28CA">
        <w:rPr>
          <w:rFonts w:eastAsia="MS Mincho"/>
          <w:i/>
          <w:iCs/>
          <w:color w:val="auto"/>
          <w:sz w:val="22"/>
          <w:szCs w:val="22"/>
          <w:lang w:eastAsia="en-US"/>
        </w:rPr>
        <w:t>More than just words: Delivering the ‘Active Offer’ – Information Pack for Social Services and Social Care</w:t>
      </w:r>
      <w:r w:rsidRPr="00EF28CA">
        <w:rPr>
          <w:rFonts w:eastAsia="MS Mincho"/>
          <w:color w:val="auto"/>
          <w:sz w:val="22"/>
          <w:szCs w:val="22"/>
          <w:lang w:eastAsia="en-US"/>
        </w:rPr>
        <w:t xml:space="preserve">. [Online]. Available at: </w:t>
      </w:r>
      <w:hyperlink r:id="rId40" w:history="1">
        <w:r w:rsidRPr="00EF28CA">
          <w:rPr>
            <w:rFonts w:eastAsia="MS Mincho"/>
            <w:color w:val="0000FF"/>
            <w:sz w:val="22"/>
            <w:szCs w:val="22"/>
            <w:u w:val="single"/>
            <w:lang w:eastAsia="en-US"/>
          </w:rPr>
          <w:t>https://www.gov.wales/sites/default/files/publications/2019-04/delivering-the-active-offer-information-pack-social-services-and-social-care.pdf</w:t>
        </w:r>
      </w:hyperlink>
      <w:r w:rsidRPr="00EF28CA">
        <w:rPr>
          <w:rFonts w:eastAsia="MS Mincho"/>
          <w:color w:val="auto"/>
          <w:sz w:val="22"/>
          <w:szCs w:val="22"/>
          <w:lang w:eastAsia="en-US"/>
        </w:rPr>
        <w:t xml:space="preserve">  [Accessed 30 Sep. 2025].</w:t>
      </w:r>
    </w:p>
    <w:p w14:paraId="68E70C3E"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Welsh Government. (2015). </w:t>
      </w:r>
      <w:r w:rsidRPr="00EF28CA">
        <w:rPr>
          <w:rFonts w:eastAsia="MS Mincho"/>
          <w:i/>
          <w:iCs/>
          <w:color w:val="auto"/>
          <w:sz w:val="22"/>
          <w:szCs w:val="22"/>
          <w:lang w:eastAsia="en-US"/>
        </w:rPr>
        <w:t>The Safeguarding Boards (Functions and Procedures) (Wales) Regulations 2015</w:t>
      </w:r>
      <w:r w:rsidRPr="00EF28CA">
        <w:rPr>
          <w:rFonts w:eastAsia="MS Mincho"/>
          <w:color w:val="auto"/>
          <w:sz w:val="22"/>
          <w:szCs w:val="22"/>
          <w:lang w:eastAsia="en-US"/>
        </w:rPr>
        <w:t xml:space="preserve">. [Online]. Available at: </w:t>
      </w:r>
      <w:hyperlink r:id="rId41" w:history="1">
        <w:r w:rsidRPr="00EF28CA">
          <w:rPr>
            <w:rFonts w:eastAsia="MS Mincho"/>
            <w:color w:val="0000FF"/>
            <w:sz w:val="22"/>
            <w:szCs w:val="22"/>
            <w:u w:val="single"/>
            <w:lang w:eastAsia="en-US"/>
          </w:rPr>
          <w:t>https://www.legislation.gov.uk/wsi/2015/1466/made</w:t>
        </w:r>
      </w:hyperlink>
      <w:r w:rsidRPr="00EF28CA">
        <w:rPr>
          <w:rFonts w:eastAsia="MS Mincho"/>
          <w:color w:val="auto"/>
          <w:sz w:val="22"/>
          <w:szCs w:val="22"/>
          <w:lang w:eastAsia="en-US"/>
        </w:rPr>
        <w:t xml:space="preserve"> (Accessed: 30 September 2025).</w:t>
      </w:r>
    </w:p>
    <w:p w14:paraId="02CD9A5E"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Welsh Government. (2018). </w:t>
      </w:r>
      <w:r w:rsidRPr="00EF28CA">
        <w:rPr>
          <w:rFonts w:eastAsia="MS Mincho"/>
          <w:i/>
          <w:iCs/>
          <w:color w:val="auto"/>
          <w:sz w:val="22"/>
          <w:szCs w:val="22"/>
          <w:lang w:eastAsia="en-US"/>
        </w:rPr>
        <w:t>Placement Outcomes for Children in Kinship Care: Research Report</w:t>
      </w:r>
      <w:r w:rsidRPr="00EF28CA">
        <w:rPr>
          <w:rFonts w:eastAsia="MS Mincho"/>
          <w:color w:val="auto"/>
          <w:sz w:val="22"/>
          <w:szCs w:val="22"/>
          <w:lang w:eastAsia="en-US"/>
        </w:rPr>
        <w:t xml:space="preserve">. [Online]. Available at: </w:t>
      </w:r>
      <w:hyperlink r:id="rId42" w:history="1">
        <w:r w:rsidRPr="00EF28CA">
          <w:rPr>
            <w:rFonts w:eastAsia="MS Mincho"/>
            <w:color w:val="0000FF"/>
            <w:sz w:val="22"/>
            <w:szCs w:val="22"/>
            <w:u w:val="single"/>
            <w:lang w:eastAsia="en-US"/>
          </w:rPr>
          <w:t>https://gov.wales/placement-outcomes-kinship-care</w:t>
        </w:r>
      </w:hyperlink>
      <w:r w:rsidRPr="00EF28CA">
        <w:rPr>
          <w:rFonts w:eastAsia="MS Mincho"/>
          <w:color w:val="auto"/>
          <w:sz w:val="22"/>
          <w:szCs w:val="22"/>
          <w:lang w:eastAsia="en-US"/>
        </w:rPr>
        <w:t xml:space="preserve"> [Accessed 30 Sep. 2025].</w:t>
      </w:r>
    </w:p>
    <w:p w14:paraId="24A7B495"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val="en-US" w:eastAsia="en-US"/>
        </w:rPr>
      </w:pPr>
      <w:r w:rsidRPr="00EF28CA">
        <w:rPr>
          <w:rFonts w:eastAsia="MS Mincho"/>
          <w:color w:val="auto"/>
          <w:sz w:val="22"/>
          <w:szCs w:val="22"/>
          <w:lang w:val="en-US" w:eastAsia="en-US"/>
        </w:rPr>
        <w:t xml:space="preserve">Welsh Government (2019). Guidance for providers and responsible individuals of regulated fostering services. (online) Available at: </w:t>
      </w:r>
      <w:hyperlink r:id="rId43" w:history="1">
        <w:r w:rsidRPr="00EF28CA">
          <w:rPr>
            <w:rFonts w:eastAsia="MS Mincho"/>
            <w:color w:val="0000FF"/>
            <w:sz w:val="22"/>
            <w:szCs w:val="22"/>
            <w:u w:val="single"/>
            <w:lang w:val="en-US" w:eastAsia="en-US"/>
          </w:rPr>
          <w:t>https://www.gov.wales/sites/default/files/publications/2019-04/guidance-for-providers-and-responsible-individuals-of-regulated-fostering-services.pdf</w:t>
        </w:r>
      </w:hyperlink>
      <w:r w:rsidRPr="00EF28CA">
        <w:rPr>
          <w:rFonts w:eastAsia="MS Mincho"/>
          <w:color w:val="auto"/>
          <w:sz w:val="22"/>
          <w:szCs w:val="22"/>
          <w:lang w:val="en-US" w:eastAsia="en-US"/>
        </w:rPr>
        <w:t xml:space="preserve">  [Accessed 19 Sep. 2025].</w:t>
      </w:r>
    </w:p>
    <w:p w14:paraId="50C786F5"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val="en-US" w:eastAsia="en-US"/>
        </w:rPr>
      </w:pPr>
      <w:r w:rsidRPr="00EF28CA">
        <w:rPr>
          <w:rFonts w:eastAsia="MS Mincho"/>
          <w:color w:val="auto"/>
          <w:sz w:val="22"/>
          <w:szCs w:val="22"/>
          <w:lang w:val="en-US" w:eastAsia="en-US"/>
        </w:rPr>
        <w:t xml:space="preserve">Welsh Government (2019). Statutory guidance for providers and responsible individuals of regulated fostering services. (online) Available at: </w:t>
      </w:r>
      <w:hyperlink r:id="rId44" w:history="1">
        <w:r w:rsidRPr="00EF28CA">
          <w:rPr>
            <w:rFonts w:eastAsia="MS Mincho"/>
            <w:color w:val="0000FF"/>
            <w:sz w:val="22"/>
            <w:szCs w:val="22"/>
            <w:u w:val="single"/>
            <w:lang w:val="en-US" w:eastAsia="en-US"/>
          </w:rPr>
          <w:t>https://www.gov.wales/sites/default/files/publications/2019-04/guidance-for-providers-and-responsible-individuals-of-regulated-fostering-services.pdf</w:t>
        </w:r>
      </w:hyperlink>
      <w:r w:rsidRPr="00EF28CA">
        <w:rPr>
          <w:rFonts w:eastAsia="MS Mincho"/>
          <w:color w:val="auto"/>
          <w:sz w:val="22"/>
          <w:szCs w:val="22"/>
          <w:lang w:val="en-US" w:eastAsia="en-US"/>
        </w:rPr>
        <w:t xml:space="preserve">  (Accessed: 19 September 2025).</w:t>
      </w:r>
    </w:p>
    <w:p w14:paraId="119132C8"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val="en-US" w:eastAsia="en-US"/>
        </w:rPr>
      </w:pPr>
      <w:r w:rsidRPr="00EF28CA">
        <w:rPr>
          <w:rFonts w:eastAsia="MS Mincho"/>
          <w:color w:val="auto"/>
          <w:sz w:val="22"/>
          <w:szCs w:val="22"/>
          <w:lang w:val="en-US" w:eastAsia="en-US"/>
        </w:rPr>
        <w:t xml:space="preserve">Welsh Government (2022). More than just words: Welsh language action plan 2022–2027. Cardiff: Welsh Government. (online) Available at: </w:t>
      </w:r>
      <w:hyperlink r:id="rId45" w:history="1">
        <w:r w:rsidRPr="00EF28CA">
          <w:rPr>
            <w:rFonts w:eastAsia="MS Mincho"/>
            <w:color w:val="0000FF"/>
            <w:sz w:val="22"/>
            <w:szCs w:val="22"/>
            <w:u w:val="single"/>
            <w:lang w:val="en-US" w:eastAsia="en-US"/>
          </w:rPr>
          <w:t>https://www.gov.wales/sites/default/files/publications/2022-07/more-than-just-words-action-plan-2022-2027.pdf</w:t>
        </w:r>
      </w:hyperlink>
      <w:r w:rsidRPr="00EF28CA">
        <w:rPr>
          <w:rFonts w:eastAsia="MS Mincho"/>
          <w:color w:val="auto"/>
          <w:sz w:val="22"/>
          <w:szCs w:val="22"/>
          <w:lang w:val="en-US" w:eastAsia="en-US"/>
        </w:rPr>
        <w:t xml:space="preserve">  [Accessed 19 Sep. 2025].</w:t>
      </w:r>
    </w:p>
    <w:p w14:paraId="0A55EAF7"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Welsh Government. (2022). </w:t>
      </w:r>
      <w:r w:rsidRPr="00EF28CA">
        <w:rPr>
          <w:rFonts w:eastAsia="MS Mincho"/>
          <w:i/>
          <w:iCs/>
          <w:color w:val="auto"/>
          <w:sz w:val="22"/>
          <w:szCs w:val="22"/>
          <w:lang w:eastAsia="en-US"/>
        </w:rPr>
        <w:t>Working Together to Safeguard People: Code of Safeguarding Practice</w:t>
      </w:r>
      <w:r w:rsidRPr="00EF28CA">
        <w:rPr>
          <w:rFonts w:eastAsia="MS Mincho"/>
          <w:color w:val="auto"/>
          <w:sz w:val="22"/>
          <w:szCs w:val="22"/>
          <w:lang w:eastAsia="en-US"/>
        </w:rPr>
        <w:t xml:space="preserve">. [Online]. Available at: </w:t>
      </w:r>
      <w:hyperlink r:id="rId46" w:history="1">
        <w:r w:rsidRPr="00EF28CA">
          <w:rPr>
            <w:rFonts w:eastAsia="MS Mincho"/>
            <w:color w:val="0000FF"/>
            <w:sz w:val="22"/>
            <w:szCs w:val="22"/>
            <w:u w:val="single"/>
            <w:lang w:eastAsia="en-US"/>
          </w:rPr>
          <w:t>https://www.gov.wales/working-together-safeguard-people-code-safeguarding-practice</w:t>
        </w:r>
      </w:hyperlink>
      <w:r w:rsidRPr="00EF28CA">
        <w:rPr>
          <w:rFonts w:eastAsia="MS Mincho"/>
          <w:color w:val="auto"/>
          <w:sz w:val="22"/>
          <w:szCs w:val="22"/>
          <w:lang w:eastAsia="en-US"/>
        </w:rPr>
        <w:t xml:space="preserve">  [Accessed 30 Sep. 2025].</w:t>
      </w:r>
    </w:p>
    <w:p w14:paraId="1D23C413"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Welsh Government. (2024). </w:t>
      </w:r>
      <w:r w:rsidRPr="00EF28CA">
        <w:rPr>
          <w:rFonts w:eastAsia="MS Mincho"/>
          <w:i/>
          <w:iCs/>
          <w:color w:val="auto"/>
          <w:sz w:val="22"/>
          <w:szCs w:val="22"/>
          <w:lang w:eastAsia="en-US"/>
        </w:rPr>
        <w:t>General Social Care Functions Code of Practice</w:t>
      </w:r>
      <w:r w:rsidRPr="00EF28CA">
        <w:rPr>
          <w:rFonts w:eastAsia="MS Mincho"/>
          <w:color w:val="auto"/>
          <w:sz w:val="22"/>
          <w:szCs w:val="22"/>
          <w:lang w:eastAsia="en-US"/>
        </w:rPr>
        <w:t xml:space="preserve">. [Online]. Available at: </w:t>
      </w:r>
      <w:hyperlink r:id="rId47" w:history="1">
        <w:r w:rsidRPr="00EF28CA">
          <w:rPr>
            <w:rFonts w:eastAsia="MS Mincho"/>
            <w:color w:val="0000FF"/>
            <w:sz w:val="22"/>
            <w:szCs w:val="22"/>
            <w:u w:val="single"/>
            <w:lang w:eastAsia="en-US"/>
          </w:rPr>
          <w:t>https://www.gov.wales/sites/default/files/publications/2024-07/part-2-code-of-practice-general-social-care-functions-2024-version.pdf</w:t>
        </w:r>
      </w:hyperlink>
      <w:r w:rsidRPr="00EF28CA">
        <w:rPr>
          <w:rFonts w:eastAsia="MS Mincho"/>
          <w:color w:val="auto"/>
          <w:sz w:val="22"/>
          <w:szCs w:val="22"/>
          <w:lang w:eastAsia="en-US"/>
        </w:rPr>
        <w:t xml:space="preserve"> [Accessed 30 Sep. 2025].</w:t>
      </w:r>
    </w:p>
    <w:p w14:paraId="0025C52D" w14:textId="77777777" w:rsidR="00EF28CA" w:rsidRPr="00EF28CA" w:rsidRDefault="00EF28CA" w:rsidP="00EF28CA">
      <w:pPr>
        <w:overflowPunct/>
        <w:autoSpaceDE/>
        <w:autoSpaceDN/>
        <w:adjustRightInd/>
        <w:spacing w:after="200" w:line="276" w:lineRule="auto"/>
        <w:textAlignment w:val="auto"/>
        <w:rPr>
          <w:rFonts w:eastAsia="MS Mincho"/>
          <w:color w:val="auto"/>
          <w:sz w:val="22"/>
          <w:szCs w:val="22"/>
          <w:lang w:eastAsia="en-US"/>
        </w:rPr>
      </w:pPr>
      <w:r w:rsidRPr="00EF28CA">
        <w:rPr>
          <w:rFonts w:eastAsia="MS Mincho"/>
          <w:color w:val="auto"/>
          <w:sz w:val="22"/>
          <w:szCs w:val="22"/>
          <w:lang w:eastAsia="en-US"/>
        </w:rPr>
        <w:t xml:space="preserve">Welsh Government. (2025). </w:t>
      </w:r>
      <w:r w:rsidRPr="00EF28CA">
        <w:rPr>
          <w:rFonts w:eastAsia="MS Mincho"/>
          <w:i/>
          <w:iCs/>
          <w:color w:val="auto"/>
          <w:sz w:val="22"/>
          <w:szCs w:val="22"/>
          <w:lang w:eastAsia="en-US"/>
        </w:rPr>
        <w:t>Safeguarding Guidance Collection</w:t>
      </w:r>
      <w:r w:rsidRPr="00EF28CA">
        <w:rPr>
          <w:rFonts w:eastAsia="MS Mincho"/>
          <w:color w:val="auto"/>
          <w:sz w:val="22"/>
          <w:szCs w:val="22"/>
          <w:lang w:eastAsia="en-US"/>
        </w:rPr>
        <w:t xml:space="preserve">. [Online]. Available at: </w:t>
      </w:r>
      <w:hyperlink r:id="rId48" w:history="1">
        <w:r w:rsidRPr="00EF28CA">
          <w:rPr>
            <w:rFonts w:eastAsia="MS Mincho"/>
            <w:color w:val="0000FF"/>
            <w:sz w:val="22"/>
            <w:szCs w:val="22"/>
            <w:u w:val="single"/>
            <w:lang w:eastAsia="en-US"/>
          </w:rPr>
          <w:t>https://www.gov.wales/safeguarding-guidance</w:t>
        </w:r>
      </w:hyperlink>
      <w:r w:rsidRPr="00EF28CA">
        <w:rPr>
          <w:rFonts w:eastAsia="MS Mincho"/>
          <w:color w:val="auto"/>
          <w:sz w:val="22"/>
          <w:szCs w:val="22"/>
          <w:lang w:eastAsia="en-US"/>
        </w:rPr>
        <w:t xml:space="preserve">  [Accessed 30 Sep. 2025].</w:t>
      </w:r>
    </w:p>
    <w:p w14:paraId="440A12A2" w14:textId="77777777" w:rsidR="00EF28CA" w:rsidRPr="00EF28CA" w:rsidRDefault="00EF28CA" w:rsidP="00EF28CA">
      <w:pPr>
        <w:overflowPunct/>
        <w:autoSpaceDE/>
        <w:autoSpaceDN/>
        <w:adjustRightInd/>
        <w:spacing w:after="200" w:line="276" w:lineRule="auto"/>
        <w:textAlignment w:val="auto"/>
        <w:rPr>
          <w:rFonts w:ascii="Cambria" w:eastAsia="MS Mincho" w:hAnsi="Cambria" w:cs="Times New Roman"/>
          <w:color w:val="auto"/>
          <w:sz w:val="22"/>
          <w:szCs w:val="22"/>
          <w:lang w:val="en-US" w:eastAsia="en-US"/>
        </w:rPr>
      </w:pPr>
    </w:p>
    <w:p w14:paraId="22A91B31" w14:textId="77777777" w:rsidR="00A53B2A" w:rsidRDefault="00A53B2A"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7047BA81" w14:textId="47EA88FE" w:rsidR="002A1A44" w:rsidRPr="00EE5BC3" w:rsidRDefault="006911AE" w:rsidP="00EE5BC3">
      <w:pPr>
        <w:jc w:val="center"/>
        <w:rPr>
          <w:b/>
          <w:sz w:val="28"/>
          <w:szCs w:val="28"/>
        </w:rPr>
      </w:pPr>
      <w:r>
        <w:rPr>
          <w:b/>
          <w:sz w:val="28"/>
          <w:szCs w:val="28"/>
        </w:rPr>
        <w:t>D</w:t>
      </w:r>
      <w:r w:rsidR="002A1A44" w:rsidRPr="00EE5BC3">
        <w:rPr>
          <w:b/>
          <w:sz w:val="28"/>
          <w:szCs w:val="28"/>
        </w:rPr>
        <w:t xml:space="preserve">etail of </w:t>
      </w:r>
      <w:r w:rsidR="005F64AA">
        <w:rPr>
          <w:b/>
          <w:sz w:val="28"/>
          <w:szCs w:val="28"/>
        </w:rPr>
        <w:t>W</w:t>
      </w:r>
      <w:r w:rsidR="002A1A44" w:rsidRPr="00EE5BC3">
        <w:rPr>
          <w:b/>
          <w:sz w:val="28"/>
          <w:szCs w:val="28"/>
        </w:rPr>
        <w:t xml:space="preserve">orkshops </w:t>
      </w:r>
      <w:r w:rsidR="005F64AA">
        <w:rPr>
          <w:b/>
          <w:sz w:val="28"/>
          <w:szCs w:val="28"/>
        </w:rPr>
        <w:t>A</w:t>
      </w:r>
      <w:r w:rsidR="002A1A44"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3A7FCE08" w:rsidR="00E559CE" w:rsidRPr="0046754A" w:rsidRDefault="006911AE" w:rsidP="00B94443">
            <w:pPr>
              <w:jc w:val="both"/>
              <w:rPr>
                <w:sz w:val="22"/>
                <w:szCs w:val="22"/>
              </w:rPr>
            </w:pPr>
            <w:r w:rsidRPr="0046754A">
              <w:rPr>
                <w:sz w:val="22"/>
                <w:szCs w:val="22"/>
              </w:rPr>
              <w:t>05</w:t>
            </w:r>
            <w:r w:rsidRPr="0046754A">
              <w:rPr>
                <w:sz w:val="22"/>
                <w:szCs w:val="22"/>
                <w:vertAlign w:val="superscript"/>
              </w:rPr>
              <w:t>th</w:t>
            </w:r>
            <w:r w:rsidRPr="0046754A">
              <w:rPr>
                <w:sz w:val="22"/>
                <w:szCs w:val="22"/>
              </w:rPr>
              <w:t xml:space="preserve"> November 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79E289E" w:rsidR="00E559CE" w:rsidRPr="0046754A" w:rsidRDefault="00470228" w:rsidP="00B94443">
            <w:pPr>
              <w:jc w:val="both"/>
              <w:rPr>
                <w:sz w:val="22"/>
                <w:szCs w:val="22"/>
              </w:rPr>
            </w:pPr>
            <w:r w:rsidRPr="0046754A">
              <w:rPr>
                <w:sz w:val="22"/>
                <w:szCs w:val="22"/>
              </w:rPr>
              <w:t>15</w:t>
            </w:r>
            <w:r w:rsidRPr="0046754A">
              <w:rPr>
                <w:sz w:val="22"/>
                <w:szCs w:val="22"/>
                <w:vertAlign w:val="superscript"/>
              </w:rPr>
              <w:t>th</w:t>
            </w:r>
            <w:r w:rsidRPr="0046754A">
              <w:rPr>
                <w:sz w:val="22"/>
                <w:szCs w:val="22"/>
              </w:rPr>
              <w:t xml:space="preserve"> January 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1A7CC7CF" w:rsidR="00E559CE" w:rsidRPr="0046754A" w:rsidRDefault="00470228" w:rsidP="00B94443">
            <w:pPr>
              <w:jc w:val="both"/>
              <w:rPr>
                <w:sz w:val="22"/>
                <w:szCs w:val="22"/>
              </w:rPr>
            </w:pPr>
            <w:r w:rsidRPr="0046754A">
              <w:rPr>
                <w:sz w:val="22"/>
                <w:szCs w:val="22"/>
              </w:rPr>
              <w:t>08</w:t>
            </w:r>
            <w:r w:rsidRPr="0046754A">
              <w:rPr>
                <w:sz w:val="22"/>
                <w:szCs w:val="22"/>
                <w:vertAlign w:val="superscript"/>
              </w:rPr>
              <w:t>th</w:t>
            </w:r>
            <w:r w:rsidRPr="0046754A">
              <w:rPr>
                <w:sz w:val="22"/>
                <w:szCs w:val="22"/>
              </w:rPr>
              <w:t xml:space="preserve"> April 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4CE1AC11" w:rsidR="00E559CE" w:rsidRPr="0046754A" w:rsidRDefault="00470228" w:rsidP="00B94443">
            <w:pPr>
              <w:jc w:val="both"/>
              <w:rPr>
                <w:sz w:val="22"/>
                <w:szCs w:val="22"/>
              </w:rPr>
            </w:pPr>
            <w:r w:rsidRPr="0046754A">
              <w:rPr>
                <w:sz w:val="22"/>
                <w:szCs w:val="22"/>
              </w:rPr>
              <w:t>03</w:t>
            </w:r>
            <w:r w:rsidRPr="0046754A">
              <w:rPr>
                <w:sz w:val="22"/>
                <w:szCs w:val="22"/>
                <w:vertAlign w:val="superscript"/>
              </w:rPr>
              <w:t>rd</w:t>
            </w:r>
            <w:r w:rsidRPr="0046754A">
              <w:rPr>
                <w:sz w:val="22"/>
                <w:szCs w:val="22"/>
              </w:rPr>
              <w:t xml:space="preserve"> July 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Pr="0046754A" w:rsidRDefault="00FC0334" w:rsidP="005D4F72">
            <w:pPr>
              <w:jc w:val="both"/>
              <w:rPr>
                <w:color w:val="auto"/>
                <w:sz w:val="22"/>
                <w:szCs w:val="22"/>
              </w:rPr>
            </w:pPr>
          </w:p>
          <w:p w14:paraId="13C924F7" w14:textId="77777777" w:rsidR="00ED10D9" w:rsidRPr="00ED10D9" w:rsidRDefault="00ED10D9" w:rsidP="00ED10D9">
            <w:pPr>
              <w:jc w:val="both"/>
              <w:rPr>
                <w:color w:val="auto"/>
                <w:sz w:val="22"/>
                <w:szCs w:val="22"/>
              </w:rPr>
            </w:pPr>
            <w:r w:rsidRPr="00ED10D9">
              <w:rPr>
                <w:color w:val="auto"/>
                <w:sz w:val="22"/>
                <w:szCs w:val="22"/>
              </w:rPr>
              <w:t>I have been Helen's mentor since she commenced in her role as a newly qualified social worker and despite some personal health challenges she has experienced during this time, she has been able to settle into her role of assessing prospective connected carers. </w:t>
            </w:r>
          </w:p>
          <w:p w14:paraId="269BDFAA" w14:textId="77777777" w:rsidR="00ED10D9" w:rsidRPr="00ED10D9" w:rsidRDefault="00ED10D9" w:rsidP="00ED10D9">
            <w:pPr>
              <w:jc w:val="both"/>
              <w:rPr>
                <w:color w:val="auto"/>
                <w:sz w:val="22"/>
                <w:szCs w:val="22"/>
              </w:rPr>
            </w:pPr>
          </w:p>
          <w:p w14:paraId="44E03E9F" w14:textId="77777777" w:rsidR="00ED10D9" w:rsidRPr="00ED10D9" w:rsidRDefault="00ED10D9" w:rsidP="00ED10D9">
            <w:pPr>
              <w:jc w:val="both"/>
              <w:rPr>
                <w:color w:val="auto"/>
                <w:sz w:val="22"/>
                <w:szCs w:val="22"/>
              </w:rPr>
            </w:pPr>
            <w:r w:rsidRPr="00ED10D9">
              <w:rPr>
                <w:color w:val="auto"/>
                <w:sz w:val="22"/>
                <w:szCs w:val="22"/>
              </w:rPr>
              <w:t>Helen is a very conscientious practitioner who strives to perform well in her work. She is professional in her approach and works hard to support the carers she is working with. </w:t>
            </w:r>
          </w:p>
          <w:p w14:paraId="69CF26A3" w14:textId="77777777" w:rsidR="00ED10D9" w:rsidRPr="00ED10D9" w:rsidRDefault="00ED10D9" w:rsidP="00ED10D9">
            <w:pPr>
              <w:jc w:val="both"/>
              <w:rPr>
                <w:color w:val="auto"/>
                <w:sz w:val="22"/>
                <w:szCs w:val="22"/>
              </w:rPr>
            </w:pPr>
          </w:p>
          <w:p w14:paraId="4B0A22FD" w14:textId="77777777" w:rsidR="00ED10D9" w:rsidRPr="00ED10D9" w:rsidRDefault="00ED10D9" w:rsidP="00ED10D9">
            <w:pPr>
              <w:jc w:val="both"/>
              <w:rPr>
                <w:color w:val="auto"/>
                <w:sz w:val="22"/>
                <w:szCs w:val="22"/>
              </w:rPr>
            </w:pPr>
            <w:r w:rsidRPr="00ED10D9">
              <w:rPr>
                <w:color w:val="auto"/>
                <w:sz w:val="22"/>
                <w:szCs w:val="22"/>
              </w:rPr>
              <w:t>I observed Helen during a supervision session with a connected carer and was impressed with the way in which she led this given there had been some challenges from the carer to the requirements being asked of them. Helen is a compassionate practitioner and has a natural calming approach with people and whilst needing to undertake what is a regulatory role, she was able to support the carer during the session and made her feel at ease in what can often be an unnatural situation for relative carers. Helen was able to work collaboratively with the carer to support her in accessing specific training that was required to be completed. </w:t>
            </w:r>
          </w:p>
          <w:p w14:paraId="5EED33B4" w14:textId="77777777" w:rsidR="00ED10D9" w:rsidRPr="00ED10D9" w:rsidRDefault="00ED10D9" w:rsidP="00ED10D9">
            <w:pPr>
              <w:jc w:val="both"/>
              <w:rPr>
                <w:color w:val="auto"/>
                <w:sz w:val="22"/>
                <w:szCs w:val="22"/>
              </w:rPr>
            </w:pPr>
          </w:p>
          <w:p w14:paraId="4CE55A87" w14:textId="77777777" w:rsidR="00ED10D9" w:rsidRPr="00ED10D9" w:rsidRDefault="00ED10D9" w:rsidP="00ED10D9">
            <w:pPr>
              <w:jc w:val="both"/>
              <w:rPr>
                <w:color w:val="auto"/>
                <w:sz w:val="22"/>
                <w:szCs w:val="22"/>
              </w:rPr>
            </w:pPr>
            <w:r w:rsidRPr="00ED10D9">
              <w:rPr>
                <w:color w:val="auto"/>
                <w:sz w:val="22"/>
                <w:szCs w:val="22"/>
              </w:rPr>
              <w:t>Helen has continued to develop her assessment skills, which is a specific area of interest for her. She is able to reflect and analyse the information gathered in order to inform her recommendations for the next steps. Helen has developed her knowledge and competence in responding to more complex situations and in particular in relation to safeguarding situations and the outcome of connected carer assessments. </w:t>
            </w:r>
          </w:p>
          <w:p w14:paraId="15CEDA97" w14:textId="77777777" w:rsidR="00ED10D9" w:rsidRPr="00ED10D9" w:rsidRDefault="00ED10D9" w:rsidP="00ED10D9">
            <w:pPr>
              <w:jc w:val="both"/>
              <w:rPr>
                <w:color w:val="auto"/>
                <w:sz w:val="22"/>
                <w:szCs w:val="22"/>
              </w:rPr>
            </w:pPr>
          </w:p>
          <w:p w14:paraId="3BA49BC3" w14:textId="77777777" w:rsidR="00ED10D9" w:rsidRPr="00ED10D9" w:rsidRDefault="00ED10D9" w:rsidP="00ED10D9">
            <w:pPr>
              <w:jc w:val="both"/>
              <w:rPr>
                <w:color w:val="auto"/>
                <w:sz w:val="22"/>
                <w:szCs w:val="22"/>
              </w:rPr>
            </w:pPr>
            <w:r w:rsidRPr="00ED10D9">
              <w:rPr>
                <w:color w:val="auto"/>
                <w:sz w:val="22"/>
                <w:szCs w:val="22"/>
              </w:rPr>
              <w:lastRenderedPageBreak/>
              <w:t>Helen has always been able to utilise the mentoring sessions afforded to her and she is well prepared in bringing topics for discussion to support her practice development. Sessions have focused on in depth case discussions and completion of the portfolio as well as the emotional impact of the role upon wellbeing. </w:t>
            </w:r>
          </w:p>
          <w:p w14:paraId="34F85791" w14:textId="77777777" w:rsidR="00ED10D9" w:rsidRPr="00ED10D9" w:rsidRDefault="00ED10D9" w:rsidP="00ED10D9">
            <w:pPr>
              <w:jc w:val="both"/>
              <w:rPr>
                <w:color w:val="auto"/>
                <w:sz w:val="22"/>
                <w:szCs w:val="22"/>
              </w:rPr>
            </w:pPr>
          </w:p>
          <w:p w14:paraId="36441358" w14:textId="77777777" w:rsidR="00ED10D9" w:rsidRPr="00ED10D9" w:rsidRDefault="00ED10D9" w:rsidP="00ED10D9">
            <w:pPr>
              <w:jc w:val="both"/>
              <w:rPr>
                <w:color w:val="auto"/>
                <w:sz w:val="22"/>
                <w:szCs w:val="22"/>
              </w:rPr>
            </w:pPr>
            <w:r w:rsidRPr="00ED10D9">
              <w:rPr>
                <w:color w:val="auto"/>
                <w:sz w:val="22"/>
                <w:szCs w:val="22"/>
              </w:rPr>
              <w:t>During the time I have been mentoring Helen I have seen her grow in confidence although I know this is still an area that Helen struggles with despite the fact that she is a very competent social worker. I have no doubt that this will continue to grow over time, especially with the arrival of newer staff in the team for whom Helen has been asked to provide support and guidance . This is a reflection of the confidence managers have of Helen's practice within the service. </w:t>
            </w:r>
          </w:p>
          <w:p w14:paraId="6CA6DD40" w14:textId="77777777" w:rsidR="00ED10D9" w:rsidRPr="00ED10D9" w:rsidRDefault="00ED10D9" w:rsidP="00ED10D9">
            <w:pPr>
              <w:jc w:val="both"/>
              <w:rPr>
                <w:color w:val="auto"/>
                <w:sz w:val="22"/>
                <w:szCs w:val="22"/>
              </w:rPr>
            </w:pPr>
          </w:p>
          <w:p w14:paraId="5882C8A0" w14:textId="77777777" w:rsidR="00ED10D9" w:rsidRPr="00ED10D9" w:rsidRDefault="00ED10D9" w:rsidP="00ED10D9">
            <w:pPr>
              <w:jc w:val="both"/>
              <w:rPr>
                <w:color w:val="auto"/>
                <w:sz w:val="22"/>
                <w:szCs w:val="22"/>
              </w:rPr>
            </w:pPr>
            <w:r w:rsidRPr="00ED10D9">
              <w:rPr>
                <w:color w:val="auto"/>
                <w:sz w:val="22"/>
                <w:szCs w:val="22"/>
              </w:rPr>
              <w:t>Helen should continue to access the support and guidance of those around her and access appropriate training that is available which will both increase her knowledge and thus her confidence in her practice. </w:t>
            </w:r>
          </w:p>
          <w:p w14:paraId="2C577D04" w14:textId="77777777" w:rsidR="00ED10D9" w:rsidRPr="00ED10D9" w:rsidRDefault="00ED10D9" w:rsidP="00ED10D9">
            <w:pPr>
              <w:jc w:val="both"/>
              <w:rPr>
                <w:color w:val="auto"/>
                <w:sz w:val="22"/>
                <w:szCs w:val="22"/>
              </w:rPr>
            </w:pPr>
            <w:r w:rsidRPr="00ED10D9">
              <w:rPr>
                <w:i/>
                <w:iCs/>
                <w:color w:val="auto"/>
                <w:sz w:val="22"/>
                <w:szCs w:val="22"/>
              </w:rPr>
              <w:br/>
            </w:r>
          </w:p>
          <w:p w14:paraId="3363C298" w14:textId="77777777" w:rsidR="00ED10D9" w:rsidRPr="00ED10D9" w:rsidRDefault="00ED10D9" w:rsidP="00ED10D9">
            <w:pPr>
              <w:jc w:val="both"/>
              <w:rPr>
                <w:color w:val="auto"/>
                <w:sz w:val="22"/>
                <w:szCs w:val="22"/>
              </w:rPr>
            </w:pPr>
            <w:r w:rsidRPr="00ED10D9">
              <w:rPr>
                <w:color w:val="auto"/>
                <w:sz w:val="22"/>
                <w:szCs w:val="22"/>
              </w:rPr>
              <w:t>Regards</w:t>
            </w:r>
          </w:p>
          <w:p w14:paraId="152D0748" w14:textId="77777777" w:rsidR="00ED10D9" w:rsidRPr="00ED10D9" w:rsidRDefault="00ED10D9" w:rsidP="00ED10D9">
            <w:pPr>
              <w:jc w:val="both"/>
              <w:rPr>
                <w:color w:val="auto"/>
                <w:sz w:val="22"/>
                <w:szCs w:val="22"/>
              </w:rPr>
            </w:pPr>
          </w:p>
          <w:p w14:paraId="7B7D0243" w14:textId="77777777" w:rsidR="00ED10D9" w:rsidRPr="00ED10D9" w:rsidRDefault="00ED10D9" w:rsidP="00ED10D9">
            <w:pPr>
              <w:jc w:val="both"/>
              <w:rPr>
                <w:color w:val="auto"/>
                <w:sz w:val="22"/>
                <w:szCs w:val="22"/>
              </w:rPr>
            </w:pPr>
            <w:r w:rsidRPr="00ED10D9">
              <w:rPr>
                <w:b/>
                <w:bCs/>
                <w:color w:val="auto"/>
                <w:sz w:val="22"/>
                <w:szCs w:val="22"/>
              </w:rPr>
              <w:t>Lisa Hocking</w:t>
            </w:r>
          </w:p>
          <w:p w14:paraId="575BDF1E" w14:textId="77777777" w:rsidR="00FC0334" w:rsidRPr="0046754A" w:rsidRDefault="00FC0334" w:rsidP="005D4F72">
            <w:pPr>
              <w:jc w:val="both"/>
              <w:rPr>
                <w:color w:val="auto"/>
                <w:sz w:val="22"/>
                <w:szCs w:val="22"/>
              </w:rPr>
            </w:pPr>
          </w:p>
          <w:p w14:paraId="737A80A5" w14:textId="77777777" w:rsidR="00FC0334" w:rsidRPr="0046754A" w:rsidRDefault="00FC0334" w:rsidP="005D4F72">
            <w:pPr>
              <w:jc w:val="both"/>
              <w:rPr>
                <w:color w:val="auto"/>
                <w:sz w:val="22"/>
                <w:szCs w:val="22"/>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887E43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D10D9" w:rsidRPr="0046754A">
        <w:rPr>
          <w:bCs/>
          <w:sz w:val="22"/>
          <w:szCs w:val="22"/>
        </w:rPr>
        <w:t>Helen Tanner</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D39D320" w:rsidR="00390074" w:rsidRPr="00D90DF5" w:rsidRDefault="00390074" w:rsidP="00FF7EBB">
      <w:pPr>
        <w:pBdr>
          <w:top w:val="single" w:sz="6" w:space="1" w:color="auto"/>
          <w:left w:val="single" w:sz="6" w:space="1" w:color="auto"/>
          <w:bottom w:val="single" w:sz="6" w:space="1" w:color="auto"/>
          <w:right w:val="single" w:sz="6" w:space="1" w:color="auto"/>
        </w:pBdr>
        <w:jc w:val="both"/>
        <w:rPr>
          <w:bCs/>
          <w:sz w:val="24"/>
          <w:szCs w:val="24"/>
        </w:rPr>
      </w:pPr>
      <w:r w:rsidRPr="0049196A">
        <w:rPr>
          <w:b/>
          <w:sz w:val="24"/>
          <w:szCs w:val="24"/>
        </w:rPr>
        <w:t>2. Learner’s University Number:</w:t>
      </w:r>
      <w:r w:rsidR="00ED10D9">
        <w:rPr>
          <w:b/>
          <w:sz w:val="24"/>
          <w:szCs w:val="24"/>
        </w:rPr>
        <w:t xml:space="preserve"> </w:t>
      </w:r>
      <w:r w:rsidR="00D90DF5" w:rsidRPr="0046754A">
        <w:rPr>
          <w:bCs/>
          <w:sz w:val="22"/>
          <w:szCs w:val="22"/>
        </w:rPr>
        <w:t>2416654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37A71A0" w14:textId="548A7970" w:rsidR="00D90DF5" w:rsidRPr="0046754A" w:rsidRDefault="00D90DF5" w:rsidP="00FF7EBB">
      <w:pPr>
        <w:pBdr>
          <w:top w:val="single" w:sz="6" w:space="1" w:color="auto"/>
          <w:left w:val="single" w:sz="6" w:space="1" w:color="auto"/>
          <w:bottom w:val="single" w:sz="6" w:space="1" w:color="auto"/>
          <w:right w:val="single" w:sz="6" w:space="1" w:color="auto"/>
        </w:pBdr>
        <w:jc w:val="both"/>
        <w:rPr>
          <w:bCs/>
          <w:sz w:val="22"/>
          <w:szCs w:val="22"/>
        </w:rPr>
      </w:pPr>
      <w:r w:rsidRPr="0046754A">
        <w:rPr>
          <w:bCs/>
          <w:sz w:val="22"/>
          <w:szCs w:val="22"/>
        </w:rPr>
        <w:t>168 Garth Owen</w:t>
      </w:r>
    </w:p>
    <w:p w14:paraId="3CEAF421" w14:textId="568B1C46" w:rsidR="00D90DF5" w:rsidRPr="0046754A" w:rsidRDefault="00D90DF5" w:rsidP="00FF7EBB">
      <w:pPr>
        <w:pBdr>
          <w:top w:val="single" w:sz="6" w:space="1" w:color="auto"/>
          <w:left w:val="single" w:sz="6" w:space="1" w:color="auto"/>
          <w:bottom w:val="single" w:sz="6" w:space="1" w:color="auto"/>
          <w:right w:val="single" w:sz="6" w:space="1" w:color="auto"/>
        </w:pBdr>
        <w:jc w:val="both"/>
        <w:rPr>
          <w:bCs/>
          <w:sz w:val="22"/>
          <w:szCs w:val="22"/>
        </w:rPr>
      </w:pPr>
      <w:r w:rsidRPr="0046754A">
        <w:rPr>
          <w:bCs/>
          <w:sz w:val="22"/>
          <w:szCs w:val="22"/>
        </w:rPr>
        <w:t>Newtown</w:t>
      </w:r>
    </w:p>
    <w:p w14:paraId="778B5B44" w14:textId="4E194882" w:rsidR="00D90DF5" w:rsidRPr="0046754A" w:rsidRDefault="00D90DF5" w:rsidP="00FF7EBB">
      <w:pPr>
        <w:pBdr>
          <w:top w:val="single" w:sz="6" w:space="1" w:color="auto"/>
          <w:left w:val="single" w:sz="6" w:space="1" w:color="auto"/>
          <w:bottom w:val="single" w:sz="6" w:space="1" w:color="auto"/>
          <w:right w:val="single" w:sz="6" w:space="1" w:color="auto"/>
        </w:pBdr>
        <w:jc w:val="both"/>
        <w:rPr>
          <w:bCs/>
          <w:sz w:val="22"/>
          <w:szCs w:val="22"/>
        </w:rPr>
      </w:pPr>
      <w:r w:rsidRPr="0046754A">
        <w:rPr>
          <w:bCs/>
          <w:sz w:val="22"/>
          <w:szCs w:val="22"/>
        </w:rPr>
        <w:t>Powys</w:t>
      </w:r>
    </w:p>
    <w:p w14:paraId="1FA12CF4" w14:textId="759CC6AB" w:rsidR="004923DA" w:rsidRPr="0046754A" w:rsidRDefault="00D90DF5" w:rsidP="00FF7EBB">
      <w:pPr>
        <w:pBdr>
          <w:top w:val="single" w:sz="6" w:space="1" w:color="auto"/>
          <w:left w:val="single" w:sz="6" w:space="1" w:color="auto"/>
          <w:bottom w:val="single" w:sz="6" w:space="1" w:color="auto"/>
          <w:right w:val="single" w:sz="6" w:space="1" w:color="auto"/>
        </w:pBdr>
        <w:jc w:val="both"/>
        <w:rPr>
          <w:bCs/>
          <w:sz w:val="22"/>
          <w:szCs w:val="22"/>
        </w:rPr>
      </w:pPr>
      <w:r w:rsidRPr="0046754A">
        <w:rPr>
          <w:bCs/>
          <w:sz w:val="22"/>
          <w:szCs w:val="22"/>
        </w:rPr>
        <w:t>SY16 1JR</w:t>
      </w:r>
    </w:p>
    <w:p w14:paraId="0089418C" w14:textId="77777777" w:rsidR="00D90DF5" w:rsidRPr="008B28E7" w:rsidRDefault="00D90DF5"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C1828B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D90DF5">
        <w:rPr>
          <w:b/>
          <w:sz w:val="24"/>
          <w:szCs w:val="24"/>
        </w:rPr>
        <w:t xml:space="preserve"> </w:t>
      </w:r>
      <w:r w:rsidR="00D90DF5" w:rsidRPr="0046754A">
        <w:rPr>
          <w:bCs/>
          <w:sz w:val="22"/>
          <w:szCs w:val="22"/>
        </w:rPr>
        <w:t>07495 572230</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E287FB3" w:rsidR="004923DA" w:rsidRPr="0046754A" w:rsidRDefault="004923DA" w:rsidP="00FF7EBB">
      <w:pPr>
        <w:pBdr>
          <w:top w:val="single" w:sz="6" w:space="1" w:color="auto"/>
          <w:left w:val="single" w:sz="6" w:space="1" w:color="auto"/>
          <w:bottom w:val="single" w:sz="6" w:space="1" w:color="auto"/>
          <w:right w:val="single" w:sz="6" w:space="1" w:color="auto"/>
        </w:pBdr>
        <w:jc w:val="both"/>
        <w:rPr>
          <w:b/>
          <w:sz w:val="22"/>
          <w:szCs w:val="22"/>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D90DF5">
        <w:rPr>
          <w:b/>
          <w:sz w:val="24"/>
          <w:szCs w:val="24"/>
        </w:rPr>
        <w:t xml:space="preserve"> </w:t>
      </w:r>
      <w:r w:rsidR="00D90DF5" w:rsidRPr="0046754A">
        <w:rPr>
          <w:bCs/>
          <w:sz w:val="22"/>
          <w:szCs w:val="22"/>
        </w:rPr>
        <w:t>helen.tanner@powys.gov.uk</w:t>
      </w:r>
    </w:p>
    <w:p w14:paraId="69C95045" w14:textId="569E326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59227E" w:rsidRPr="0046754A">
        <w:rPr>
          <w:bCs/>
          <w:sz w:val="22"/>
          <w:szCs w:val="22"/>
        </w:rPr>
        <w:t>31</w:t>
      </w:r>
      <w:r w:rsidR="0059227E" w:rsidRPr="0046754A">
        <w:rPr>
          <w:bCs/>
          <w:sz w:val="22"/>
          <w:szCs w:val="22"/>
          <w:vertAlign w:val="superscript"/>
        </w:rPr>
        <w:t>st</w:t>
      </w:r>
      <w:r w:rsidR="0059227E" w:rsidRPr="0046754A">
        <w:rPr>
          <w:bCs/>
          <w:sz w:val="22"/>
          <w:szCs w:val="22"/>
        </w:rPr>
        <w:t xml:space="preserve"> October 202</w:t>
      </w:r>
      <w:r w:rsidR="00023E44" w:rsidRPr="0046754A">
        <w:rPr>
          <w:bCs/>
          <w:sz w:val="22"/>
          <w:szCs w:val="22"/>
        </w:rPr>
        <w:t>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95C546F" w:rsidR="004923DA" w:rsidRPr="0046754A"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577FE8">
        <w:rPr>
          <w:b/>
          <w:sz w:val="24"/>
          <w:szCs w:val="24"/>
        </w:rPr>
        <w:t xml:space="preserve"> </w:t>
      </w:r>
      <w:r w:rsidR="00577FE8" w:rsidRPr="0046754A">
        <w:rPr>
          <w:bCs/>
          <w:sz w:val="22"/>
          <w:szCs w:val="22"/>
        </w:rPr>
        <w:t>24</w:t>
      </w:r>
      <w:r w:rsidR="00577FE8" w:rsidRPr="0046754A">
        <w:rPr>
          <w:bCs/>
          <w:sz w:val="22"/>
          <w:szCs w:val="22"/>
          <w:vertAlign w:val="superscript"/>
        </w:rPr>
        <w:t>th</w:t>
      </w:r>
      <w:r w:rsidR="00577FE8" w:rsidRPr="0046754A">
        <w:rPr>
          <w:bCs/>
          <w:sz w:val="22"/>
          <w:szCs w:val="22"/>
        </w:rPr>
        <w:t xml:space="preserve"> November 202</w:t>
      </w:r>
      <w:r w:rsidR="00023E44" w:rsidRPr="0046754A">
        <w:rPr>
          <w:bCs/>
          <w:sz w:val="22"/>
          <w:szCs w:val="22"/>
        </w:rPr>
        <w:t>3</w:t>
      </w:r>
    </w:p>
    <w:p w14:paraId="3DA05451" w14:textId="77777777" w:rsidR="00B17FA0" w:rsidRPr="0046754A" w:rsidRDefault="00B17FA0" w:rsidP="00FF7EBB">
      <w:pPr>
        <w:pBdr>
          <w:top w:val="single" w:sz="6" w:space="1" w:color="auto"/>
          <w:left w:val="single" w:sz="6" w:space="1" w:color="auto"/>
          <w:bottom w:val="single" w:sz="6" w:space="1" w:color="auto"/>
          <w:right w:val="single" w:sz="6" w:space="1" w:color="auto"/>
        </w:pBdr>
        <w:jc w:val="both"/>
        <w:rPr>
          <w:bCs/>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C3771D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D344BC">
        <w:rPr>
          <w:b/>
          <w:sz w:val="24"/>
          <w:szCs w:val="24"/>
        </w:rPr>
        <w:t xml:space="preserve"> </w:t>
      </w:r>
      <w:r w:rsidR="00D344BC" w:rsidRPr="00C21E28">
        <w:rPr>
          <w:bCs/>
          <w:sz w:val="24"/>
          <w:szCs w:val="24"/>
        </w:rPr>
        <w:t>Powys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7877F5AE" w14:textId="77777777" w:rsidR="00C21E28" w:rsidRPr="00C21E28" w:rsidRDefault="00C21E28" w:rsidP="00FF7EBB">
      <w:pPr>
        <w:pBdr>
          <w:top w:val="single" w:sz="6" w:space="1" w:color="auto"/>
          <w:left w:val="single" w:sz="6" w:space="1" w:color="auto"/>
          <w:bottom w:val="single" w:sz="6" w:space="1" w:color="auto"/>
          <w:right w:val="single" w:sz="6" w:space="1" w:color="auto"/>
        </w:pBdr>
        <w:jc w:val="both"/>
        <w:rPr>
          <w:bCs/>
          <w:sz w:val="24"/>
          <w:szCs w:val="24"/>
        </w:rPr>
      </w:pPr>
      <w:r w:rsidRPr="00C21E28">
        <w:rPr>
          <w:bCs/>
          <w:sz w:val="24"/>
          <w:szCs w:val="24"/>
        </w:rPr>
        <w:t>Ladywell House</w:t>
      </w:r>
    </w:p>
    <w:p w14:paraId="436B8452" w14:textId="789EB63D" w:rsidR="00C21E28" w:rsidRPr="00C21E28" w:rsidRDefault="00C21E28" w:rsidP="00FF7EBB">
      <w:pPr>
        <w:pBdr>
          <w:top w:val="single" w:sz="6" w:space="1" w:color="auto"/>
          <w:left w:val="single" w:sz="6" w:space="1" w:color="auto"/>
          <w:bottom w:val="single" w:sz="6" w:space="1" w:color="auto"/>
          <w:right w:val="single" w:sz="6" w:space="1" w:color="auto"/>
        </w:pBdr>
        <w:jc w:val="both"/>
        <w:rPr>
          <w:bCs/>
          <w:sz w:val="24"/>
          <w:szCs w:val="24"/>
        </w:rPr>
      </w:pPr>
      <w:r w:rsidRPr="00C21E28">
        <w:rPr>
          <w:bCs/>
          <w:sz w:val="24"/>
          <w:szCs w:val="24"/>
        </w:rPr>
        <w:t>Park Street</w:t>
      </w:r>
    </w:p>
    <w:p w14:paraId="6325E1D0" w14:textId="597EBC95" w:rsidR="00C21E28" w:rsidRPr="00C21E28" w:rsidRDefault="00C21E28" w:rsidP="00FF7EBB">
      <w:pPr>
        <w:pBdr>
          <w:top w:val="single" w:sz="6" w:space="1" w:color="auto"/>
          <w:left w:val="single" w:sz="6" w:space="1" w:color="auto"/>
          <w:bottom w:val="single" w:sz="6" w:space="1" w:color="auto"/>
          <w:right w:val="single" w:sz="6" w:space="1" w:color="auto"/>
        </w:pBdr>
        <w:jc w:val="both"/>
        <w:rPr>
          <w:bCs/>
          <w:sz w:val="24"/>
          <w:szCs w:val="24"/>
        </w:rPr>
      </w:pPr>
      <w:r w:rsidRPr="00C21E28">
        <w:rPr>
          <w:bCs/>
          <w:sz w:val="24"/>
          <w:szCs w:val="24"/>
        </w:rPr>
        <w:t>Newtown</w:t>
      </w:r>
    </w:p>
    <w:p w14:paraId="442472BB" w14:textId="1560ABBB" w:rsidR="004923DA" w:rsidRPr="00C21E28" w:rsidRDefault="00C21E28" w:rsidP="00FF7EBB">
      <w:pPr>
        <w:pBdr>
          <w:top w:val="single" w:sz="6" w:space="1" w:color="auto"/>
          <w:left w:val="single" w:sz="6" w:space="1" w:color="auto"/>
          <w:bottom w:val="single" w:sz="6" w:space="1" w:color="auto"/>
          <w:right w:val="single" w:sz="6" w:space="1" w:color="auto"/>
        </w:pBdr>
        <w:jc w:val="both"/>
        <w:rPr>
          <w:bCs/>
          <w:sz w:val="24"/>
          <w:szCs w:val="24"/>
        </w:rPr>
      </w:pPr>
      <w:r w:rsidRPr="00C21E28">
        <w:rPr>
          <w:bCs/>
          <w:sz w:val="24"/>
          <w:szCs w:val="24"/>
        </w:rPr>
        <w:t>SY16 1JB</w:t>
      </w:r>
      <w:r w:rsidR="00BD194B" w:rsidRPr="00C21E28">
        <w:rPr>
          <w:bCs/>
          <w:sz w:val="24"/>
          <w:szCs w:val="24"/>
        </w:rPr>
        <w:t xml:space="preserve">  </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0D087B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265DBE">
        <w:rPr>
          <w:b/>
          <w:sz w:val="24"/>
          <w:szCs w:val="24"/>
        </w:rPr>
        <w:t xml:space="preserve"> </w:t>
      </w:r>
      <w:r w:rsidR="00265DBE" w:rsidRPr="00265DBE">
        <w:rPr>
          <w:bCs/>
          <w:sz w:val="24"/>
          <w:szCs w:val="24"/>
        </w:rPr>
        <w:t>01686 61753</w:t>
      </w:r>
      <w:r w:rsidR="004D26DB">
        <w:rPr>
          <w:bCs/>
          <w:sz w:val="24"/>
          <w:szCs w:val="24"/>
        </w:rPr>
        <w:t>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87B1D04"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023E44">
        <w:rPr>
          <w:b/>
          <w:sz w:val="24"/>
          <w:szCs w:val="24"/>
        </w:rPr>
        <w:sym w:font="Wingdings" w:char="F06C"/>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1BBFBD5" w14:textId="77777777" w:rsidR="00CF043C" w:rsidRPr="00CF043C" w:rsidRDefault="00CF043C" w:rsidP="00CF043C">
      <w:pPr>
        <w:pBdr>
          <w:top w:val="single" w:sz="6" w:space="1" w:color="auto"/>
          <w:left w:val="single" w:sz="6" w:space="1" w:color="auto"/>
          <w:bottom w:val="single" w:sz="6" w:space="1" w:color="auto"/>
          <w:right w:val="single" w:sz="6" w:space="1" w:color="auto"/>
        </w:pBdr>
        <w:jc w:val="both"/>
        <w:rPr>
          <w:b/>
          <w:sz w:val="24"/>
          <w:szCs w:val="24"/>
        </w:rPr>
      </w:pPr>
      <w:r w:rsidRPr="00CF043C">
        <w:rPr>
          <w:b/>
          <w:sz w:val="24"/>
          <w:szCs w:val="24"/>
        </w:rPr>
        <w:t xml:space="preserve">Name: </w:t>
      </w:r>
      <w:r w:rsidRPr="00CF043C">
        <w:rPr>
          <w:bCs/>
          <w:sz w:val="22"/>
          <w:szCs w:val="22"/>
        </w:rPr>
        <w:t>Lisa Hocking</w:t>
      </w:r>
    </w:p>
    <w:p w14:paraId="13B8D799" w14:textId="77777777" w:rsidR="00CF043C" w:rsidRPr="00CF043C" w:rsidRDefault="00CF043C" w:rsidP="00CF043C">
      <w:pPr>
        <w:pBdr>
          <w:top w:val="single" w:sz="6" w:space="1" w:color="auto"/>
          <w:left w:val="single" w:sz="6" w:space="1" w:color="auto"/>
          <w:bottom w:val="single" w:sz="6" w:space="1" w:color="auto"/>
          <w:right w:val="single" w:sz="6" w:space="1" w:color="auto"/>
        </w:pBdr>
        <w:jc w:val="both"/>
        <w:rPr>
          <w:b/>
          <w:sz w:val="24"/>
          <w:szCs w:val="24"/>
        </w:rPr>
      </w:pPr>
    </w:p>
    <w:p w14:paraId="3533CB6B" w14:textId="77777777" w:rsidR="00CF043C" w:rsidRPr="00CF043C" w:rsidRDefault="00CF043C" w:rsidP="00CF043C">
      <w:pPr>
        <w:pBdr>
          <w:top w:val="single" w:sz="6" w:space="1" w:color="auto"/>
          <w:left w:val="single" w:sz="6" w:space="1" w:color="auto"/>
          <w:bottom w:val="single" w:sz="6" w:space="1" w:color="auto"/>
          <w:right w:val="single" w:sz="6" w:space="1" w:color="auto"/>
        </w:pBdr>
        <w:jc w:val="both"/>
        <w:rPr>
          <w:b/>
          <w:sz w:val="24"/>
          <w:szCs w:val="24"/>
        </w:rPr>
      </w:pPr>
      <w:r w:rsidRPr="00CF043C">
        <w:rPr>
          <w:b/>
          <w:sz w:val="24"/>
          <w:szCs w:val="24"/>
        </w:rPr>
        <w:t xml:space="preserve">Address: </w:t>
      </w:r>
      <w:r w:rsidRPr="00CF043C">
        <w:rPr>
          <w:bCs/>
          <w:sz w:val="22"/>
          <w:szCs w:val="22"/>
        </w:rPr>
        <w:t>Ladywell House Park Street Newtown SY16 1JB</w:t>
      </w:r>
    </w:p>
    <w:p w14:paraId="1F0FA29D" w14:textId="77777777" w:rsidR="00CF043C" w:rsidRPr="00CF043C" w:rsidRDefault="00CF043C" w:rsidP="00CF043C">
      <w:pPr>
        <w:pBdr>
          <w:top w:val="single" w:sz="6" w:space="1" w:color="auto"/>
          <w:left w:val="single" w:sz="6" w:space="1" w:color="auto"/>
          <w:bottom w:val="single" w:sz="6" w:space="1" w:color="auto"/>
          <w:right w:val="single" w:sz="6" w:space="1" w:color="auto"/>
        </w:pBdr>
        <w:jc w:val="both"/>
        <w:rPr>
          <w:b/>
          <w:sz w:val="24"/>
          <w:szCs w:val="24"/>
        </w:rPr>
      </w:pPr>
    </w:p>
    <w:p w14:paraId="35DE133D" w14:textId="77777777" w:rsidR="00CF043C" w:rsidRPr="00CF043C" w:rsidRDefault="00CF043C" w:rsidP="00CF043C">
      <w:pPr>
        <w:pBdr>
          <w:top w:val="single" w:sz="6" w:space="1" w:color="auto"/>
          <w:left w:val="single" w:sz="6" w:space="1" w:color="auto"/>
          <w:bottom w:val="single" w:sz="6" w:space="1" w:color="auto"/>
          <w:right w:val="single" w:sz="6" w:space="1" w:color="auto"/>
        </w:pBdr>
        <w:jc w:val="both"/>
        <w:rPr>
          <w:b/>
          <w:sz w:val="24"/>
          <w:szCs w:val="24"/>
        </w:rPr>
      </w:pPr>
      <w:r w:rsidRPr="00CF043C">
        <w:rPr>
          <w:b/>
          <w:sz w:val="24"/>
          <w:szCs w:val="24"/>
        </w:rPr>
        <w:t xml:space="preserve">Telephone Number: </w:t>
      </w:r>
      <w:r w:rsidRPr="00CF043C">
        <w:rPr>
          <w:bCs/>
          <w:sz w:val="22"/>
          <w:szCs w:val="22"/>
        </w:rPr>
        <w:t>01686 617557</w:t>
      </w:r>
    </w:p>
    <w:p w14:paraId="2394D976" w14:textId="77777777" w:rsidR="00CF043C" w:rsidRPr="00CF043C" w:rsidRDefault="00CF043C" w:rsidP="00CF043C">
      <w:pPr>
        <w:pBdr>
          <w:top w:val="single" w:sz="6" w:space="1" w:color="auto"/>
          <w:left w:val="single" w:sz="6" w:space="1" w:color="auto"/>
          <w:bottom w:val="single" w:sz="6" w:space="1" w:color="auto"/>
          <w:right w:val="single" w:sz="6" w:space="1" w:color="auto"/>
        </w:pBdr>
        <w:jc w:val="both"/>
        <w:rPr>
          <w:b/>
          <w:sz w:val="24"/>
          <w:szCs w:val="24"/>
        </w:rPr>
      </w:pPr>
    </w:p>
    <w:p w14:paraId="6D7D4143" w14:textId="20675697" w:rsidR="00B17FA0" w:rsidRPr="008B28E7" w:rsidRDefault="00CF043C" w:rsidP="00CF043C">
      <w:pPr>
        <w:pBdr>
          <w:top w:val="single" w:sz="6" w:space="1" w:color="auto"/>
          <w:left w:val="single" w:sz="6" w:space="1" w:color="auto"/>
          <w:bottom w:val="single" w:sz="6" w:space="1" w:color="auto"/>
          <w:right w:val="single" w:sz="6" w:space="1" w:color="auto"/>
        </w:pBdr>
        <w:jc w:val="both"/>
        <w:rPr>
          <w:b/>
          <w:i/>
          <w:sz w:val="24"/>
          <w:szCs w:val="24"/>
        </w:rPr>
      </w:pPr>
      <w:r w:rsidRPr="00CF043C">
        <w:rPr>
          <w:b/>
          <w:sz w:val="24"/>
          <w:szCs w:val="24"/>
        </w:rPr>
        <w:t xml:space="preserve">E-Mail address: </w:t>
      </w:r>
      <w:r w:rsidRPr="00CF043C">
        <w:rPr>
          <w:bCs/>
          <w:sz w:val="22"/>
          <w:szCs w:val="22"/>
        </w:rPr>
        <w:t>lisa.hocking@powys.gov.uk</w:t>
      </w: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0BBF292F" w14:textId="77777777" w:rsidR="00CF043C" w:rsidRPr="00FE4E5C" w:rsidRDefault="00CF043C" w:rsidP="00CF043C">
            <w:pPr>
              <w:jc w:val="both"/>
              <w:rPr>
                <w:bCs/>
                <w:sz w:val="22"/>
                <w:szCs w:val="22"/>
              </w:rPr>
            </w:pPr>
            <w:r w:rsidRPr="008B28E7">
              <w:rPr>
                <w:b/>
                <w:sz w:val="24"/>
                <w:szCs w:val="24"/>
              </w:rPr>
              <w:lastRenderedPageBreak/>
              <w:t>Name:</w:t>
            </w:r>
            <w:r>
              <w:rPr>
                <w:b/>
                <w:sz w:val="24"/>
                <w:szCs w:val="24"/>
              </w:rPr>
              <w:t xml:space="preserve"> </w:t>
            </w:r>
            <w:r w:rsidRPr="00FE4E5C">
              <w:rPr>
                <w:bCs/>
                <w:sz w:val="22"/>
                <w:szCs w:val="22"/>
              </w:rPr>
              <w:t>Lisa Hocking</w:t>
            </w:r>
          </w:p>
          <w:p w14:paraId="3F9B97A3" w14:textId="77777777" w:rsidR="00CF043C" w:rsidRPr="008B28E7" w:rsidRDefault="00CF043C" w:rsidP="00CF043C">
            <w:pPr>
              <w:jc w:val="both"/>
              <w:rPr>
                <w:b/>
                <w:sz w:val="24"/>
                <w:szCs w:val="24"/>
              </w:rPr>
            </w:pPr>
          </w:p>
          <w:p w14:paraId="4F151E75" w14:textId="77777777" w:rsidR="00CF043C" w:rsidRDefault="00CF043C" w:rsidP="00CF043C">
            <w:pPr>
              <w:jc w:val="both"/>
              <w:rPr>
                <w:b/>
                <w:sz w:val="24"/>
                <w:szCs w:val="24"/>
              </w:rPr>
            </w:pPr>
            <w:r w:rsidRPr="008B28E7">
              <w:rPr>
                <w:b/>
                <w:sz w:val="24"/>
                <w:szCs w:val="24"/>
              </w:rPr>
              <w:t xml:space="preserve">Work Address: </w:t>
            </w:r>
            <w:r w:rsidRPr="00EE77D9">
              <w:rPr>
                <w:bCs/>
                <w:sz w:val="22"/>
                <w:szCs w:val="22"/>
              </w:rPr>
              <w:t>Ladywell House Park Street Newtown SY16 1JB</w:t>
            </w:r>
          </w:p>
          <w:p w14:paraId="783E4AF6" w14:textId="77777777" w:rsidR="00CF043C" w:rsidRPr="008B28E7" w:rsidRDefault="00CF043C" w:rsidP="00CF043C">
            <w:pPr>
              <w:jc w:val="both"/>
              <w:rPr>
                <w:b/>
                <w:sz w:val="24"/>
                <w:szCs w:val="24"/>
              </w:rPr>
            </w:pPr>
            <w:r w:rsidRPr="008B28E7">
              <w:rPr>
                <w:b/>
                <w:sz w:val="24"/>
                <w:szCs w:val="24"/>
              </w:rPr>
              <w:t>Professional Qualification and date of qualification:</w:t>
            </w:r>
            <w:r>
              <w:rPr>
                <w:b/>
                <w:sz w:val="24"/>
                <w:szCs w:val="24"/>
              </w:rPr>
              <w:t xml:space="preserve"> </w:t>
            </w:r>
            <w:r w:rsidRPr="00EE77D9">
              <w:rPr>
                <w:bCs/>
                <w:sz w:val="22"/>
                <w:szCs w:val="22"/>
              </w:rPr>
              <w:t>Diploma in Social Work 2004</w:t>
            </w:r>
          </w:p>
          <w:p w14:paraId="08CEC51E" w14:textId="77777777" w:rsidR="00CF043C" w:rsidRDefault="00CF043C" w:rsidP="00CF043C">
            <w:pPr>
              <w:jc w:val="both"/>
              <w:rPr>
                <w:b/>
                <w:sz w:val="24"/>
                <w:szCs w:val="24"/>
              </w:rPr>
            </w:pPr>
          </w:p>
          <w:p w14:paraId="7F6CCC36" w14:textId="77777777" w:rsidR="00CF043C" w:rsidRDefault="00CF043C" w:rsidP="00CF043C">
            <w:pPr>
              <w:jc w:val="both"/>
              <w:rPr>
                <w:b/>
                <w:sz w:val="24"/>
                <w:szCs w:val="24"/>
              </w:rPr>
            </w:pPr>
            <w:r>
              <w:rPr>
                <w:b/>
                <w:sz w:val="24"/>
                <w:szCs w:val="24"/>
              </w:rPr>
              <w:t>T</w:t>
            </w:r>
            <w:r w:rsidRPr="008B28E7">
              <w:rPr>
                <w:b/>
                <w:sz w:val="24"/>
                <w:szCs w:val="24"/>
              </w:rPr>
              <w:t>elephone number:</w:t>
            </w:r>
            <w:r>
              <w:rPr>
                <w:b/>
                <w:sz w:val="24"/>
                <w:szCs w:val="24"/>
              </w:rPr>
              <w:t xml:space="preserve"> </w:t>
            </w:r>
            <w:r w:rsidRPr="00EE77D9">
              <w:rPr>
                <w:bCs/>
                <w:sz w:val="22"/>
                <w:szCs w:val="22"/>
              </w:rPr>
              <w:t>01686 617557</w:t>
            </w:r>
          </w:p>
          <w:p w14:paraId="0BE33C4A" w14:textId="77777777" w:rsidR="00CF043C" w:rsidRDefault="00CF043C" w:rsidP="00CF043C">
            <w:pPr>
              <w:jc w:val="both"/>
              <w:rPr>
                <w:b/>
                <w:sz w:val="24"/>
                <w:szCs w:val="24"/>
              </w:rPr>
            </w:pPr>
          </w:p>
          <w:p w14:paraId="4346D2ED" w14:textId="278CA259" w:rsidR="00B17FA0" w:rsidRPr="008B28E7" w:rsidRDefault="00CF043C" w:rsidP="00CF043C">
            <w:pPr>
              <w:jc w:val="both"/>
              <w:rPr>
                <w:b/>
                <w:sz w:val="24"/>
                <w:szCs w:val="24"/>
              </w:rPr>
            </w:pPr>
            <w:r>
              <w:rPr>
                <w:b/>
                <w:sz w:val="24"/>
                <w:szCs w:val="24"/>
              </w:rPr>
              <w:t xml:space="preserve">Email address: </w:t>
            </w:r>
            <w:r w:rsidRPr="00EE77D9">
              <w:rPr>
                <w:bCs/>
                <w:sz w:val="22"/>
                <w:szCs w:val="22"/>
              </w:rPr>
              <w:t>lisa.hocking@powys.gov.uk</w:t>
            </w:r>
          </w:p>
        </w:tc>
      </w:tr>
    </w:tbl>
    <w:p w14:paraId="53F036B3" w14:textId="77777777" w:rsidR="00830DD1" w:rsidRPr="00830DD1" w:rsidRDefault="00830DD1" w:rsidP="00830DD1"/>
    <w:p w14:paraId="2792003E" w14:textId="77777777" w:rsidR="00D065D8" w:rsidRDefault="00D065D8" w:rsidP="00EE5BC3">
      <w:pPr>
        <w:keepNext/>
        <w:jc w:val="center"/>
        <w:rPr>
          <w:b/>
          <w:sz w:val="28"/>
          <w:szCs w:val="28"/>
        </w:rPr>
      </w:pPr>
    </w:p>
    <w:p w14:paraId="78262AC4" w14:textId="07E64281"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5CBC5D64"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w:t>
      </w:r>
      <w:r w:rsidR="00BF06CB">
        <w:rPr>
          <w:noProof/>
        </w:rPr>
        <w:drawing>
          <wp:inline distT="0" distB="0" distL="0" distR="0" wp14:anchorId="77F214A3" wp14:editId="1D0EB504">
            <wp:extent cx="850790" cy="296533"/>
            <wp:effectExtent l="0" t="0" r="6985" b="889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49"/>
                    <a:stretch>
                      <a:fillRect/>
                    </a:stretch>
                  </pic:blipFill>
                  <pic:spPr>
                    <a:xfrm>
                      <a:off x="0" y="0"/>
                      <a:ext cx="859660" cy="299624"/>
                    </a:xfrm>
                    <a:prstGeom prst="rect">
                      <a:avLst/>
                    </a:prstGeom>
                  </pic:spPr>
                </pic:pic>
              </a:graphicData>
            </a:graphic>
          </wp:inline>
        </w:drawing>
      </w:r>
      <w:r>
        <w:rPr>
          <w:sz w:val="24"/>
          <w:szCs w:val="24"/>
        </w:rPr>
        <w:t xml:space="preserve">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E544D2E"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A20AED">
        <w:rPr>
          <w:sz w:val="24"/>
          <w:szCs w:val="24"/>
        </w:rPr>
        <w:t>02</w:t>
      </w:r>
      <w:r w:rsidR="00A20AED" w:rsidRPr="00A20AED">
        <w:rPr>
          <w:sz w:val="24"/>
          <w:szCs w:val="24"/>
          <w:vertAlign w:val="superscript"/>
        </w:rPr>
        <w:t>nd</w:t>
      </w:r>
      <w:r w:rsidR="00A20AED">
        <w:rPr>
          <w:sz w:val="24"/>
          <w:szCs w:val="24"/>
        </w:rPr>
        <w:t xml:space="preserve"> October 2025</w:t>
      </w:r>
      <w:r>
        <w:rPr>
          <w:sz w:val="24"/>
          <w:szCs w:val="24"/>
        </w:rPr>
        <w:t>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64478D2"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w:t>
      </w:r>
      <w:r w:rsidR="00CF043C" w:rsidRPr="00CF043C">
        <w:rPr>
          <w:rFonts w:ascii="Calibri" w:hAnsi="Calibri" w:cs="Calibri"/>
          <w:color w:val="auto"/>
          <w:sz w:val="22"/>
          <w:szCs w:val="22"/>
        </w:rPr>
        <w:t xml:space="preserve"> </w:t>
      </w:r>
      <w:r w:rsidR="00CF043C" w:rsidRPr="00CF043C">
        <w:rPr>
          <w:noProof/>
        </w:rPr>
        <w:drawing>
          <wp:inline distT="0" distB="0" distL="0" distR="0" wp14:anchorId="73472EB6" wp14:editId="16639B2B">
            <wp:extent cx="1055370" cy="379730"/>
            <wp:effectExtent l="0" t="0" r="0" b="1270"/>
            <wp:docPr id="823543746" name="Picture 1" descr="A black line with a he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543746" name="Picture 1" descr="A black line with a heart&#10;&#10;AI-generated content may be incorrect."/>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055370" cy="379730"/>
                    </a:xfrm>
                    <a:prstGeom prst="rect">
                      <a:avLst/>
                    </a:prstGeom>
                    <a:noFill/>
                    <a:ln>
                      <a:noFill/>
                    </a:ln>
                  </pic:spPr>
                </pic:pic>
              </a:graphicData>
            </a:graphic>
          </wp:inline>
        </w:drawing>
      </w:r>
      <w:r w:rsidR="00B577D3">
        <w:rPr>
          <w:sz w:val="24"/>
          <w:szCs w:val="24"/>
        </w:rPr>
        <w:t xml:space="preserve">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503692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w:t>
      </w:r>
      <w:r w:rsidR="00CF043C">
        <w:rPr>
          <w:sz w:val="24"/>
          <w:szCs w:val="24"/>
        </w:rPr>
        <w:t>02/10/2025</w:t>
      </w:r>
      <w:r>
        <w:rPr>
          <w:sz w:val="24"/>
          <w:szCs w:val="24"/>
        </w:rPr>
        <w:t xml:space="preserve">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lastRenderedPageBreak/>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D115DA1" w:rsidR="00335C41" w:rsidRPr="00D3203C" w:rsidRDefault="00335C41" w:rsidP="00335C41">
            <w:pPr>
              <w:ind w:right="180"/>
              <w:jc w:val="both"/>
              <w:rPr>
                <w:sz w:val="24"/>
                <w:szCs w:val="24"/>
              </w:rPr>
            </w:pPr>
            <w:r w:rsidRPr="00D3203C">
              <w:rPr>
                <w:sz w:val="24"/>
                <w:szCs w:val="24"/>
              </w:rPr>
              <w:t>Signed___</w:t>
            </w:r>
            <w:r w:rsidR="00CF043C" w:rsidRPr="00CF043C">
              <w:rPr>
                <w:rFonts w:ascii="Calibri" w:hAnsi="Calibri" w:cs="Calibri"/>
                <w:color w:val="auto"/>
                <w:sz w:val="22"/>
                <w:szCs w:val="22"/>
              </w:rPr>
              <w:t xml:space="preserve"> </w:t>
            </w:r>
            <w:r w:rsidR="00CF043C" w:rsidRPr="00CF043C">
              <w:rPr>
                <w:noProof/>
              </w:rPr>
              <w:drawing>
                <wp:inline distT="0" distB="0" distL="0" distR="0" wp14:anchorId="4913969E" wp14:editId="31428B40">
                  <wp:extent cx="1055370" cy="379730"/>
                  <wp:effectExtent l="0" t="0" r="0" b="1270"/>
                  <wp:docPr id="1760572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055370" cy="379730"/>
                          </a:xfrm>
                          <a:prstGeom prst="rect">
                            <a:avLst/>
                          </a:prstGeom>
                          <a:noFill/>
                          <a:ln>
                            <a:noFill/>
                          </a:ln>
                        </pic:spPr>
                      </pic:pic>
                    </a:graphicData>
                  </a:graphic>
                </wp:inline>
              </w:drawing>
            </w:r>
            <w:r w:rsidRPr="00D3203C">
              <w:rPr>
                <w:sz w:val="24"/>
                <w:szCs w:val="24"/>
              </w:rPr>
              <w:t>_____________________ (Mentor)</w:t>
            </w:r>
          </w:p>
          <w:p w14:paraId="5D3F0767" w14:textId="77777777" w:rsidR="00335C41" w:rsidRPr="00D3203C" w:rsidRDefault="00335C41" w:rsidP="00335C41">
            <w:pPr>
              <w:ind w:right="180"/>
              <w:jc w:val="both"/>
              <w:rPr>
                <w:sz w:val="24"/>
                <w:szCs w:val="24"/>
              </w:rPr>
            </w:pPr>
          </w:p>
          <w:p w14:paraId="24E1B8A5" w14:textId="286BAA5C" w:rsidR="00335C41" w:rsidRPr="00D3203C" w:rsidRDefault="00335C41" w:rsidP="00335C41">
            <w:pPr>
              <w:ind w:right="180"/>
              <w:jc w:val="both"/>
              <w:rPr>
                <w:sz w:val="24"/>
                <w:szCs w:val="24"/>
              </w:rPr>
            </w:pPr>
            <w:r w:rsidRPr="00D3203C">
              <w:rPr>
                <w:sz w:val="24"/>
                <w:szCs w:val="24"/>
              </w:rPr>
              <w:t>Date _____</w:t>
            </w:r>
            <w:r w:rsidR="00CF043C">
              <w:rPr>
                <w:sz w:val="24"/>
                <w:szCs w:val="24"/>
              </w:rPr>
              <w:t>02/10/2025</w:t>
            </w:r>
            <w:r w:rsidRPr="00D3203C">
              <w:rPr>
                <w:sz w:val="24"/>
                <w:szCs w:val="24"/>
              </w:rPr>
              <w:t>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381478F9" w14:textId="77777777" w:rsidR="0061483E" w:rsidRDefault="0061483E" w:rsidP="00FF7EBB">
      <w:pPr>
        <w:overflowPunct/>
        <w:autoSpaceDE/>
        <w:autoSpaceDN/>
        <w:adjustRightInd/>
        <w:jc w:val="both"/>
        <w:textAlignment w:val="auto"/>
        <w:rPr>
          <w:color w:val="auto"/>
          <w:sz w:val="24"/>
          <w:szCs w:val="24"/>
        </w:rPr>
      </w:pPr>
    </w:p>
    <w:p w14:paraId="7074C08A" w14:textId="6E1BB5A5"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2A6F440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F74C6F">
        <w:rPr>
          <w:caps/>
          <w:sz w:val="24"/>
          <w:szCs w:val="24"/>
        </w:rPr>
        <w:t>Delyth Berni</w:t>
      </w:r>
    </w:p>
    <w:p w14:paraId="7C11F360" w14:textId="48920E0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F74C6F">
        <w:rPr>
          <w:noProof/>
          <w:sz w:val="24"/>
          <w:szCs w:val="24"/>
        </w:rPr>
        <w:drawing>
          <wp:inline distT="0" distB="0" distL="0" distR="0" wp14:anchorId="263016A7" wp14:editId="771C2BD4">
            <wp:extent cx="790575" cy="257175"/>
            <wp:effectExtent l="0" t="0" r="9525" b="9525"/>
            <wp:docPr id="265202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202448" name="Picture 265202448"/>
                    <pic:cNvPicPr/>
                  </pic:nvPicPr>
                  <pic:blipFill>
                    <a:blip r:embed="rId51">
                      <a:extLst>
                        <a:ext uri="{28A0092B-C50C-407E-A947-70E740481C1C}">
                          <a14:useLocalDpi xmlns:a14="http://schemas.microsoft.com/office/drawing/2010/main" val="0"/>
                        </a:ext>
                      </a:extLst>
                    </a:blip>
                    <a:stretch>
                      <a:fillRect/>
                    </a:stretch>
                  </pic:blipFill>
                  <pic:spPr>
                    <a:xfrm>
                      <a:off x="0" y="0"/>
                      <a:ext cx="790575" cy="257175"/>
                    </a:xfrm>
                    <a:prstGeom prst="rect">
                      <a:avLst/>
                    </a:prstGeom>
                  </pic:spPr>
                </pic:pic>
              </a:graphicData>
            </a:graphic>
          </wp:inline>
        </w:drawing>
      </w:r>
    </w:p>
    <w:p w14:paraId="57B2A00A" w14:textId="1A67F76A"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F74C6F">
        <w:rPr>
          <w:sz w:val="24"/>
          <w:szCs w:val="24"/>
        </w:rPr>
        <w:t>02.10.25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56DC4AEC" w:rsidR="00D05A5D" w:rsidRPr="00DA5682" w:rsidRDefault="0061483E" w:rsidP="00CC14B6">
            <w:pPr>
              <w:rPr>
                <w:sz w:val="24"/>
                <w:szCs w:val="24"/>
              </w:rPr>
            </w:pPr>
            <w:r>
              <w:rPr>
                <w:sz w:val="24"/>
                <w:szCs w:val="24"/>
              </w:rPr>
              <w:t>Helen Tanner</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4FC140D2" w:rsidR="00D05A5D" w:rsidRPr="00DA5682" w:rsidRDefault="0061483E" w:rsidP="00CC14B6">
            <w:pPr>
              <w:rPr>
                <w:sz w:val="24"/>
                <w:szCs w:val="24"/>
              </w:rPr>
            </w:pPr>
            <w:r>
              <w:rPr>
                <w:sz w:val="24"/>
                <w:szCs w:val="24"/>
              </w:rPr>
              <w:t>Powys County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7BB762F8" w:rsidR="00D05A5D" w:rsidRPr="00DA5682" w:rsidRDefault="0061483E" w:rsidP="00CC14B6">
            <w:pPr>
              <w:rPr>
                <w:sz w:val="24"/>
                <w:szCs w:val="24"/>
              </w:rPr>
            </w:pPr>
            <w:r>
              <w:rPr>
                <w:sz w:val="24"/>
                <w:szCs w:val="24"/>
              </w:rPr>
              <w:t>Lisa Hocking</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676A758F" w:rsidR="00D05A5D" w:rsidRPr="00DA5682" w:rsidRDefault="0061483E" w:rsidP="00CC14B6">
            <w:pPr>
              <w:rPr>
                <w:sz w:val="24"/>
                <w:szCs w:val="24"/>
              </w:rPr>
            </w:pPr>
            <w:r>
              <w:rPr>
                <w:sz w:val="24"/>
                <w:szCs w:val="24"/>
              </w:rPr>
              <w:t>Delyth Berni</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09320331" w:rsidR="00D05A5D" w:rsidRPr="00DA5682" w:rsidRDefault="00D05A5D" w:rsidP="00D05A5D">
      <w:pPr>
        <w:rPr>
          <w:sz w:val="24"/>
          <w:szCs w:val="24"/>
        </w:rPr>
      </w:pPr>
      <w:r w:rsidRPr="00DA5682">
        <w:rPr>
          <w:sz w:val="24"/>
          <w:szCs w:val="24"/>
        </w:rPr>
        <w:t>Signed:…</w:t>
      </w:r>
      <w:r w:rsidR="0061483E" w:rsidRPr="0061483E">
        <w:rPr>
          <w:noProof/>
        </w:rPr>
        <w:t xml:space="preserve"> </w:t>
      </w:r>
      <w:r w:rsidR="0061483E">
        <w:rPr>
          <w:noProof/>
        </w:rPr>
        <w:drawing>
          <wp:inline distT="0" distB="0" distL="0" distR="0" wp14:anchorId="26169CEA" wp14:editId="4C8E88C3">
            <wp:extent cx="850790" cy="296533"/>
            <wp:effectExtent l="0" t="0" r="6985" b="8890"/>
            <wp:docPr id="399705429" name="Picture 39970542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49"/>
                    <a:stretch>
                      <a:fillRect/>
                    </a:stretch>
                  </pic:blipFill>
                  <pic:spPr>
                    <a:xfrm>
                      <a:off x="0" y="0"/>
                      <a:ext cx="859660" cy="299624"/>
                    </a:xfrm>
                    <a:prstGeom prst="rect">
                      <a:avLst/>
                    </a:prstGeom>
                  </pic:spPr>
                </pic:pic>
              </a:graphicData>
            </a:graphic>
          </wp:inline>
        </w:drawing>
      </w:r>
      <w:r w:rsidRPr="00DA5682">
        <w:rPr>
          <w:sz w:val="24"/>
          <w:szCs w:val="24"/>
        </w:rPr>
        <w:t>…….. Print Name:……</w:t>
      </w:r>
      <w:r w:rsidR="0061483E">
        <w:rPr>
          <w:sz w:val="24"/>
          <w:szCs w:val="24"/>
        </w:rPr>
        <w:t>H.Tanner</w:t>
      </w:r>
      <w:r w:rsidRPr="00DA5682">
        <w:rPr>
          <w:sz w:val="24"/>
          <w:szCs w:val="24"/>
        </w:rPr>
        <w:t>………… Date</w:t>
      </w:r>
      <w:r w:rsidR="0061483E">
        <w:rPr>
          <w:sz w:val="24"/>
          <w:szCs w:val="24"/>
        </w:rPr>
        <w:t>..02</w:t>
      </w:r>
      <w:r w:rsidR="0061483E" w:rsidRPr="0061483E">
        <w:rPr>
          <w:sz w:val="24"/>
          <w:szCs w:val="24"/>
          <w:vertAlign w:val="superscript"/>
        </w:rPr>
        <w:t>nd</w:t>
      </w:r>
      <w:r w:rsidR="0061483E">
        <w:rPr>
          <w:sz w:val="24"/>
          <w:szCs w:val="24"/>
        </w:rPr>
        <w:t xml:space="preserve"> October 2025..</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0E2F64AB" w14:textId="58372B28" w:rsidR="00D05A5D" w:rsidRPr="00DA5682" w:rsidRDefault="00D05A5D" w:rsidP="006338F9">
      <w:pPr>
        <w:rPr>
          <w:sz w:val="24"/>
          <w:szCs w:val="24"/>
        </w:rPr>
      </w:pPr>
      <w:r w:rsidRPr="00DA5682">
        <w:rPr>
          <w:sz w:val="24"/>
          <w:szCs w:val="24"/>
        </w:rPr>
        <w:t>Signed:</w:t>
      </w:r>
      <w:r w:rsidR="006338F9">
        <w:rPr>
          <w:noProof/>
          <w:sz w:val="24"/>
          <w:szCs w:val="24"/>
        </w:rPr>
        <w:t xml:space="preserve"> </w:t>
      </w:r>
      <w:r w:rsidR="006338F9">
        <w:rPr>
          <w:noProof/>
          <w:sz w:val="24"/>
          <w:szCs w:val="24"/>
        </w:rPr>
        <w:drawing>
          <wp:inline distT="0" distB="0" distL="0" distR="0" wp14:anchorId="2B9169E1" wp14:editId="6E397474">
            <wp:extent cx="790575" cy="257175"/>
            <wp:effectExtent l="0" t="0" r="9525" b="9525"/>
            <wp:docPr id="500095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09515" name="Picture 50009515"/>
                    <pic:cNvPicPr/>
                  </pic:nvPicPr>
                  <pic:blipFill>
                    <a:blip r:embed="rId51">
                      <a:extLst>
                        <a:ext uri="{28A0092B-C50C-407E-A947-70E740481C1C}">
                          <a14:useLocalDpi xmlns:a14="http://schemas.microsoft.com/office/drawing/2010/main" val="0"/>
                        </a:ext>
                      </a:extLst>
                    </a:blip>
                    <a:stretch>
                      <a:fillRect/>
                    </a:stretch>
                  </pic:blipFill>
                  <pic:spPr>
                    <a:xfrm>
                      <a:off x="0" y="0"/>
                      <a:ext cx="790575" cy="257175"/>
                    </a:xfrm>
                    <a:prstGeom prst="rect">
                      <a:avLst/>
                    </a:prstGeom>
                  </pic:spPr>
                </pic:pic>
              </a:graphicData>
            </a:graphic>
          </wp:inline>
        </w:drawing>
      </w:r>
      <w:r w:rsidR="006338F9">
        <w:rPr>
          <w:noProof/>
          <w:sz w:val="24"/>
          <w:szCs w:val="24"/>
        </w:rPr>
        <w:tab/>
      </w:r>
      <w:r w:rsidR="006338F9">
        <w:rPr>
          <w:noProof/>
          <w:sz w:val="24"/>
          <w:szCs w:val="24"/>
        </w:rPr>
        <w:tab/>
      </w:r>
      <w:r w:rsidRPr="00DA5682">
        <w:rPr>
          <w:sz w:val="24"/>
          <w:szCs w:val="24"/>
        </w:rPr>
        <w:t xml:space="preserve"> Print Name</w:t>
      </w:r>
      <w:r w:rsidR="006338F9">
        <w:rPr>
          <w:sz w:val="24"/>
          <w:szCs w:val="24"/>
        </w:rPr>
        <w:t xml:space="preserve"> </w:t>
      </w:r>
      <w:r w:rsidR="006338F9">
        <w:rPr>
          <w:sz w:val="24"/>
          <w:szCs w:val="24"/>
        </w:rPr>
        <w:tab/>
      </w:r>
      <w:r w:rsidR="006338F9">
        <w:rPr>
          <w:sz w:val="24"/>
          <w:szCs w:val="24"/>
        </w:rPr>
        <w:tab/>
        <w:t xml:space="preserve">DELYTH BERNI   </w:t>
      </w:r>
      <w:r w:rsidR="006338F9" w:rsidRPr="00DA5682">
        <w:rPr>
          <w:sz w:val="24"/>
          <w:szCs w:val="24"/>
        </w:rPr>
        <w:t xml:space="preserve"> </w:t>
      </w:r>
      <w:r w:rsidRPr="00DA5682">
        <w:rPr>
          <w:sz w:val="24"/>
          <w:szCs w:val="24"/>
        </w:rPr>
        <w:t>Date</w:t>
      </w:r>
      <w:r w:rsidR="006338F9">
        <w:rPr>
          <w:sz w:val="24"/>
          <w:szCs w:val="24"/>
        </w:rPr>
        <w:t xml:space="preserve"> 2</w:t>
      </w:r>
      <w:r w:rsidR="006338F9" w:rsidRPr="006338F9">
        <w:rPr>
          <w:sz w:val="24"/>
          <w:szCs w:val="24"/>
          <w:vertAlign w:val="superscript"/>
        </w:rPr>
        <w:t>nd</w:t>
      </w:r>
      <w:r w:rsidR="006338F9">
        <w:rPr>
          <w:sz w:val="24"/>
          <w:szCs w:val="24"/>
        </w:rPr>
        <w:t xml:space="preserve"> October 2025</w:t>
      </w:r>
    </w:p>
    <w:p w14:paraId="4B359EC1" w14:textId="77777777" w:rsidR="00D05A5D" w:rsidRPr="00DA5682" w:rsidRDefault="00D05A5D" w:rsidP="00D05A5D">
      <w:pPr>
        <w:rPr>
          <w:sz w:val="24"/>
          <w:szCs w:val="24"/>
        </w:rPr>
      </w:pPr>
    </w:p>
    <w:p w14:paraId="63183983" w14:textId="6E8EF2CD" w:rsidR="00D05A5D" w:rsidRPr="00DA5682" w:rsidRDefault="00D05A5D" w:rsidP="00D05A5D">
      <w:pPr>
        <w:rPr>
          <w:sz w:val="24"/>
          <w:szCs w:val="24"/>
        </w:rPr>
      </w:pPr>
      <w:r w:rsidRPr="00DA5682">
        <w:rPr>
          <w:sz w:val="24"/>
          <w:szCs w:val="24"/>
        </w:rPr>
        <w:t>Signed:……</w:t>
      </w:r>
      <w:r w:rsidR="00CF043C" w:rsidRPr="00CF043C">
        <w:t xml:space="preserve"> </w:t>
      </w:r>
      <w:r w:rsidR="00CF043C" w:rsidRPr="00CF043C">
        <w:rPr>
          <w:noProof/>
        </w:rPr>
        <w:drawing>
          <wp:inline distT="0" distB="0" distL="0" distR="0" wp14:anchorId="4559B319" wp14:editId="6DBBDC8E">
            <wp:extent cx="1055370" cy="379730"/>
            <wp:effectExtent l="0" t="0" r="0" b="1270"/>
            <wp:docPr id="1118173296" name="Picture 2" descr="A black line with a he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173296" name="Picture 2" descr="A black line with a heart&#10;&#10;AI-generated content may be incorrect."/>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055370" cy="379730"/>
                    </a:xfrm>
                    <a:prstGeom prst="rect">
                      <a:avLst/>
                    </a:prstGeom>
                    <a:noFill/>
                    <a:ln>
                      <a:noFill/>
                    </a:ln>
                  </pic:spPr>
                </pic:pic>
              </a:graphicData>
            </a:graphic>
          </wp:inline>
        </w:drawing>
      </w:r>
      <w:r w:rsidRPr="00DA5682">
        <w:rPr>
          <w:sz w:val="24"/>
          <w:szCs w:val="24"/>
        </w:rPr>
        <w:t>.. Print Name:……</w:t>
      </w:r>
      <w:r w:rsidR="00C27325">
        <w:rPr>
          <w:sz w:val="24"/>
          <w:szCs w:val="24"/>
        </w:rPr>
        <w:t>L.Hocking...</w:t>
      </w:r>
      <w:r w:rsidRPr="00DA5682">
        <w:rPr>
          <w:sz w:val="24"/>
          <w:szCs w:val="24"/>
        </w:rPr>
        <w:t>……….Date:</w:t>
      </w:r>
      <w:r w:rsidR="00AE0FAC">
        <w:rPr>
          <w:sz w:val="24"/>
          <w:szCs w:val="24"/>
        </w:rPr>
        <w:t>.02</w:t>
      </w:r>
      <w:r w:rsidR="00AE0FAC" w:rsidRPr="00AE0FAC">
        <w:rPr>
          <w:sz w:val="24"/>
          <w:szCs w:val="24"/>
          <w:vertAlign w:val="superscript"/>
        </w:rPr>
        <w:t>nd</w:t>
      </w:r>
      <w:r w:rsidR="00AE0FAC">
        <w:rPr>
          <w:sz w:val="24"/>
          <w:szCs w:val="24"/>
        </w:rPr>
        <w:t xml:space="preserve"> October 2025.</w:t>
      </w:r>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2"/>
      <w:footerReference w:type="default" r:id="rId5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4AE1E3" w14:textId="77777777" w:rsidR="00EB2F36" w:rsidRDefault="00EB2F36">
      <w:r>
        <w:separator/>
      </w:r>
    </w:p>
  </w:endnote>
  <w:endnote w:type="continuationSeparator" w:id="0">
    <w:p w14:paraId="39127E04" w14:textId="77777777" w:rsidR="00EB2F36" w:rsidRDefault="00EB2F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81CDD6" w14:textId="77777777" w:rsidR="00EB2F36" w:rsidRDefault="00EB2F36">
      <w:r>
        <w:separator/>
      </w:r>
    </w:p>
  </w:footnote>
  <w:footnote w:type="continuationSeparator" w:id="0">
    <w:p w14:paraId="378D4C47" w14:textId="77777777" w:rsidR="00EB2F36" w:rsidRDefault="00EB2F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3E44"/>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44F6"/>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255B"/>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5DBE"/>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36BE"/>
    <w:rsid w:val="004348AE"/>
    <w:rsid w:val="004376C0"/>
    <w:rsid w:val="0044223A"/>
    <w:rsid w:val="00450B67"/>
    <w:rsid w:val="00451851"/>
    <w:rsid w:val="0045189A"/>
    <w:rsid w:val="00452FE7"/>
    <w:rsid w:val="00453343"/>
    <w:rsid w:val="004538C3"/>
    <w:rsid w:val="004608B9"/>
    <w:rsid w:val="00463B55"/>
    <w:rsid w:val="00465947"/>
    <w:rsid w:val="004667B1"/>
    <w:rsid w:val="0046754A"/>
    <w:rsid w:val="00467F66"/>
    <w:rsid w:val="00470228"/>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26DB"/>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77FE8"/>
    <w:rsid w:val="00581E0A"/>
    <w:rsid w:val="005841E5"/>
    <w:rsid w:val="00586D89"/>
    <w:rsid w:val="005877C8"/>
    <w:rsid w:val="00587923"/>
    <w:rsid w:val="0059227E"/>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83E"/>
    <w:rsid w:val="00614DF7"/>
    <w:rsid w:val="006179BB"/>
    <w:rsid w:val="0062158D"/>
    <w:rsid w:val="006223FD"/>
    <w:rsid w:val="006326D1"/>
    <w:rsid w:val="00632E0A"/>
    <w:rsid w:val="00633165"/>
    <w:rsid w:val="006338F9"/>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11AE"/>
    <w:rsid w:val="0069625A"/>
    <w:rsid w:val="00696A88"/>
    <w:rsid w:val="00696F65"/>
    <w:rsid w:val="00697572"/>
    <w:rsid w:val="006B4496"/>
    <w:rsid w:val="006B5E67"/>
    <w:rsid w:val="006B6612"/>
    <w:rsid w:val="006C2EB5"/>
    <w:rsid w:val="006C6574"/>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6FE9"/>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18E4"/>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3592"/>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0AED"/>
    <w:rsid w:val="00A22441"/>
    <w:rsid w:val="00A23F3B"/>
    <w:rsid w:val="00A24406"/>
    <w:rsid w:val="00A25F64"/>
    <w:rsid w:val="00A275F6"/>
    <w:rsid w:val="00A303B9"/>
    <w:rsid w:val="00A37416"/>
    <w:rsid w:val="00A40ED6"/>
    <w:rsid w:val="00A47621"/>
    <w:rsid w:val="00A479CD"/>
    <w:rsid w:val="00A50CFC"/>
    <w:rsid w:val="00A53B2A"/>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0FAC"/>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194B"/>
    <w:rsid w:val="00BD30B1"/>
    <w:rsid w:val="00BE0F7B"/>
    <w:rsid w:val="00BE10C2"/>
    <w:rsid w:val="00BF06CB"/>
    <w:rsid w:val="00BF0D6C"/>
    <w:rsid w:val="00C01D14"/>
    <w:rsid w:val="00C01D97"/>
    <w:rsid w:val="00C025B4"/>
    <w:rsid w:val="00C029EC"/>
    <w:rsid w:val="00C161FD"/>
    <w:rsid w:val="00C17C9F"/>
    <w:rsid w:val="00C21E28"/>
    <w:rsid w:val="00C23F17"/>
    <w:rsid w:val="00C246F2"/>
    <w:rsid w:val="00C26D0D"/>
    <w:rsid w:val="00C27325"/>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043C"/>
    <w:rsid w:val="00CF2F8A"/>
    <w:rsid w:val="00CF3DB3"/>
    <w:rsid w:val="00D0274B"/>
    <w:rsid w:val="00D0503D"/>
    <w:rsid w:val="00D052BC"/>
    <w:rsid w:val="00D05A5D"/>
    <w:rsid w:val="00D065D8"/>
    <w:rsid w:val="00D07026"/>
    <w:rsid w:val="00D146AE"/>
    <w:rsid w:val="00D22C8F"/>
    <w:rsid w:val="00D3203C"/>
    <w:rsid w:val="00D33491"/>
    <w:rsid w:val="00D3442D"/>
    <w:rsid w:val="00D344BC"/>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0DF5"/>
    <w:rsid w:val="00D912AB"/>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09CD"/>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2F36"/>
    <w:rsid w:val="00EB62E6"/>
    <w:rsid w:val="00EB695F"/>
    <w:rsid w:val="00EC3A85"/>
    <w:rsid w:val="00EC4B89"/>
    <w:rsid w:val="00EC59A5"/>
    <w:rsid w:val="00EC6E15"/>
    <w:rsid w:val="00ED10D9"/>
    <w:rsid w:val="00ED1B30"/>
    <w:rsid w:val="00ED5D03"/>
    <w:rsid w:val="00EE01ED"/>
    <w:rsid w:val="00EE1AC1"/>
    <w:rsid w:val="00EE39D6"/>
    <w:rsid w:val="00EE52AD"/>
    <w:rsid w:val="00EE5BC3"/>
    <w:rsid w:val="00EE6FAB"/>
    <w:rsid w:val="00EF28CA"/>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4C6F"/>
    <w:rsid w:val="00F81FEC"/>
    <w:rsid w:val="00F927A1"/>
    <w:rsid w:val="00F92E4D"/>
    <w:rsid w:val="00F95D08"/>
    <w:rsid w:val="00FA23BD"/>
    <w:rsid w:val="00FA3764"/>
    <w:rsid w:val="00FA41C7"/>
    <w:rsid w:val="00FA4A79"/>
    <w:rsid w:val="00FA56ED"/>
    <w:rsid w:val="00FB05DD"/>
    <w:rsid w:val="00FB0F7C"/>
    <w:rsid w:val="00FB1E01"/>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4E5C"/>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NormalWeb">
    <w:name w:val="Normal (Web)"/>
    <w:basedOn w:val="Normal"/>
    <w:uiPriority w:val="99"/>
    <w:semiHidden/>
    <w:unhideWhenUsed/>
    <w:rsid w:val="00CF043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fkacymru.org.uk/wp-content/uploads/2025/06/AFKA-CYMRU-COMPETENCY-FRAMEWORK-KINSHIP-FOSTER-CARERS-WALES.pdf" TargetMode="External"/><Relationship Id="rId18" Type="http://schemas.openxmlformats.org/officeDocument/2006/relationships/hyperlink" Target="https://www.legislation.gov.uk/ukpga/1989/41" TargetMode="External"/><Relationship Id="rId26" Type="http://schemas.openxmlformats.org/officeDocument/2006/relationships/hyperlink" Target="https://academic.oup.com/bjsw/article/53/4/1945/6884098" TargetMode="External"/><Relationship Id="rId39" Type="http://schemas.openxmlformats.org/officeDocument/2006/relationships/hyperlink" Target="https://www.gov.wales/assessing-care-and-support-needs-individuals-code-practice" TargetMode="External"/><Relationship Id="rId21" Type="http://schemas.openxmlformats.org/officeDocument/2006/relationships/hyperlink" Target="https://www.jstor.org/stable/pdf/44017131.pdf" TargetMode="External"/><Relationship Id="rId34" Type="http://schemas.openxmlformats.org/officeDocument/2006/relationships/hyperlink" Target="https://www.thesocialworkgraduate.com/post/empowerment" TargetMode="External"/><Relationship Id="rId42" Type="http://schemas.openxmlformats.org/officeDocument/2006/relationships/hyperlink" Target="https://gov.wales/placement-outcomes-kinship-care" TargetMode="External"/><Relationship Id="rId47" Type="http://schemas.openxmlformats.org/officeDocument/2006/relationships/hyperlink" Target="https://www.gov.wales/sites/default/files/publications/2024-07/part-2-code-of-practice-general-social-care-functions-2024-version.pdf" TargetMode="External"/><Relationship Id="rId50" Type="http://schemas.openxmlformats.org/officeDocument/2006/relationships/image" Target="media/image3.png"/><Relationship Id="rId55"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basw.co.uk/policy-and-practice/resources/role-supervising-social-worker-foster-care" TargetMode="External"/><Relationship Id="rId29" Type="http://schemas.openxmlformats.org/officeDocument/2006/relationships/hyperlink" Target="https://safeguarding.wales" TargetMode="External"/><Relationship Id="rId11" Type="http://schemas.openxmlformats.org/officeDocument/2006/relationships/hyperlink" Target="https://corambaaf.org.uk/books/undertaking-checks-and-references-fostering-and-adoption-assessments" TargetMode="External"/><Relationship Id="rId24" Type="http://schemas.openxmlformats.org/officeDocument/2006/relationships/hyperlink" Target="https://www.iiste.org/Journals/index.php/JLPG/article/view/62343" TargetMode="External"/><Relationship Id="rId32" Type="http://schemas.openxmlformats.org/officeDocument/2006/relationships/hyperlink" Target="https://www.thefosteringnetwork.org.uk/about-fostering/for-fostering-services/legislation-guidance-and-best-practice/fostering-legislation-guidance-and-best-practice" TargetMode="External"/><Relationship Id="rId37" Type="http://schemas.openxmlformats.org/officeDocument/2006/relationships/hyperlink" Target="https://www.legislation.gov.uk/anaw/2015/3/contents" TargetMode="External"/><Relationship Id="rId40" Type="http://schemas.openxmlformats.org/officeDocument/2006/relationships/hyperlink" Target="https://www.gov.wales/sites/default/files/publications/2019-04/delivering-the-active-offer-information-pack-social-services-and-social-care.pdf" TargetMode="External"/><Relationship Id="rId45" Type="http://schemas.openxmlformats.org/officeDocument/2006/relationships/hyperlink" Target="https://www.gov.wales/sites/default/files/publications/2022-07/more-than-just-words-action-plan-2022-2027.pdf" TargetMode="External"/><Relationship Id="rId53"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hyperlink" Target="https://www.legislation.gov.uk/ukpga/2004/31/contents" TargetMode="External"/><Relationship Id="rId31" Type="http://schemas.openxmlformats.org/officeDocument/2006/relationships/hyperlink" Target="https://www.legislation.gov.uk/wsi/2015/1818/contents" TargetMode="External"/><Relationship Id="rId44" Type="http://schemas.openxmlformats.org/officeDocument/2006/relationships/hyperlink" Target="https://www.gov.wales/sites/default/files/publications/2019-04/guidance-for-providers-and-responsible-individuals-of-regulated-fostering-services.pdf" TargetMode="External"/><Relationship Id="rId52"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fkacymru.org.uk/wp-content/uploads/2025/09/Foster-Wales-Good-practice-Guide-for-the-Assessment-and-Support-of-Connected-Persons-Foster-Carers.pdf" TargetMode="External"/><Relationship Id="rId22" Type="http://schemas.openxmlformats.org/officeDocument/2006/relationships/hyperlink" Target="https://www.legislation.gov.uk/anaw/2014/4" TargetMode="External"/><Relationship Id="rId27" Type="http://schemas.openxmlformats.org/officeDocument/2006/relationships/hyperlink" Target="https://socialcare.wales/resources-guidance/early-years-and-childcare/national-occupational-standards-nos" TargetMode="External"/><Relationship Id="rId30" Type="http://schemas.openxmlformats.org/officeDocument/2006/relationships/hyperlink" Target="https://socialcare.wales/dealing-with-concerns/codes-of-practice-and-guidance" TargetMode="External"/><Relationship Id="rId35" Type="http://schemas.openxmlformats.org/officeDocument/2006/relationships/hyperlink" Target="https://www.legislation.gov.uk/ukpga/1998/42/schedule/1/part/I/chapter/7" TargetMode="External"/><Relationship Id="rId43" Type="http://schemas.openxmlformats.org/officeDocument/2006/relationships/hyperlink" Target="https://www.gov.wales/sites/default/files/publications/2019-04/guidance-for-providers-and-responsible-individuals-of-regulated-fostering-services.pdf" TargetMode="External"/><Relationship Id="rId48" Type="http://schemas.openxmlformats.org/officeDocument/2006/relationships/hyperlink" Target="https://www.gov.wales/safeguarding-guidance" TargetMode="External"/><Relationship Id="rId8" Type="http://schemas.openxmlformats.org/officeDocument/2006/relationships/footnotes" Target="footnotes.xml"/><Relationship Id="rId51" Type="http://schemas.openxmlformats.org/officeDocument/2006/relationships/image" Target="media/image4.jpg"/><Relationship Id="rId3" Type="http://schemas.openxmlformats.org/officeDocument/2006/relationships/customXml" Target="../customXml/item3.xml"/><Relationship Id="rId12" Type="http://schemas.openxmlformats.org/officeDocument/2006/relationships/hyperlink" Target="https://afkacymru.org.uk/good-practice-guides/" TargetMode="External"/><Relationship Id="rId17" Type="http://schemas.openxmlformats.org/officeDocument/2006/relationships/hyperlink" Target="https://www.legislation.gov.uk/anaw/2020/3" TargetMode="External"/><Relationship Id="rId25" Type="http://schemas.openxmlformats.org/officeDocument/2006/relationships/hyperlink" Target="https://academic.oup.com/bjsw/article-abstract/52/1/554/6134870" TargetMode="External"/><Relationship Id="rId33" Type="http://schemas.openxmlformats.org/officeDocument/2006/relationships/hyperlink" Target="https://www.health.org.uk/sites/default/files/PersonCentredCareFromIdeasToAction.pdf" TargetMode="External"/><Relationship Id="rId38" Type="http://schemas.openxmlformats.org/officeDocument/2006/relationships/hyperlink" Target="https://www.legislation.gov.uk/anaw/2014/4/contents" TargetMode="External"/><Relationship Id="rId46" Type="http://schemas.openxmlformats.org/officeDocument/2006/relationships/hyperlink" Target="https://www.gov.wales/working-together-safeguard-people-code-safeguarding-practice" TargetMode="External"/><Relationship Id="rId20" Type="http://schemas.openxmlformats.org/officeDocument/2006/relationships/hyperlink" Target="https://www.communitycare.co.uk/2024/12/19/look-back-at-the-brilliant-social-work-colleagues-of-2024/" TargetMode="External"/><Relationship Id="rId41" Type="http://schemas.openxmlformats.org/officeDocument/2006/relationships/hyperlink" Target="https://www.legislation.gov.uk/wsi/2015/1466/made"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basw.co.uk/resources/basw-code-ethics-social-work" TargetMode="External"/><Relationship Id="rId23" Type="http://schemas.openxmlformats.org/officeDocument/2006/relationships/hyperlink" Target="https://doi.org/10.1093/bjsw/bcab054" TargetMode="External"/><Relationship Id="rId28" Type="http://schemas.openxmlformats.org/officeDocument/2006/relationships/hyperlink" Target="https://socialcare.wales/cms-assets/documents/Code-of-Professional-Practice-for-Social-Care-web-version.pdf" TargetMode="External"/><Relationship Id="rId36" Type="http://schemas.openxmlformats.org/officeDocument/2006/relationships/hyperlink" Target="http://www.understandingwelshplaces.wales" TargetMode="External"/><Relationship Id="rId4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c01d9ee1-0eb0-4754-99ae-03ae8a732b50}" enabled="0" method="" siteId="{c01d9ee1-0eb0-4754-99ae-03ae8a732b50}" removed="1"/>
</clbl:labelList>
</file>

<file path=docProps/app.xml><?xml version="1.0" encoding="utf-8"?>
<Properties xmlns="http://schemas.openxmlformats.org/officeDocument/2006/extended-properties" xmlns:vt="http://schemas.openxmlformats.org/officeDocument/2006/docPropsVTypes">
  <Template>Normal</Template>
  <TotalTime>28</TotalTime>
  <Pages>16</Pages>
  <Words>4870</Words>
  <Characters>27763</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32568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Helen Tanner</cp:lastModifiedBy>
  <cp:revision>7</cp:revision>
  <cp:lastPrinted>2020-02-11T19:20:00Z</cp:lastPrinted>
  <dcterms:created xsi:type="dcterms:W3CDTF">2025-10-03T07:20:00Z</dcterms:created>
  <dcterms:modified xsi:type="dcterms:W3CDTF">2025-10-03T08:50:00Z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