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8"/>
          <w:shd w:fill="auto" w:val="clear"/>
        </w:rPr>
        <w:t xml:space="preserve">University of Wales Trinity saint David</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8"/>
          <w:shd w:fill="auto" w:val="clear"/>
        </w:rPr>
        <w:t xml:space="preserve">Name: Onika Nembhard</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8"/>
          <w:shd w:fill="auto" w:val="clear"/>
        </w:rPr>
        <w:t xml:space="preserve">Student number: 2432998</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8"/>
          <w:shd w:fill="auto" w:val="clear"/>
        </w:rPr>
        <w:t xml:space="preserve">Module: Principles of Health and Social Care Practice</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8"/>
          <w:shd w:fill="auto" w:val="clear"/>
        </w:rPr>
        <w:t xml:space="preserve">Module code: BMHP5016</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8"/>
          <w:shd w:fill="auto" w:val="clear"/>
        </w:rPr>
        <w:t xml:space="preserve">Lecturer name: Azida Zainol</w:t>
      </w:r>
    </w:p>
    <w:p>
      <w:pPr>
        <w:spacing w:before="0" w:after="160" w:line="360"/>
        <w:ind w:right="0" w:left="0" w:firstLine="0"/>
        <w:jc w:val="left"/>
        <w:rPr>
          <w:rFonts w:ascii="Arial" w:hAnsi="Arial" w:cs="Arial" w:eastAsia="Arial"/>
          <w:b/>
          <w:color w:val="auto"/>
          <w:spacing w:val="0"/>
          <w:position w:val="0"/>
          <w:sz w:val="28"/>
          <w:shd w:fill="auto" w:val="clear"/>
        </w:rPr>
      </w:pPr>
    </w:p>
    <w:p>
      <w:pPr>
        <w:spacing w:before="0" w:after="160" w:line="27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279"/>
        <w:ind w:right="0" w:left="0" w:firstLine="0"/>
        <w:jc w:val="left"/>
        <w:rPr>
          <w:rFonts w:ascii="Arial" w:hAnsi="Arial" w:cs="Arial" w:eastAsia="Arial"/>
          <w:color w:val="auto"/>
          <w:spacing w:val="0"/>
          <w:position w:val="0"/>
          <w:sz w:val="24"/>
          <w:shd w:fill="auto" w:val="clear"/>
        </w:rPr>
      </w:pPr>
    </w:p>
    <w:p>
      <w:pPr>
        <w:spacing w:before="0" w:after="160" w:line="279"/>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8"/>
          <w:shd w:fill="auto" w:val="clear"/>
        </w:rPr>
        <w:t xml:space="preserve">Abstract </w:t>
      </w:r>
    </w:p>
    <w:p>
      <w:pPr>
        <w:spacing w:before="0" w:after="160" w:line="279"/>
        <w:ind w:right="0" w:left="0" w:firstLine="0"/>
        <w:jc w:val="left"/>
        <w:rPr>
          <w:rFonts w:ascii="Arial" w:hAnsi="Arial" w:cs="Arial" w:eastAsia="Arial"/>
          <w:b/>
          <w:color w:val="auto"/>
          <w:spacing w:val="0"/>
          <w:position w:val="0"/>
          <w:sz w:val="28"/>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This report critically evaluated person-centred care and partnership working within adult community care. Carl Rogers’ Person-Centred Theory was examined alongside the ethical principles of autonomy. Beneficence, non-maleficence, and justice to assess their contribution to effective practice. </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The report also evaluated the role of partnership working and considered how the Care Act 2014, Health and Care Act 2022, Human Rights Act 1998 and Equality Act 2010 support collaborative and person-centred approaches. The findings indicate that these ethical, theoretical, and legislative frameworks promote high-quality care and improve outcomes for individuals when implemented effectively.</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Workforce shortages, financial pressures, and communication barriers continue to present significant challenges. The report concludes that strengthening multidisciplinary collaboration, investing in workforce development and maintaining person-centred values are essential to improving the quality of and continuity of adult community health and social care services</w:t>
      </w:r>
    </w:p>
    <w:p>
      <w:pPr>
        <w:spacing w:before="0" w:after="160" w:line="27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279"/>
        <w:ind w:right="0" w:left="0" w:firstLine="0"/>
        <w:jc w:val="left"/>
        <w:rPr>
          <w:rFonts w:ascii="Arial" w:hAnsi="Arial" w:cs="Arial" w:eastAsia="Arial"/>
          <w:color w:val="auto"/>
          <w:spacing w:val="0"/>
          <w:position w:val="0"/>
          <w:sz w:val="24"/>
          <w:shd w:fill="auto" w:val="clear"/>
        </w:rPr>
      </w:pPr>
    </w:p>
    <w:p>
      <w:pPr>
        <w:spacing w:before="0" w:after="160" w:line="279"/>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8"/>
          <w:shd w:fill="auto" w:val="clear"/>
        </w:rPr>
        <w:t xml:space="preserve">Introduction </w:t>
      </w:r>
    </w:p>
    <w:p>
      <w:pPr>
        <w:spacing w:before="0" w:after="160" w:line="279"/>
        <w:ind w:right="0" w:left="0" w:firstLine="0"/>
        <w:jc w:val="left"/>
        <w:rPr>
          <w:rFonts w:ascii="Arial" w:hAnsi="Arial" w:cs="Arial" w:eastAsia="Arial"/>
          <w:b/>
          <w:color w:val="auto"/>
          <w:spacing w:val="0"/>
          <w:position w:val="0"/>
          <w:sz w:val="28"/>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This report critically examines the role of person-centred care (PCC) and partnership working (PW) within adult community health and social care services in England. The report begins by defining person-centred care and evaluating its principal benefits and limitations within community services.</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It then analyses Carl Rogers’ Person-Centred Theory, exploring how its principles underpin contemporary person-centred care practice. The report examines the ethical foundations of health and social care, including autonomy, beneficence, non-maleficence, and justice, before evaluating the importance of partnership working through multidisciplinary and integrated approaches to care. </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Relevant UK legislation and policy, including the Care Act 2014, Health and Care Act 2022, Equality Act 2010 and Human Rights Act 1998, are discussed in relation to person-centred care and partnership working. Finally, evidence-based recommendations are presented to support future improvements in policy and practice within community care services across the United Kingdom.</w:t>
      </w:r>
    </w:p>
    <w:p>
      <w:pPr>
        <w:spacing w:before="0" w:after="160" w:line="27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279"/>
        <w:ind w:right="0" w:left="0" w:firstLine="0"/>
        <w:jc w:val="left"/>
        <w:rPr>
          <w:rFonts w:ascii="Arial" w:hAnsi="Arial" w:cs="Arial" w:eastAsia="Arial"/>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8"/>
          <w:shd w:fill="auto" w:val="clear"/>
        </w:rPr>
        <w:t xml:space="preserve">Definition of Person-Centred Care</w:t>
      </w:r>
    </w:p>
    <w:p>
      <w:pPr>
        <w:spacing w:before="0" w:after="160" w:line="360"/>
        <w:ind w:right="0" w:left="0" w:firstLine="0"/>
        <w:jc w:val="left"/>
        <w:rPr>
          <w:rFonts w:ascii="Arial" w:hAnsi="Arial" w:cs="Arial" w:eastAsia="Arial"/>
          <w:b/>
          <w:color w:val="auto"/>
          <w:spacing w:val="0"/>
          <w:position w:val="0"/>
          <w:sz w:val="28"/>
          <w:shd w:fill="auto" w:val="clear"/>
        </w:rPr>
      </w:pP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Person-centred care (PCC) is a comprehensive approach to health and social care that places individuals at the centre of decisions-making about their care. It recognises individuals' values, preferences, strengths, and life experience when planning and delivering care. Rather than focusing solely on a person's illness or disability, person-centred care promotes dignity, choice, and active participation by ensuring that people are treated as equal partners in planning, delivering, and reviewing the care they receive (NICE, 2021.</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One main benefit of person-centred care is improved patient satisfaction and overall health outcomes. Research suggests that involving individuals in decision-making about their care makes them feel respected, develop greater trust in professionals, and engage with treatment and support plans (Coulter et al., 2015).</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Implementing person-centred care can be challenging. Increasing demand for health and social care services, workforce shortages, and limited funding place significant pressure on professionals. Resource constraints reduce time available to build meaningful relationships with individuals, complete comprehensive assessments and involve individuals fully in shared decision-making (The Health Foundation, 2016).</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Professionals working in community care often face challenges when balancing individual wishes with legal duties, and some professionals may continue to use traditional, professionally led approaches in which decisions are made on behalf of individuals, which m limits the implementation of person-centred care (NICE, 2021; SCIE, 2022).</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Person-centred care is recognised as the foundation of high-quality health and social care practice in the UK. However, competing demands and resistance to change create ethical and practical challenges. Successful implementation relies on effective leadership, sufficient resources, ongoing professional development, and collaborative practice (Health Foundation, 2016; NHS England, 2024).</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Within community care services, person-centred care is essential to supporting adults with long-term health conditions to remain as independent as possible while receiving coordinated care within their own homes and local communities. Professionals, including social workers, care workers, community nurses, occupational therapists, and voluntary sector organisations work collaboratively with service-users and their families to develop care plans that reflect individual circumstances and desired outcomes NICE, 2021; NHS England, 2024). This approach is consistent with the principles established by the Care Act 2014, which places wellbeing, choice, and control at the centre of adult social care (Care Act 2014).</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The principles underpinning person-centred care are strongly influenced by Carl Rogers Person-Centred Theory, which continues to shape contemporary approaches to health and social care (Rogers, 1961; NHS England, 2024).</w:t>
      </w: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8"/>
          <w:shd w:fill="auto" w:val="clear"/>
        </w:rPr>
        <w:t xml:space="preserve">Carl Rogers’ Person-Centred Theory</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Carl Rogers Person-Centred Theory influenced the development of modern person-centred care. Rogers argued that meaningful change occurs when professionals create supportive relationships based on empathy, respect, and authenticity. Enabling individuals to participate continues to influence health and social care practice (Rogers, 1961). These principles underpin contemporary health and social care practice by promoting collaboration, dignity, and shared decision-making (NHS England, 2024; NICE, 2021). </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Rogers (1961) identified three core conditions for developing effective helping relationships: empathy, unconditional positive regard, and congruence. Empathy enables practitioners to understand an individuals' experiences from their perspective, while unconditional positive regard involves accepting people without judgement or discrimination. Congruence refers to professionals being genuine, honest, and transparent in their interactions. Together, these principles promote trust, effective communication and shared decision-making which are central to high-quality care.</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Rogers’ theory can be applied when supporting an individual with a disability living the community to develop a personalised support plan. Rather than making assumptions about their needs, professionals work collaboratively with individuals to identify their priorities, promote independence, and agree realistic goals. This partnership approach respects the individual’s circumstances while encouraging participation in decisions about their care. This approach is consistent with the principles of the Care Act 2014 (Care Act 2014; NICE, 2021).</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A strength of Rogers’ theory is its emphasis on developing therapeutic relationships based on empathy, trust, and mutual respect. This encourages open communication enabling practitioners to gain understanding of individual needs, values, and personal goals. Within community care, this supports personalised assessments and care planning, helping professionals deliver care that reflects the individual’s priorities and not relying solely on professional judgement (NHS England, 2024).</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Rogers’ theory has limitations when applied to contemporary health and social care. The theory assumes that individuals are willing and able to participate in decisions about their care. This may not always be possible for people living with impaired decision-making capacity. In addition, workforce shortages, increasing caseloads, and limited resources reduce opportunities for practitioners to build the trusting relationships that Rogers considered essential to effective person-centred care practice (The Health Foundation, 2016).</w:t>
      </w: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Ethical fundamentals</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Ethical principles provide a framework for making decisions that promote the rights, wellbeing, and dignity of individuals. Within community care, practitioners often face complex situations that require a balance of individual preferences with professional responsibilities. The principles of autonomy, beneficence, non-maleficence, and justice underpin person-centred care by guiding practitioners to deliver safe, respectful, and equitable care (Beauchamp and Childress, 2019).</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Autonomy is an individual’s right to make informed decisions about their own care. Respecting autonomy is central to person-centred practice because it recognises individuals as active participants rather than passive recipients of care. Within community care, practitioners should involve service users in assessment, care planning, and shared decision-making. However, professionals must also consider situations where decision-making capacity is impaired, ensuring that practice complies with the Mental Capacity Act 2005 while protecting the individual's rights and wellbeing (Beauchamp and Childress, 2019; Mental Capacity Act 2005).</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Beneficence requires professionals to act in ways that promote the wellbeing of those they support, while non-maleficence emphasises the responsibility to avoid causing harm. These principles require practitioners to use evidence-based practice, exercise professional judgement and carefully assess potential risks and benefits before making decisions. In community settings achieving the right balance can be challenging when respecting an individual’s wishes conflict with safeguarding responsibilities. (Beauchamp and Childress, 2019; NICE, 2021).</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The principle of justice requires care services to provide fair and equitable access to care regardless of age, disability, ethnicity, gender, religion, or socioeconomic background. This principle supports inclusive practice and reduces health inequalities by ensuring individuals receive services according to their assessed needs and not personal characteristics (Equality Act 2010; SCIE, 2022).</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Ethical principles provide guidance for professional practice; however, they do not offer straightforward solutions. Practitioners must often balance competing ethical responsibilities while considering legal requirements, organisational policies, and individual preferences (Beauchamp and Childress, 2019).</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For example, an individual receiving community care refused personal care despite professionals believing that the support will reduce the risk of harm. Respecting the individual's autonomy supports their right to refuse care, while the principles of beneficence and non-maleficence require professionals to promote wellbeing and minimise harm. This creates an ethical dilemma, and practitioners must balance respecting individual choice with legal duties. When individuals have mental capacity, professionals should respect their decision and inform them of potential risks. If there are concerns regarding capacity, further assessments, adjustments, and multidisciplinary discussion may be required (Mental Capacity Act 2005; Nice, 2021).</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The individual may consider independence as the highest priority, and family members may prioritise safety. Professionals must balance legal responsibilities, ethical principles, and professional standards. Collaborative decision-making can help achieve the most person-centred outcome (SCIE, 2022; NHS England, 2024).</w:t>
      </w: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8"/>
          <w:shd w:fill="auto" w:val="clear"/>
        </w:rPr>
        <w:t xml:space="preserve">Evaluation of Partnership Working</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Partnership working is the collaboration between health and social care professionals, organisations, service users and carers to plan, deliver and evaluate care. The aim is to provide coordinated, care services that improve outcomes while responding effectively to an individual’s physical, emotional, and social needs (SCIE, 2022). </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Partnership working is essential within community care because individuals often require support from several professionals and agencies. Effective collaboration ensures that care is coordinated, reduces duplication of services and enables individuals to receive more holistic support (SCIE, 2022; NHS England, 2024).</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The Integrated Care Systems (ICSs) under the Health and Care Act 2022 strengthened partnership working by encouraging NHS organisations, local authorities, and voluntary sector providers to work collaboratively, with the aim to improve communication, reduce fragmented care, and deliver service that reflects the needs of local communities (NHS England, 2024).</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Partnership working is the positive impact on service delivery and health outcomes. In community care, multidisciplinary collaboration enables professionals to share knowledge and develop comprehensive care plans and promote continuity of care (SCIE, 2022; NHS England, 2024).</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Differences in organisational priorities and communication are among the factors that reduce collaboration between agencies. Information sharing can be challenging due to data protection requirements, while other factors including increasing demand are barriers that reduce effectiveness of services (Health and Care Act 2022; NHS England, 2024).</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Although challenges remain, partnership working has transformed the delivery of adult community care by encouraging greater collaboration between organisations and professionals. Continued investment in areas such as integrated services and workforce development will maximise its benefits and improve health outcomes (NHS England, 2024; SCIE, 2022).</w:t>
      </w: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Policy and Legislation</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Policy and legislation provide a legal framework that underpins person-centred care and partnership working withing community care (Care Act 2014; Health and Care Act 2022). The Care Act 2014 places individual wellbeing at the centre of adult social care. The Act supports person-centred care by requiring local authorities to promote independence, choice, and control (Care Act 2014).</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The Health and Care Act 2022 strengthens partnership working through the establishment of Integrated Care Systems (ICSs), encouraging NHS organisations, local authorities, and voluntary sector providers to work collaboratively to improve health outcomes and reduce inequalities. The Human Rights Act 1998 reinforces person-centred practice by protecting fundamental rights, including respect for dignity, privacy, autonomy, and family life (Health and Care Act 2022; Human Rights Act 1998).</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The Equality Act 2010 promotes fair and equitable access to care by protecting individuals from discrimination based on protected characteristics such as age, disability, race, religion, and sex. These policies and legislative frameworks provide a solid foundation for person-centred care and partnership working. However, legislation alone cannot guarantee high-quality practice. Implementation relies on sufficient resources, skilled professionals and sustained commitment to collaborative, person-centred care within community care (Equality Act 2010; The Health Foundation, 2016).</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Within community care, the Care Act 2014 requires professionals to involve individuals in care planning and decision-making. A social worker supporting individuals with mobility difficulties would work alongside community nurses, occupational therapists, and the individual to develop a personalised care plan to meet their assessed needs (Care Act 2014; NICE, 2021).</w:t>
      </w: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8"/>
          <w:shd w:fill="auto" w:val="clear"/>
        </w:rPr>
        <w:t xml:space="preserve">Recommendations</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To strengthen person-centred care and partnership working, social care organisations should provide regular training to improve communication, ethical decision-making, and collaborative practice. Investment in integrated digital systems should be prioritised to enable timely information sharing between professionals and improve continuity of care. Finally greater investment in adult social care workforce is needed to address staff shortages and increasing demand. Improving recruitment retention and professional development will enable practitioners to allocate more time to delivering personalised, coordinated care and improve outcomes for individuals receiving community-based care services (NHS England, 2024; Skills for Care, 2024).</w:t>
      </w: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8"/>
          <w:shd w:fill="auto" w:val="clear"/>
        </w:rPr>
        <w:t xml:space="preserve">Conclusion</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This report demonstrated that person-centred care is fundamental to delivering high-quality care within community care. Carl Rogers’ Person-Centred Theory highlights the importance of empathy, respect, and collaborative relationships in supporting individuals to participate in decisions about their care. The discussion showed that ethical principles, including autonomy, beneficence, non-maleficence and justice, are essential in guiding professional decision-making and balancing individual choice with duty of care. Effective partnership working enables multidisciplinary teams to deliver coordinated, holistic support, improving continuity of care.</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UK legislation, including the Care Act 2014, Health and Care Act 2022, Human Rights Act 1998 and Equality Act 2010, provides a framework for promoting person-centred and collaborative practice is essential to improve outcomes for adults receiving community-based care.</w:t>
      </w: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27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 </w:t>
      </w:r>
    </w:p>
    <w:p>
      <w:pPr>
        <w:spacing w:before="0" w:after="160" w:line="27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279"/>
        <w:ind w:right="0" w:left="0" w:firstLine="0"/>
        <w:jc w:val="left"/>
        <w:rPr>
          <w:rFonts w:ascii="Arial" w:hAnsi="Arial" w:cs="Arial" w:eastAsia="Arial"/>
          <w:color w:val="auto"/>
          <w:spacing w:val="0"/>
          <w:position w:val="0"/>
          <w:sz w:val="24"/>
          <w:shd w:fill="auto" w:val="clear"/>
        </w:rPr>
      </w:pPr>
    </w:p>
    <w:p>
      <w:pPr>
        <w:spacing w:before="0" w:after="160" w:line="279"/>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8"/>
          <w:shd w:fill="auto" w:val="clear"/>
        </w:rPr>
        <w:t xml:space="preserve">Reference List</w:t>
      </w:r>
    </w:p>
    <w:p>
      <w:pPr>
        <w:spacing w:before="0" w:after="160" w:line="279"/>
        <w:ind w:right="0" w:left="0" w:firstLine="0"/>
        <w:jc w:val="left"/>
        <w:rPr>
          <w:rFonts w:ascii="Arial" w:hAnsi="Arial" w:cs="Arial" w:eastAsia="Arial"/>
          <w:b/>
          <w:color w:val="auto"/>
          <w:spacing w:val="0"/>
          <w:position w:val="0"/>
          <w:sz w:val="28"/>
          <w:shd w:fill="auto" w:val="clear"/>
        </w:rPr>
      </w:pP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Beauchamp, T.L. and Childress, J.F. (2019)</w:t>
      </w:r>
      <w:r>
        <w:rPr>
          <w:rFonts w:ascii="Arial" w:hAnsi="Arial" w:cs="Arial" w:eastAsia="Arial"/>
          <w:i/>
          <w:color w:val="auto"/>
          <w:spacing w:val="0"/>
          <w:position w:val="0"/>
          <w:sz w:val="22"/>
          <w:shd w:fill="auto" w:val="clear"/>
        </w:rPr>
        <w:t xml:space="preserve"> Principles of Biomedical Ethics.</w:t>
      </w:r>
      <w:r>
        <w:rPr>
          <w:rFonts w:ascii="Arial" w:hAnsi="Arial" w:cs="Arial" w:eastAsia="Arial"/>
          <w:color w:val="auto"/>
          <w:spacing w:val="0"/>
          <w:position w:val="0"/>
          <w:sz w:val="22"/>
          <w:shd w:fill="auto" w:val="clear"/>
        </w:rPr>
        <w:t xml:space="preserve"> 8</w:t>
      </w:r>
      <w:r>
        <w:rPr>
          <w:rFonts w:ascii="Arial" w:hAnsi="Arial" w:cs="Arial" w:eastAsia="Arial"/>
          <w:color w:val="auto"/>
          <w:spacing w:val="0"/>
          <w:position w:val="0"/>
          <w:sz w:val="22"/>
          <w:shd w:fill="auto" w:val="clear"/>
          <w:vertAlign w:val="superscript"/>
        </w:rPr>
        <w:t xml:space="preserve">th</w:t>
      </w:r>
      <w:r>
        <w:rPr>
          <w:rFonts w:ascii="Arial" w:hAnsi="Arial" w:cs="Arial" w:eastAsia="Arial"/>
          <w:color w:val="auto"/>
          <w:spacing w:val="0"/>
          <w:position w:val="0"/>
          <w:sz w:val="22"/>
          <w:shd w:fill="auto" w:val="clear"/>
        </w:rPr>
        <w:t xml:space="preserve"> edn. New York: Oxford University Press.</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Care Act 2014. c. 23. Available</w:t>
      </w:r>
      <w:r>
        <w:rPr>
          <w:rFonts w:ascii="Arial" w:hAnsi="Arial" w:cs="Arial" w:eastAsia="Arial"/>
          <w:color w:val="auto"/>
          <w:spacing w:val="0"/>
          <w:position w:val="0"/>
          <w:sz w:val="24"/>
          <w:shd w:fill="auto" w:val="clear"/>
        </w:rPr>
        <w:t xml:space="preserve"> at:</w:t>
      </w:r>
      <w:r>
        <w:rPr>
          <w:rFonts w:ascii="Arial" w:hAnsi="Arial" w:cs="Arial" w:eastAsia="Arial"/>
          <w:color w:val="auto"/>
          <w:spacing w:val="0"/>
          <w:position w:val="0"/>
          <w:sz w:val="22"/>
          <w:shd w:fill="auto" w:val="clear"/>
        </w:rPr>
        <w:t xml:space="preserve"> </w:t>
      </w:r>
      <w:hyperlink xmlns:r="http://schemas.openxmlformats.org/officeDocument/2006/relationships" r:id="docRId0">
        <w:r>
          <w:rPr>
            <w:rFonts w:ascii="Arial" w:hAnsi="Arial" w:cs="Arial" w:eastAsia="Arial"/>
            <w:color w:val="467886"/>
            <w:spacing w:val="0"/>
            <w:position w:val="0"/>
            <w:sz w:val="22"/>
            <w:u w:val="single"/>
            <w:shd w:fill="auto" w:val="clear"/>
          </w:rPr>
          <w:t xml:space="preserve">https://www.legislation.gov.uk/ukpga/2014/23/content</w:t>
        </w:r>
        <w:r>
          <w:rPr>
            <w:rFonts w:ascii="Arial" w:hAnsi="Arial" w:cs="Arial" w:eastAsia="Arial"/>
            <w:color w:val="467886"/>
            <w:spacing w:val="0"/>
            <w:position w:val="0"/>
            <w:sz w:val="22"/>
            <w:u w:val="single"/>
            <w:shd w:fill="auto" w:val="clear"/>
          </w:rPr>
          <w:t xml:space="preserve"> HYPERLINK "https://www.legislation.gov.uk/ukpga/2014/23/contents"</w:t>
        </w:r>
        <w:r>
          <w:rPr>
            <w:rFonts w:ascii="Arial" w:hAnsi="Arial" w:cs="Arial" w:eastAsia="Arial"/>
            <w:color w:val="467886"/>
            <w:spacing w:val="0"/>
            <w:position w:val="0"/>
            <w:sz w:val="22"/>
            <w:u w:val="single"/>
            <w:shd w:fill="auto" w:val="clear"/>
          </w:rPr>
          <w:t xml:space="preserve">s</w:t>
        </w:r>
      </w:hyperlink>
      <w:r>
        <w:rPr>
          <w:rFonts w:ascii="Arial" w:hAnsi="Arial" w:cs="Arial" w:eastAsia="Arial"/>
          <w:color w:val="auto"/>
          <w:spacing w:val="0"/>
          <w:position w:val="0"/>
          <w:sz w:val="22"/>
          <w:shd w:fill="auto" w:val="clear"/>
        </w:rPr>
        <w:t xml:space="preserve"> (Accessed: 19 July 2026).</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Coulter, A., Entwistle, V.A., Eccles, A., Ryan, S., Shepperd, S. and Perera, R. (2015)</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2"/>
          <w:shd w:fill="auto" w:val="clear"/>
        </w:rPr>
        <w:t xml:space="preserve">‘Personalised care planning for adults with chronic long-term health conditions,’ </w:t>
      </w:r>
      <w:r>
        <w:rPr>
          <w:rFonts w:ascii="Arial" w:hAnsi="Arial" w:cs="Arial" w:eastAsia="Arial"/>
          <w:i/>
          <w:color w:val="auto"/>
          <w:spacing w:val="0"/>
          <w:position w:val="0"/>
          <w:sz w:val="22"/>
          <w:shd w:fill="auto" w:val="clear"/>
        </w:rPr>
        <w:t xml:space="preserve">Cochrane Database of Systemic Reviews</w:t>
      </w:r>
      <w:r>
        <w:rPr>
          <w:rFonts w:ascii="Arial" w:hAnsi="Arial" w:cs="Arial" w:eastAsia="Arial"/>
          <w:color w:val="auto"/>
          <w:spacing w:val="0"/>
          <w:position w:val="0"/>
          <w:sz w:val="22"/>
          <w:shd w:fill="auto" w:val="clear"/>
        </w:rPr>
        <w:t xml:space="preserve"> 2015 (3), CD01523. Available at: </w:t>
      </w:r>
      <w:hyperlink xmlns:r="http://schemas.openxmlformats.org/officeDocument/2006/relationships" r:id="docRId1">
        <w:r>
          <w:rPr>
            <w:rFonts w:ascii="Arial" w:hAnsi="Arial" w:cs="Arial" w:eastAsia="Arial"/>
            <w:color w:val="467886"/>
            <w:spacing w:val="0"/>
            <w:position w:val="0"/>
            <w:sz w:val="22"/>
            <w:u w:val="single"/>
            <w:shd w:fill="auto" w:val="clear"/>
          </w:rPr>
          <w:t xml:space="preserve">https://www.cochranelibrary.com/cdsr/</w:t>
        </w:r>
        <w:r>
          <w:rPr>
            <w:rFonts w:ascii="Arial" w:hAnsi="Arial" w:cs="Arial" w:eastAsia="Arial"/>
            <w:color w:val="467886"/>
            <w:spacing w:val="0"/>
            <w:position w:val="0"/>
            <w:sz w:val="22"/>
            <w:u w:val="single"/>
            <w:shd w:fill="auto" w:val="clear"/>
          </w:rPr>
          <w:t xml:space="preserve"> HYPERLINK "https://www.cochranelibrary.com/cdsr/doi/10.1002/14651858.CD010523.pub2/full"</w:t>
        </w:r>
        <w:r>
          <w:rPr>
            <w:rFonts w:ascii="Arial" w:hAnsi="Arial" w:cs="Arial" w:eastAsia="Arial"/>
            <w:color w:val="467886"/>
            <w:spacing w:val="0"/>
            <w:position w:val="0"/>
            <w:sz w:val="22"/>
            <w:u w:val="single"/>
            <w:shd w:fill="auto" w:val="clear"/>
          </w:rPr>
          <w:t xml:space="preserve">doi/10.1002/14651858.CD010523.pub2/full</w:t>
        </w:r>
      </w:hyperlink>
      <w:r>
        <w:rPr>
          <w:rFonts w:ascii="Arial" w:hAnsi="Arial" w:cs="Arial" w:eastAsia="Arial"/>
          <w:color w:val="auto"/>
          <w:spacing w:val="0"/>
          <w:position w:val="0"/>
          <w:sz w:val="22"/>
          <w:shd w:fill="auto" w:val="clear"/>
        </w:rPr>
        <w:t xml:space="preserve"> (Accessed: 19 July 2026).</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Equality Act 2010. c. 15. Available at: </w:t>
      </w:r>
      <w:hyperlink xmlns:r="http://schemas.openxmlformats.org/officeDocument/2006/relationships" r:id="docRId2">
        <w:r>
          <w:rPr>
            <w:rFonts w:ascii="Arial" w:hAnsi="Arial" w:cs="Arial" w:eastAsia="Arial"/>
            <w:color w:val="467886"/>
            <w:spacing w:val="0"/>
            <w:position w:val="0"/>
            <w:sz w:val="22"/>
            <w:u w:val="single"/>
            <w:shd w:fill="auto" w:val="clear"/>
          </w:rPr>
          <w:t xml:space="preserve">https://www.</w:t>
        </w:r>
        <w:r>
          <w:rPr>
            <w:rFonts w:ascii="Arial" w:hAnsi="Arial" w:cs="Arial" w:eastAsia="Arial"/>
            <w:color w:val="467886"/>
            <w:spacing w:val="0"/>
            <w:position w:val="0"/>
            <w:sz w:val="22"/>
            <w:u w:val="single"/>
            <w:shd w:fill="auto" w:val="clear"/>
          </w:rPr>
          <w:t xml:space="preserve"> HYPERLINK "https://www.legislation.gov.uk/ukpga/2010/15/contents"</w:t>
        </w:r>
        <w:r>
          <w:rPr>
            <w:rFonts w:ascii="Arial" w:hAnsi="Arial" w:cs="Arial" w:eastAsia="Arial"/>
            <w:color w:val="467886"/>
            <w:spacing w:val="0"/>
            <w:position w:val="0"/>
            <w:sz w:val="22"/>
            <w:u w:val="single"/>
            <w:shd w:fill="auto" w:val="clear"/>
          </w:rPr>
          <w:t xml:space="preserve">legislation.gov.uk/ukpga/2010/15/content</w:t>
        </w:r>
        <w:r>
          <w:rPr>
            <w:rFonts w:ascii="Arial" w:hAnsi="Arial" w:cs="Arial" w:eastAsia="Arial"/>
            <w:color w:val="467886"/>
            <w:spacing w:val="0"/>
            <w:position w:val="0"/>
            <w:sz w:val="22"/>
            <w:u w:val="single"/>
            <w:shd w:fill="auto" w:val="clear"/>
          </w:rPr>
          <w:t xml:space="preserve"> HYPERLINK "https://www.legislation.gov.uk/ukpga/2010/15/contents"</w:t>
        </w:r>
        <w:r>
          <w:rPr>
            <w:rFonts w:ascii="Arial" w:hAnsi="Arial" w:cs="Arial" w:eastAsia="Arial"/>
            <w:color w:val="467886"/>
            <w:spacing w:val="0"/>
            <w:position w:val="0"/>
            <w:sz w:val="22"/>
            <w:u w:val="single"/>
            <w:shd w:fill="auto" w:val="clear"/>
          </w:rPr>
          <w:t xml:space="preserve">s</w:t>
        </w:r>
      </w:hyperlink>
      <w:r>
        <w:rPr>
          <w:rFonts w:ascii="Arial" w:hAnsi="Arial" w:cs="Arial" w:eastAsia="Arial"/>
          <w:color w:val="auto"/>
          <w:spacing w:val="0"/>
          <w:position w:val="0"/>
          <w:sz w:val="22"/>
          <w:shd w:fill="auto" w:val="clear"/>
        </w:rPr>
        <w:t xml:space="preserve"> (Accessed: 19 July 2026).</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Health and Care Act 2022. c. 31. Available at: </w:t>
      </w:r>
      <w:hyperlink xmlns:r="http://schemas.openxmlformats.org/officeDocument/2006/relationships" r:id="docRId3">
        <w:r>
          <w:rPr>
            <w:rFonts w:ascii="Arial" w:hAnsi="Arial" w:cs="Arial" w:eastAsia="Arial"/>
            <w:color w:val="467886"/>
            <w:spacing w:val="0"/>
            <w:position w:val="0"/>
            <w:sz w:val="22"/>
            <w:u w:val="single"/>
            <w:shd w:fill="auto" w:val="clear"/>
          </w:rPr>
          <w:t xml:space="preserve">https://www.legislation.gov.uk/</w:t>
        </w:r>
        <w:r>
          <w:rPr>
            <w:rFonts w:ascii="Arial" w:hAnsi="Arial" w:cs="Arial" w:eastAsia="Arial"/>
            <w:color w:val="467886"/>
            <w:spacing w:val="0"/>
            <w:position w:val="0"/>
            <w:sz w:val="22"/>
            <w:u w:val="single"/>
            <w:shd w:fill="auto" w:val="clear"/>
          </w:rPr>
          <w:t xml:space="preserve"> HYPERLINK "https://www.legislation.gov.uk/ukpga/2022/31/contents"</w:t>
        </w:r>
        <w:r>
          <w:rPr>
            <w:rFonts w:ascii="Arial" w:hAnsi="Arial" w:cs="Arial" w:eastAsia="Arial"/>
            <w:color w:val="467886"/>
            <w:spacing w:val="0"/>
            <w:position w:val="0"/>
            <w:sz w:val="22"/>
            <w:u w:val="single"/>
            <w:shd w:fill="auto" w:val="clear"/>
          </w:rPr>
          <w:t xml:space="preserve">ukpga/2022/31/contents</w:t>
        </w:r>
      </w:hyperlink>
      <w:r>
        <w:rPr>
          <w:rFonts w:ascii="Arial" w:hAnsi="Arial" w:cs="Arial" w:eastAsia="Arial"/>
          <w:color w:val="auto"/>
          <w:spacing w:val="0"/>
          <w:position w:val="0"/>
          <w:sz w:val="22"/>
          <w:shd w:fill="auto" w:val="clear"/>
        </w:rPr>
        <w:t xml:space="preserve"> (Accessed: 19 July 2026).</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Human Rights Act 1998. c. 42. Available at: </w:t>
      </w:r>
      <w:hyperlink xmlns:r="http://schemas.openxmlformats.org/officeDocument/2006/relationships" r:id="docRId4">
        <w:r>
          <w:rPr>
            <w:rFonts w:ascii="Arial" w:hAnsi="Arial" w:cs="Arial" w:eastAsia="Arial"/>
            <w:color w:val="467886"/>
            <w:spacing w:val="0"/>
            <w:position w:val="0"/>
            <w:sz w:val="22"/>
            <w:u w:val="single"/>
            <w:shd w:fill="auto" w:val="clear"/>
          </w:rPr>
          <w:t xml:space="preserve">https://</w:t>
        </w:r>
        <w:r>
          <w:rPr>
            <w:rFonts w:ascii="Arial" w:hAnsi="Arial" w:cs="Arial" w:eastAsia="Arial"/>
            <w:color w:val="467886"/>
            <w:spacing w:val="0"/>
            <w:position w:val="0"/>
            <w:sz w:val="22"/>
            <w:u w:val="single"/>
            <w:shd w:fill="auto" w:val="clear"/>
          </w:rPr>
          <w:t xml:space="preserve"> HYPERLINK "https://www.legislation.gov.uk/ukpga/1998/42/contents"</w:t>
        </w:r>
        <w:r>
          <w:rPr>
            <w:rFonts w:ascii="Arial" w:hAnsi="Arial" w:cs="Arial" w:eastAsia="Arial"/>
            <w:color w:val="467886"/>
            <w:spacing w:val="0"/>
            <w:position w:val="0"/>
            <w:sz w:val="22"/>
            <w:u w:val="single"/>
            <w:shd w:fill="auto" w:val="clear"/>
          </w:rPr>
          <w:t xml:space="preserve">www.legislation.gov.uk/ukpga/1998/42</w:t>
        </w:r>
        <w:r>
          <w:rPr>
            <w:rFonts w:ascii="Arial" w:hAnsi="Arial" w:cs="Arial" w:eastAsia="Arial"/>
            <w:color w:val="467886"/>
            <w:spacing w:val="0"/>
            <w:position w:val="0"/>
            <w:sz w:val="22"/>
            <w:u w:val="single"/>
            <w:shd w:fill="auto" w:val="clear"/>
          </w:rPr>
          <w:t xml:space="preserve"> HYPERLINK "https://www.legislation.gov.uk/ukpga/1998/42/contents"</w:t>
        </w:r>
        <w:r>
          <w:rPr>
            <w:rFonts w:ascii="Arial" w:hAnsi="Arial" w:cs="Arial" w:eastAsia="Arial"/>
            <w:color w:val="467886"/>
            <w:spacing w:val="0"/>
            <w:position w:val="0"/>
            <w:sz w:val="22"/>
            <w:u w:val="single"/>
            <w:shd w:fill="auto" w:val="clear"/>
          </w:rPr>
          <w:t xml:space="preserve">/contents</w:t>
        </w:r>
      </w:hyperlink>
      <w:r>
        <w:rPr>
          <w:rFonts w:ascii="Arial" w:hAnsi="Arial" w:cs="Arial" w:eastAsia="Arial"/>
          <w:color w:val="auto"/>
          <w:spacing w:val="0"/>
          <w:position w:val="0"/>
          <w:sz w:val="22"/>
          <w:shd w:fill="auto" w:val="clear"/>
        </w:rPr>
        <w:t xml:space="preserve"> (Accessed: 19 July 2026).</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Mental capacity Act 2005. c. 9. Available at: </w:t>
      </w:r>
      <w:hyperlink xmlns:r="http://schemas.openxmlformats.org/officeDocument/2006/relationships" r:id="docRId5">
        <w:r>
          <w:rPr>
            <w:rFonts w:ascii="Arial" w:hAnsi="Arial" w:cs="Arial" w:eastAsia="Arial"/>
            <w:color w:val="467886"/>
            <w:spacing w:val="0"/>
            <w:position w:val="0"/>
            <w:sz w:val="22"/>
            <w:u w:val="single"/>
            <w:shd w:fill="auto" w:val="clear"/>
          </w:rPr>
          <w:t xml:space="preserve">https://www.leg</w:t>
        </w:r>
        <w:r>
          <w:rPr>
            <w:rFonts w:ascii="Arial" w:hAnsi="Arial" w:cs="Arial" w:eastAsia="Arial"/>
            <w:color w:val="467886"/>
            <w:spacing w:val="0"/>
            <w:position w:val="0"/>
            <w:sz w:val="22"/>
            <w:u w:val="single"/>
            <w:shd w:fill="auto" w:val="clear"/>
          </w:rPr>
          <w:t xml:space="preserve"> HYPERLINK "https://www.legislation.gov.uk/ukpga/2005/9/contents"</w:t>
        </w:r>
        <w:r>
          <w:rPr>
            <w:rFonts w:ascii="Arial" w:hAnsi="Arial" w:cs="Arial" w:eastAsia="Arial"/>
            <w:color w:val="467886"/>
            <w:spacing w:val="0"/>
            <w:position w:val="0"/>
            <w:sz w:val="22"/>
            <w:u w:val="single"/>
            <w:shd w:fill="auto" w:val="clear"/>
          </w:rPr>
          <w:t xml:space="preserve">islation.gov.uk/ukpga/2005/9/contents</w:t>
        </w:r>
      </w:hyperlink>
      <w:r>
        <w:rPr>
          <w:rFonts w:ascii="Arial" w:hAnsi="Arial" w:cs="Arial" w:eastAsia="Arial"/>
          <w:color w:val="auto"/>
          <w:spacing w:val="0"/>
          <w:position w:val="0"/>
          <w:sz w:val="22"/>
          <w:shd w:fill="auto" w:val="clear"/>
        </w:rPr>
        <w:t xml:space="preserve"> (Accessed: 19 July 2026).</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National Institute for Health and Care Excellence (NICE) (2021)</w:t>
      </w:r>
      <w:r>
        <w:rPr>
          <w:rFonts w:ascii="Arial" w:hAnsi="Arial" w:cs="Arial" w:eastAsia="Arial"/>
          <w:i/>
          <w:color w:val="auto"/>
          <w:spacing w:val="0"/>
          <w:position w:val="0"/>
          <w:sz w:val="22"/>
          <w:shd w:fill="auto" w:val="clear"/>
        </w:rPr>
        <w:t xml:space="preserve"> Shared decision</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making (NG197)</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6">
        <w:r>
          <w:rPr>
            <w:rFonts w:ascii="Arial" w:hAnsi="Arial" w:cs="Arial" w:eastAsia="Arial"/>
            <w:color w:val="0000FF"/>
            <w:spacing w:val="0"/>
            <w:position w:val="0"/>
            <w:sz w:val="22"/>
            <w:u w:val="single"/>
            <w:shd w:fill="auto" w:val="clear"/>
          </w:rPr>
          <w:t xml:space="preserve">https://www.nice.org.uk/guidance/ng197</w:t>
        </w:r>
      </w:hyperlink>
      <w:r>
        <w:rPr>
          <w:rFonts w:ascii="Arial" w:hAnsi="Arial" w:cs="Arial" w:eastAsia="Arial"/>
          <w:color w:val="auto"/>
          <w:spacing w:val="0"/>
          <w:position w:val="0"/>
          <w:sz w:val="22"/>
          <w:shd w:fill="auto" w:val="clear"/>
        </w:rPr>
        <w:t xml:space="preserve"> (Accessed 19 July 2026).</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NHS England (2024) </w:t>
      </w:r>
      <w:r>
        <w:rPr>
          <w:rFonts w:ascii="Arial" w:hAnsi="Arial" w:cs="Arial" w:eastAsia="Arial"/>
          <w:i/>
          <w:color w:val="auto"/>
          <w:spacing w:val="0"/>
          <w:position w:val="0"/>
          <w:sz w:val="22"/>
          <w:shd w:fill="auto" w:val="clear"/>
        </w:rPr>
        <w:t xml:space="preserve">Personalised care</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7">
        <w:r>
          <w:rPr>
            <w:rFonts w:ascii="Arial" w:hAnsi="Arial" w:cs="Arial" w:eastAsia="Arial"/>
            <w:color w:val="467886"/>
            <w:spacing w:val="0"/>
            <w:position w:val="0"/>
            <w:sz w:val="22"/>
            <w:u w:val="single"/>
            <w:shd w:fill="auto" w:val="clear"/>
          </w:rPr>
          <w:t xml:space="preserve">https://www.england.nhs</w:t>
        </w:r>
        <w:r>
          <w:rPr>
            <w:rFonts w:ascii="Arial" w:hAnsi="Arial" w:cs="Arial" w:eastAsia="Arial"/>
            <w:color w:val="467886"/>
            <w:spacing w:val="0"/>
            <w:position w:val="0"/>
            <w:sz w:val="22"/>
            <w:u w:val="single"/>
            <w:shd w:fill="auto" w:val="clear"/>
          </w:rPr>
          <w:t xml:space="preserve"> HYPERLINK "https://www.england.nhs.uk/personalisedcare/"</w:t>
        </w:r>
        <w:r>
          <w:rPr>
            <w:rFonts w:ascii="Arial" w:hAnsi="Arial" w:cs="Arial" w:eastAsia="Arial"/>
            <w:color w:val="467886"/>
            <w:spacing w:val="0"/>
            <w:position w:val="0"/>
            <w:sz w:val="22"/>
            <w:u w:val="single"/>
            <w:shd w:fill="auto" w:val="clear"/>
          </w:rPr>
          <w:t xml:space="preserve">.uk/personalisedcare/</w:t>
        </w:r>
      </w:hyperlink>
      <w:r>
        <w:rPr>
          <w:rFonts w:ascii="Arial" w:hAnsi="Arial" w:cs="Arial" w:eastAsia="Arial"/>
          <w:color w:val="auto"/>
          <w:spacing w:val="0"/>
          <w:position w:val="0"/>
          <w:sz w:val="22"/>
          <w:shd w:fill="auto" w:val="clear"/>
        </w:rPr>
        <w:t xml:space="preserve"> (Accessed 19 July 2026). </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Rogers, C.R. (1961)</w:t>
      </w:r>
      <w:r>
        <w:rPr>
          <w:rFonts w:ascii="Arial" w:hAnsi="Arial" w:cs="Arial" w:eastAsia="Arial"/>
          <w:i/>
          <w:color w:val="auto"/>
          <w:spacing w:val="0"/>
          <w:position w:val="0"/>
          <w:sz w:val="22"/>
          <w:shd w:fill="auto" w:val="clear"/>
        </w:rPr>
        <w:t xml:space="preserve"> On Becoming a Person: A Therapist’s View of Psychotherapy. Boston: </w:t>
      </w:r>
      <w:r>
        <w:rPr>
          <w:rFonts w:ascii="Arial" w:hAnsi="Arial" w:cs="Arial" w:eastAsia="Arial"/>
          <w:color w:val="auto"/>
          <w:spacing w:val="0"/>
          <w:position w:val="0"/>
          <w:sz w:val="22"/>
          <w:shd w:fill="auto" w:val="clear"/>
        </w:rPr>
        <w:t xml:space="preserve">Houghton Miffin.</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Social Care Institute for Excellence (SCIE) (2022)</w:t>
      </w:r>
      <w:r>
        <w:rPr>
          <w:rFonts w:ascii="Arial" w:hAnsi="Arial" w:cs="Arial" w:eastAsia="Arial"/>
          <w:i/>
          <w:color w:val="auto"/>
          <w:spacing w:val="0"/>
          <w:position w:val="0"/>
          <w:sz w:val="22"/>
          <w:shd w:fill="auto" w:val="clear"/>
        </w:rPr>
        <w:t xml:space="preserve"> Person-centred care</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8">
        <w:r>
          <w:rPr>
            <w:rFonts w:ascii="Arial" w:hAnsi="Arial" w:cs="Arial" w:eastAsia="Arial"/>
            <w:color w:val="467886"/>
            <w:spacing w:val="0"/>
            <w:position w:val="0"/>
            <w:sz w:val="22"/>
            <w:u w:val="single"/>
            <w:shd w:fill="auto" w:val="clear"/>
          </w:rPr>
          <w:t xml:space="preserve">https://www.scie.org.uk/person-centred</w:t>
        </w:r>
        <w:r>
          <w:rPr>
            <w:rFonts w:ascii="Arial" w:hAnsi="Arial" w:cs="Arial" w:eastAsia="Arial"/>
            <w:color w:val="467886"/>
            <w:spacing w:val="0"/>
            <w:position w:val="0"/>
            <w:sz w:val="22"/>
            <w:u w:val="single"/>
            <w:shd w:fill="auto" w:val="clear"/>
          </w:rPr>
          <w:t xml:space="preserve"> HYPERLINK "https://www.scie.org.uk/person-centred-care/"</w:t>
        </w:r>
        <w:r>
          <w:rPr>
            <w:rFonts w:ascii="Arial" w:hAnsi="Arial" w:cs="Arial" w:eastAsia="Arial"/>
            <w:color w:val="467886"/>
            <w:spacing w:val="0"/>
            <w:position w:val="0"/>
            <w:sz w:val="22"/>
            <w:u w:val="single"/>
            <w:shd w:fill="auto" w:val="clear"/>
          </w:rPr>
          <w:t xml:space="preserve">-care/</w:t>
        </w:r>
      </w:hyperlink>
      <w:r>
        <w:rPr>
          <w:rFonts w:ascii="Arial" w:hAnsi="Arial" w:cs="Arial" w:eastAsia="Arial"/>
          <w:color w:val="auto"/>
          <w:spacing w:val="0"/>
          <w:position w:val="0"/>
          <w:sz w:val="22"/>
          <w:shd w:fill="auto" w:val="clear"/>
        </w:rPr>
        <w:t xml:space="preserve"> (Accessed 19 July 2026).</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Skills for Care (2024) </w:t>
      </w:r>
      <w:r>
        <w:rPr>
          <w:rFonts w:ascii="Arial" w:hAnsi="Arial" w:cs="Arial" w:eastAsia="Arial"/>
          <w:i/>
          <w:color w:val="auto"/>
          <w:spacing w:val="0"/>
          <w:position w:val="0"/>
          <w:sz w:val="22"/>
          <w:shd w:fill="auto" w:val="clear"/>
        </w:rPr>
        <w:t xml:space="preserve">The state of the adult social care sector and workforce in England.</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9">
        <w:r>
          <w:rPr>
            <w:rFonts w:ascii="Arial" w:hAnsi="Arial" w:cs="Arial" w:eastAsia="Arial"/>
            <w:color w:val="467886"/>
            <w:spacing w:val="0"/>
            <w:position w:val="0"/>
            <w:sz w:val="22"/>
            <w:u w:val="single"/>
            <w:shd w:fill="auto" w:val="clear"/>
          </w:rPr>
          <w:t xml:space="preserve">https://www.skillsforcare.org.uk/adult-social-care-workforce</w:t>
        </w:r>
        <w:r>
          <w:rPr>
            <w:rFonts w:ascii="Arial" w:hAnsi="Arial" w:cs="Arial" w:eastAsia="Arial"/>
            <w:color w:val="467886"/>
            <w:spacing w:val="0"/>
            <w:position w:val="0"/>
            <w:sz w:val="22"/>
            <w:u w:val="single"/>
            <w:shd w:fill="auto" w:val="clear"/>
          </w:rPr>
          <w:t xml:space="preserve"> HYPERLINK "https://www.skillsforcare.org.uk/adult-social-care-workforce-data/Workforce0intelligence/publications/state-of-the-adult-social-care-sector-and-workforce.aspx"</w:t>
        </w:r>
        <w:r>
          <w:rPr>
            <w:rFonts w:ascii="Arial" w:hAnsi="Arial" w:cs="Arial" w:eastAsia="Arial"/>
            <w:color w:val="467886"/>
            <w:spacing w:val="0"/>
            <w:position w:val="0"/>
            <w:sz w:val="22"/>
            <w:u w:val="single"/>
            <w:shd w:fill="auto" w:val="clear"/>
          </w:rPr>
          <w:t xml:space="preserve">-data/Workforce0intelligence/publications/state-of-</w:t>
        </w:r>
        <w:r>
          <w:rPr>
            <w:rFonts w:ascii="Arial" w:hAnsi="Arial" w:cs="Arial" w:eastAsia="Arial"/>
            <w:color w:val="467886"/>
            <w:spacing w:val="0"/>
            <w:position w:val="0"/>
            <w:sz w:val="22"/>
            <w:u w:val="single"/>
            <w:shd w:fill="auto" w:val="clear"/>
          </w:rPr>
          <w:t xml:space="preserve"> HYPERLINK "https://www.skillsforcare.org.uk/adult-social-care-workforce-data/Workforce0intelligence/publications/state-of-the-adult-social-care-sector-and-workforce.aspx"</w:t>
        </w:r>
        <w:r>
          <w:rPr>
            <w:rFonts w:ascii="Arial" w:hAnsi="Arial" w:cs="Arial" w:eastAsia="Arial"/>
            <w:color w:val="467886"/>
            <w:spacing w:val="0"/>
            <w:position w:val="0"/>
            <w:sz w:val="22"/>
            <w:u w:val="single"/>
            <w:shd w:fill="auto" w:val="clear"/>
          </w:rPr>
          <w:t xml:space="preserve">the-adult-social-care-sector-and-workforce.aspx</w:t>
        </w:r>
      </w:hyperlink>
      <w:r>
        <w:rPr>
          <w:rFonts w:ascii="Arial" w:hAnsi="Arial" w:cs="Arial" w:eastAsia="Arial"/>
          <w:color w:val="auto"/>
          <w:spacing w:val="0"/>
          <w:position w:val="0"/>
          <w:sz w:val="22"/>
          <w:shd w:fill="auto" w:val="clear"/>
        </w:rPr>
        <w:t xml:space="preserve"> (Accessed: 18 July 2026).</w:t>
      </w:r>
    </w:p>
    <w:p>
      <w:pPr>
        <w:spacing w:before="0" w:after="160" w:line="27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Health Foundation (2016) Person-centred care made simple. Available at: </w:t>
      </w:r>
      <w:hyperlink xmlns:r="http://schemas.openxmlformats.org/officeDocument/2006/relationships" r:id="docRId10">
        <w:r>
          <w:rPr>
            <w:rFonts w:ascii="Arial" w:hAnsi="Arial" w:cs="Arial" w:eastAsia="Arial"/>
            <w:color w:val="467886"/>
            <w:spacing w:val="0"/>
            <w:position w:val="0"/>
            <w:sz w:val="22"/>
            <w:u w:val="single"/>
            <w:shd w:fill="auto" w:val="clear"/>
          </w:rPr>
          <w:t xml:space="preserve">https://www.health.org.uk/publications/person-centred-care-mad</w:t>
        </w:r>
        <w:r>
          <w:rPr>
            <w:rFonts w:ascii="Arial" w:hAnsi="Arial" w:cs="Arial" w:eastAsia="Arial"/>
            <w:color w:val="467886"/>
            <w:spacing w:val="0"/>
            <w:position w:val="0"/>
            <w:sz w:val="22"/>
            <w:u w:val="single"/>
            <w:shd w:fill="auto" w:val="clear"/>
          </w:rPr>
          <w:t xml:space="preserve"> HYPERLINK "https://www.health.org.uk/publications/person-centred-care-made-simple"</w:t>
        </w:r>
        <w:r>
          <w:rPr>
            <w:rFonts w:ascii="Arial" w:hAnsi="Arial" w:cs="Arial" w:eastAsia="Arial"/>
            <w:color w:val="467886"/>
            <w:spacing w:val="0"/>
            <w:position w:val="0"/>
            <w:sz w:val="22"/>
            <w:u w:val="single"/>
            <w:shd w:fill="auto" w:val="clear"/>
          </w:rPr>
          <w:t xml:space="preserve">e-simple</w:t>
        </w:r>
      </w:hyperlink>
      <w:r>
        <w:rPr>
          <w:rFonts w:ascii="Arial" w:hAnsi="Arial" w:cs="Arial" w:eastAsia="Arial"/>
          <w:color w:val="auto"/>
          <w:spacing w:val="0"/>
          <w:position w:val="0"/>
          <w:sz w:val="22"/>
          <w:shd w:fill="auto" w:val="clear"/>
        </w:rPr>
        <w:t xml:space="preserve"> (Accessed 18 July 2026).</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legislation.gov.uk/ukpga/2022/31/contents" Id="docRId3" Type="http://schemas.openxmlformats.org/officeDocument/2006/relationships/hyperlink" /><Relationship TargetMode="External" Target="https://www.england.nhs.uk/personalisedcare/" Id="docRId7" Type="http://schemas.openxmlformats.org/officeDocument/2006/relationships/hyperlink" /><Relationship TargetMode="External" Target="https://www.health.org.uk/publications/person-centred-care-made-simple" Id="docRId10" Type="http://schemas.openxmlformats.org/officeDocument/2006/relationships/hyperlink" /><Relationship TargetMode="External" Target="https://www.legislation.gov.uk/ukpga/2010/15/contents" Id="docRId2" Type="http://schemas.openxmlformats.org/officeDocument/2006/relationships/hyperlink" /><Relationship TargetMode="External" Target="https://www.nice.org.uk/guidance/ng197" Id="docRId6" Type="http://schemas.openxmlformats.org/officeDocument/2006/relationships/hyperlink" /><Relationship TargetMode="External" Target="https://www.cochranelibrary.com/cdsr/doi/10.1002/14651858.CD010523.pub2/full" Id="docRId1" Type="http://schemas.openxmlformats.org/officeDocument/2006/relationships/hyperlink" /><Relationship Target="numbering.xml" Id="docRId11" Type="http://schemas.openxmlformats.org/officeDocument/2006/relationships/numbering" /><Relationship TargetMode="External" Target="https://www.legislation.gov.uk/ukpga/2005/9/contents" Id="docRId5" Type="http://schemas.openxmlformats.org/officeDocument/2006/relationships/hyperlink" /><Relationship TargetMode="External" Target="https://www.skillsforcare.org.uk/adult-social-care-workforce-data/Workforce0intelligence/publications/state-of-the-adult-social-care-sector-and-workforce.aspx" Id="docRId9" Type="http://schemas.openxmlformats.org/officeDocument/2006/relationships/hyperlink" /><Relationship TargetMode="External" Target="https://www.legislation.gov.uk/ukpga/2014/23/contents" Id="docRId0" Type="http://schemas.openxmlformats.org/officeDocument/2006/relationships/hyperlink" /><Relationship Target="styles.xml" Id="docRId12" Type="http://schemas.openxmlformats.org/officeDocument/2006/relationships/styles" /><Relationship TargetMode="External" Target="https://www.legislation.gov.uk/ukpga/1998/42/contents" Id="docRId4" Type="http://schemas.openxmlformats.org/officeDocument/2006/relationships/hyperlink" /><Relationship TargetMode="External" Target="https://www.scie.org.uk/person-centred-care/" Id="docRId8" Type="http://schemas.openxmlformats.org/officeDocument/2006/relationships/hyperlink" /></Relationships>
</file>