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A9E2A" w14:textId="2352846E" w:rsidR="00540CDC" w:rsidRDefault="00540CDC" w:rsidP="00353610">
      <w:pPr>
        <w:rPr>
          <w:rFonts w:asciiTheme="majorHAnsi" w:hAnsiTheme="majorHAnsi" w:cstheme="majorHAnsi"/>
          <w:b/>
          <w:bCs/>
          <w:sz w:val="22"/>
          <w:szCs w:val="22"/>
        </w:rPr>
      </w:pPr>
      <w:r w:rsidRPr="00265733">
        <w:rPr>
          <w:rFonts w:asciiTheme="majorHAnsi" w:hAnsiTheme="majorHAnsi" w:cstheme="majorHAnsi"/>
          <w:b/>
          <w:bCs/>
          <w:sz w:val="22"/>
          <w:szCs w:val="22"/>
        </w:rPr>
        <w:t>STUDENT ID No.: 2246062</w:t>
      </w:r>
    </w:p>
    <w:p w14:paraId="7081683B" w14:textId="7ADFF1B3" w:rsidR="00540CDC" w:rsidRDefault="00540CDC" w:rsidP="00353610">
      <w:pPr>
        <w:rPr>
          <w:rFonts w:asciiTheme="majorHAnsi" w:hAnsiTheme="majorHAnsi" w:cstheme="majorHAnsi"/>
          <w:color w:val="000000"/>
          <w:kern w:val="0"/>
          <w:sz w:val="22"/>
          <w:szCs w:val="22"/>
          <w:u w:val="single"/>
          <w14:ligatures w14:val="none"/>
        </w:rPr>
      </w:pPr>
      <w:r>
        <w:rPr>
          <w:rFonts w:asciiTheme="majorHAnsi" w:hAnsiTheme="majorHAnsi" w:cstheme="majorHAnsi"/>
          <w:b/>
          <w:bCs/>
          <w:sz w:val="22"/>
          <w:szCs w:val="22"/>
        </w:rPr>
        <w:t>Carli Jenkins</w:t>
      </w:r>
    </w:p>
    <w:p w14:paraId="6B0AFBF9" w14:textId="10025D1B" w:rsidR="00353610" w:rsidRPr="00540CDC" w:rsidRDefault="00353610" w:rsidP="00353610">
      <w:pPr>
        <w:rPr>
          <w:rFonts w:asciiTheme="majorHAnsi" w:hAnsiTheme="majorHAnsi" w:cstheme="majorHAnsi"/>
          <w:b/>
          <w:bCs/>
          <w:color w:val="000000"/>
          <w:kern w:val="0"/>
          <w:sz w:val="22"/>
          <w:szCs w:val="22"/>
          <w:u w:val="single"/>
          <w14:ligatures w14:val="none"/>
        </w:rPr>
      </w:pPr>
      <w:r w:rsidRPr="00540CDC">
        <w:rPr>
          <w:rFonts w:asciiTheme="majorHAnsi" w:hAnsiTheme="majorHAnsi" w:cstheme="majorHAnsi"/>
          <w:b/>
          <w:bCs/>
          <w:color w:val="000000"/>
          <w:kern w:val="0"/>
          <w:sz w:val="22"/>
          <w:szCs w:val="22"/>
          <w:u w:val="single"/>
          <w14:ligatures w14:val="none"/>
        </w:rPr>
        <w:t>Literature review</w:t>
      </w:r>
    </w:p>
    <w:p w14:paraId="6D10A2CB" w14:textId="77777777" w:rsidR="00540CDC" w:rsidRDefault="00540CDC" w:rsidP="00353610">
      <w:pPr>
        <w:rPr>
          <w:rFonts w:asciiTheme="majorHAnsi" w:hAnsiTheme="majorHAnsi" w:cstheme="majorHAnsi"/>
          <w:color w:val="000000"/>
          <w:kern w:val="0"/>
          <w:sz w:val="22"/>
          <w:szCs w:val="22"/>
          <w14:ligatures w14:val="none"/>
        </w:rPr>
      </w:pPr>
    </w:p>
    <w:p w14:paraId="1F716FA1" w14:textId="0E8A5CA3"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Indicative title: The crewing conundrum: Impacts of single crewing compared to double crewing on officer safety, efficiency, mental health and positive crime outcomes in the UK Police Force</w:t>
      </w:r>
    </w:p>
    <w:p w14:paraId="5DD423D1"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 xml:space="preserve">Question: To what extent does the patrol staffing allocation (single crewed compared to double crewed units) influence safety, operational productivity and efficiency, mental wellbeing and positive crime outcomes for uniformed police officers in the UK? </w:t>
      </w:r>
    </w:p>
    <w:p w14:paraId="2E6EE8D6" w14:textId="77777777" w:rsidR="00353610" w:rsidRPr="00353610" w:rsidRDefault="00353610" w:rsidP="00353610">
      <w:pPr>
        <w:rPr>
          <w:rFonts w:asciiTheme="majorHAnsi" w:hAnsiTheme="majorHAnsi" w:cstheme="majorHAnsi"/>
          <w:color w:val="000000"/>
          <w:kern w:val="0"/>
          <w:sz w:val="22"/>
          <w:szCs w:val="22"/>
          <w14:ligatures w14:val="none"/>
        </w:rPr>
      </w:pPr>
    </w:p>
    <w:p w14:paraId="6FE72066" w14:textId="77777777" w:rsidR="00353610" w:rsidRPr="00353610" w:rsidRDefault="00353610" w:rsidP="00353610">
      <w:pPr>
        <w:rPr>
          <w:rFonts w:asciiTheme="majorHAnsi" w:hAnsiTheme="majorHAnsi" w:cstheme="majorHAnsi"/>
          <w:color w:val="000000"/>
          <w:kern w:val="0"/>
          <w:sz w:val="22"/>
          <w:szCs w:val="22"/>
          <w:u w:val="single"/>
          <w14:ligatures w14:val="none"/>
        </w:rPr>
      </w:pPr>
      <w:r w:rsidRPr="00353610">
        <w:rPr>
          <w:rFonts w:asciiTheme="majorHAnsi" w:hAnsiTheme="majorHAnsi" w:cstheme="majorHAnsi"/>
          <w:color w:val="000000"/>
          <w:kern w:val="0"/>
          <w:sz w:val="22"/>
          <w:szCs w:val="22"/>
          <w:u w:val="single"/>
          <w14:ligatures w14:val="none"/>
        </w:rPr>
        <w:t>Introduction</w:t>
      </w:r>
    </w:p>
    <w:p w14:paraId="10D2CDE9"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In recent years, the arrangement of the police force relating to how patrols should be conducted has been challenged. The argument surrounding solo patrol (single crewed) and working in pairs (double crewed) has been studied for its influence on officer safety, officer mental health and wellbeing, operational efficiency and productivity, and crime outcomes. Driven by austerity measures, operational demands and ever-shifting public expectations, the United Kingdom's (UK) police forces have increasingly adopted single crewing as a default model, particularly in response to resourcing constraints. However, growing concerns about officer wellbeing, officer safety, operational efficiency and overall public confidence have sparked broader discussions about the consequences of this model.</w:t>
      </w:r>
    </w:p>
    <w:p w14:paraId="02322A02"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This literature review will critically explore the effects of single versus double crewing on four key elements: officer safety, operational productivity and efficiency, mental wellbeing and positive crime outcomes and how it is impacted by the current staffing model. This review will focus on official evidence from national surveys, academic literature, and policy interventions such as the Police Uplift programme (NPCC, 2025) to examine both measurable outcomes and the lived experiences of officers. It will achieve this by using qualitative data from two firsthand interviews with serving police officers, one of whom was assaulted while single-crewed and through surveying a pool of serving officers. By analysing existing research, this review will highlight any gaps within the current literature and establish a basis for future research into how different staffing models influence frontline operational policing.</w:t>
      </w:r>
    </w:p>
    <w:p w14:paraId="59823158" w14:textId="77777777" w:rsidR="00353610" w:rsidRPr="00353610" w:rsidRDefault="00353610" w:rsidP="00353610">
      <w:pPr>
        <w:rPr>
          <w:rFonts w:asciiTheme="majorHAnsi" w:hAnsiTheme="majorHAnsi" w:cstheme="majorHAnsi"/>
          <w:color w:val="000000"/>
          <w:kern w:val="0"/>
          <w:sz w:val="22"/>
          <w:szCs w:val="22"/>
          <w14:ligatures w14:val="none"/>
        </w:rPr>
      </w:pPr>
    </w:p>
    <w:p w14:paraId="72ABD3A9" w14:textId="77777777" w:rsidR="00353610" w:rsidRPr="00353610" w:rsidRDefault="00353610" w:rsidP="00353610">
      <w:pPr>
        <w:rPr>
          <w:rFonts w:asciiTheme="majorHAnsi" w:hAnsiTheme="majorHAnsi" w:cstheme="majorHAnsi"/>
          <w:color w:val="000000"/>
          <w:kern w:val="0"/>
          <w:sz w:val="22"/>
          <w:szCs w:val="22"/>
          <w:u w:val="single"/>
          <w14:ligatures w14:val="none"/>
        </w:rPr>
      </w:pPr>
      <w:r w:rsidRPr="00353610">
        <w:rPr>
          <w:rFonts w:asciiTheme="majorHAnsi" w:hAnsiTheme="majorHAnsi" w:cstheme="majorHAnsi"/>
          <w:color w:val="000000"/>
          <w:kern w:val="0"/>
          <w:sz w:val="22"/>
          <w:szCs w:val="22"/>
          <w:u w:val="single"/>
          <w14:ligatures w14:val="none"/>
        </w:rPr>
        <w:t xml:space="preserve">Single crewing rationale </w:t>
      </w:r>
    </w:p>
    <w:p w14:paraId="44E3F14E"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 xml:space="preserve">Traditionally, frontline response officers in UK policing have conducted patrols single crewed, a practice often justified by resource constraints and operational flexibility (Elliott-Davies, 2020). However, a 2020 survey found that 22% of officers always worked alone and 53% frequently did so, with only 5% never working alone, raising questions about workforce safety and resilience. When comparing this data from Home Office Statistics (2020) of the same year, a substantial increase in officer injuries was observed, with 30,679 officers assaulted in 2019/20, a 56% rise from the previous </w:t>
      </w:r>
      <w:r w:rsidRPr="00353610">
        <w:rPr>
          <w:rFonts w:asciiTheme="majorHAnsi" w:hAnsiTheme="majorHAnsi" w:cstheme="majorHAnsi"/>
          <w:color w:val="000000"/>
          <w:kern w:val="0"/>
          <w:sz w:val="22"/>
          <w:szCs w:val="22"/>
          <w14:ligatures w14:val="none"/>
        </w:rPr>
        <w:lastRenderedPageBreak/>
        <w:t xml:space="preserve">year. While statistics do not distinguish between single and double-crewed units, the correlation between solo working and officer vulnerability remains a central concern. These figures support arguments made by scholars such as Loftus (2010), who argues that officer safety is often compromised by operational decisions rooted more in budgetary austerity than evidence-based practices. What remains unclear and forms a gap that this study seeks to explore is the extent to which crewing structures directly contribute to officer safety during deployment. </w:t>
      </w:r>
    </w:p>
    <w:p w14:paraId="77AD215D"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Concerns over officer safety have gained renewed attention in recent years, with the risk of officers being injured while on duty having risen. The NPCC (2020) conducted the largest survey of police officers, which highlighted that many officers feel increasingly vulnerable, mainly when deployed single crewed during unpredictable incidents. Research by Elliott-Davies et al (2016) for the Police Federation found that 39% of officers reported symptoms consistent with PTSD, yet few studies explore how crewing styles may influence such outcomes. Similarly, while anecdotal and survey evidence suggest that officers feel safer when double crewed, there is limited data to confirm whether double crewing statistically reduces harm and stress (</w:t>
      </w:r>
      <w:proofErr w:type="spellStart"/>
      <w:r w:rsidRPr="00353610">
        <w:rPr>
          <w:rFonts w:asciiTheme="majorHAnsi" w:hAnsiTheme="majorHAnsi" w:cstheme="majorHAnsi"/>
          <w:color w:val="000000"/>
          <w:kern w:val="0"/>
          <w:sz w:val="22"/>
          <w:szCs w:val="22"/>
          <w14:ligatures w14:val="none"/>
        </w:rPr>
        <w:t>Westmarland</w:t>
      </w:r>
      <w:proofErr w:type="spellEnd"/>
      <w:r w:rsidRPr="00353610">
        <w:rPr>
          <w:rFonts w:asciiTheme="majorHAnsi" w:hAnsiTheme="majorHAnsi" w:cstheme="majorHAnsi"/>
          <w:color w:val="000000"/>
          <w:kern w:val="0"/>
          <w:sz w:val="22"/>
          <w:szCs w:val="22"/>
          <w14:ligatures w14:val="none"/>
        </w:rPr>
        <w:t xml:space="preserve"> and Conway, 2020). Much of the literature fails to differentiate between officers' roles, geographical settings or shift timings, all of which are likely to have an influence on crewing risk.</w:t>
      </w:r>
    </w:p>
    <w:p w14:paraId="47E5D96E"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 xml:space="preserve">The rationale for adopting single crewed models in the United Kingdom has often drawn upon earlier research from the United States. K. Chelst (1975) compared the performance of single crewed patrol cars with that of double crewed patrol cars, concluding that single crewed units responded more rapidly to incidents and emergencies. However, a key limitation of this study is its failure to account for the distance between patrol vehicles and incident locations, thereby undermining the interval validity of its findings. </w:t>
      </w:r>
    </w:p>
    <w:p w14:paraId="57D3397C"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 xml:space="preserve">More recent UK-based studies have explored operational effectiveness from a domestic perspective. For instance, Timothy Coupe and Blake (2005) found that single-crewed officers were associated with an increase in on-scene suspect apprehension at burglary incidents, rising from 10% to 21%. While this may suggest a potential benefit in terms of response efficacy, it is essential to critically consider whether these outcomes come at the expense of officer safety or broader community engagement. </w:t>
      </w:r>
    </w:p>
    <w:p w14:paraId="5D5132CC"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 xml:space="preserve">These findings highlight the complexities in single crewing models, warranting further investigation into whether perceived operational efficiencies outweigh the risks to officer welfare and long-term crime prevention goals. </w:t>
      </w:r>
    </w:p>
    <w:p w14:paraId="0F169367" w14:textId="77777777" w:rsidR="00353610" w:rsidRPr="00353610" w:rsidRDefault="00353610" w:rsidP="00353610">
      <w:pPr>
        <w:rPr>
          <w:rFonts w:asciiTheme="majorHAnsi" w:hAnsiTheme="majorHAnsi" w:cstheme="majorHAnsi"/>
          <w:color w:val="000000"/>
          <w:kern w:val="0"/>
          <w:sz w:val="22"/>
          <w:szCs w:val="22"/>
          <w14:ligatures w14:val="none"/>
        </w:rPr>
      </w:pPr>
    </w:p>
    <w:p w14:paraId="7021A158" w14:textId="77777777" w:rsidR="00353610" w:rsidRPr="00353610" w:rsidRDefault="00353610" w:rsidP="00353610">
      <w:pPr>
        <w:rPr>
          <w:rFonts w:asciiTheme="majorHAnsi" w:hAnsiTheme="majorHAnsi" w:cstheme="majorHAnsi"/>
          <w:color w:val="000000"/>
          <w:kern w:val="0"/>
          <w:sz w:val="22"/>
          <w:szCs w:val="22"/>
          <w:u w:val="single"/>
          <w14:ligatures w14:val="none"/>
        </w:rPr>
      </w:pPr>
      <w:r w:rsidRPr="00353610">
        <w:rPr>
          <w:rFonts w:asciiTheme="majorHAnsi" w:hAnsiTheme="majorHAnsi" w:cstheme="majorHAnsi"/>
          <w:color w:val="000000"/>
          <w:kern w:val="0"/>
          <w:sz w:val="22"/>
          <w:szCs w:val="22"/>
          <w:u w:val="single"/>
          <w14:ligatures w14:val="none"/>
        </w:rPr>
        <w:t>Officer safety, health and wellbeing</w:t>
      </w:r>
    </w:p>
    <w:p w14:paraId="55379F62"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The psychological wellbeing and safety of police officers are increasingly recognised as critical areas of concern, particularly in the context of crewing models. Several studies suggest that single crewing may contribute to elevated psychological strain, especially in rural or high-demand environments where officers are often required to manage volatile incidents alone (Houdmont et al., 2020). In a mixed-methods study involving 229 survey responses and 34 interviews across rural English police forces, Houdmont et al (2020) found that 44% of officers reported signs of psychological distress, including anxiety, low mood, and emotional exhaustion. Key stressors included professional isolation, lack of immediate support in dangerous situations, and prolonged periods without meaningful peer contact. However, the study did not explicitly differentiate between single-crewed and double-crewed officers, which limits the findings when focusing on staffing allocations.</w:t>
      </w:r>
    </w:p>
    <w:p w14:paraId="51EA5A87"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The College of Policing (2021) highlights that some officers value the increased autonomy associated with single crewing, particularly in tasks such as neighbourhood patrols or community engagement, where working independently can facilitate faster decision-making. However, the College of Policing also emphasises the importance of peer support and routine communication for maintaining officer resilience, which helps mitigate stress, both of which are less available to single-crewed units. In single-crewed patrols, especially where call volumes are high, officers may struggle to process traumatic events or debrief effectively, raising concerns about unresolved psychological impacts.</w:t>
      </w:r>
    </w:p>
    <w:p w14:paraId="269FC469"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 xml:space="preserve">Studies focused on mental health outcomes in UK policing reinforce these concerns. For example, Zhao et al (2019) found that officers in double-crewed roles reported significantly lower levels of burnout compared to single-crewed units. Their research suggested that crewed units enabled informal debriefing, shared decision-making, and reduced the psychological burden of confronting critical incidents alone. However, their methodology did not fully account for variables such as workload allocation or shift scheduling, meaning other organisational factors may have influenced their results. </w:t>
      </w:r>
    </w:p>
    <w:p w14:paraId="5A3EC20A"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More broadly, systematic reviews of policing and mental health suggest that occupational stress is strongly linked to organisational strain, trauma exposure, and social isolation (</w:t>
      </w:r>
      <w:proofErr w:type="spellStart"/>
      <w:r w:rsidRPr="00353610">
        <w:rPr>
          <w:rFonts w:asciiTheme="majorHAnsi" w:hAnsiTheme="majorHAnsi" w:cstheme="majorHAnsi"/>
          <w:color w:val="000000"/>
          <w:kern w:val="0"/>
          <w:sz w:val="22"/>
          <w:szCs w:val="22"/>
          <w14:ligatures w14:val="none"/>
        </w:rPr>
        <w:t>Demou</w:t>
      </w:r>
      <w:proofErr w:type="spellEnd"/>
      <w:r w:rsidRPr="00353610">
        <w:rPr>
          <w:rFonts w:asciiTheme="majorHAnsi" w:hAnsiTheme="majorHAnsi" w:cstheme="majorHAnsi"/>
          <w:color w:val="000000"/>
          <w:kern w:val="0"/>
          <w:sz w:val="22"/>
          <w:szCs w:val="22"/>
          <w14:ligatures w14:val="none"/>
        </w:rPr>
        <w:t>, Hale and Hunt, 2020). Single crewing may intensify all three, as officers are more likely to encounter high-risk situations alone, with limited opportunities for emotional processing. This is particularly concerning in the context of response units, where rapid decision-making and personal safety are critical. A recent study by HMICFRS (2023) thematic inspection also found that single crewed response officers were more likely to experience delayed access to backup, increased fear of personal harm, and reluctance to report mental health issues due to perceived organisational expectations of self-sufficiency.</w:t>
      </w:r>
    </w:p>
    <w:p w14:paraId="34A6E7EE"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Nevertheless, a gap remains in the literature regarding UK-wide studies that measure the specific impact of crewing models on measurable mental health outcomes such as stress-related sickness, PTSD diagnosis, or early retirement. Most available studies are cross-sectional, localised, or focused on perceived wellbeing, which limits their generalisability. This dissertation aims to address this gap by examining the relationship between crewing type and officer mental health in operational frontline contexts.</w:t>
      </w:r>
    </w:p>
    <w:p w14:paraId="021C5754" w14:textId="77777777" w:rsidR="00353610" w:rsidRPr="00353610" w:rsidRDefault="00353610" w:rsidP="00353610">
      <w:pPr>
        <w:rPr>
          <w:rFonts w:asciiTheme="majorHAnsi" w:hAnsiTheme="majorHAnsi" w:cstheme="majorHAnsi"/>
          <w:color w:val="000000"/>
          <w:kern w:val="0"/>
          <w:sz w:val="22"/>
          <w:szCs w:val="22"/>
          <w14:ligatures w14:val="none"/>
        </w:rPr>
      </w:pPr>
    </w:p>
    <w:p w14:paraId="144ED808" w14:textId="77777777" w:rsidR="00353610" w:rsidRPr="00353610" w:rsidRDefault="00353610" w:rsidP="00353610">
      <w:pPr>
        <w:rPr>
          <w:rFonts w:asciiTheme="majorHAnsi" w:hAnsiTheme="majorHAnsi" w:cstheme="majorHAnsi"/>
          <w:color w:val="000000"/>
          <w:kern w:val="0"/>
          <w:sz w:val="22"/>
          <w:szCs w:val="22"/>
          <w:u w:val="single"/>
          <w14:ligatures w14:val="none"/>
        </w:rPr>
      </w:pPr>
      <w:r w:rsidRPr="00353610">
        <w:rPr>
          <w:rFonts w:asciiTheme="majorHAnsi" w:hAnsiTheme="majorHAnsi" w:cstheme="majorHAnsi"/>
          <w:color w:val="000000"/>
          <w:kern w:val="0"/>
          <w:sz w:val="22"/>
          <w:szCs w:val="22"/>
          <w:u w:val="single"/>
          <w14:ligatures w14:val="none"/>
        </w:rPr>
        <w:t>Operational productivity and efficiency</w:t>
      </w:r>
    </w:p>
    <w:p w14:paraId="2FC26C53"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 xml:space="preserve">Operational productivity in policing refers to the effectiveness and timeliness with which officers complete their core duties, such as responding to incidents, making arrests, and conducting investigations. One of the key rationales for the use of single crewing in frontline policing is the assumption that it enhances productivity by increasing a visible officer presence and enabling more flexible deployment (Home Office, 2023). </w:t>
      </w:r>
    </w:p>
    <w:p w14:paraId="50C26639"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Some studies do support this logic. Mastrofski (2004) argues that single crewing increased "officer activity minutes" per shift, since there were fewer moments of co-dependent decision-making. In the UK context, evidence from operational commanders during austerity highlighted the benefits of single crewing for increasing officer visibility and maintaining performance targets under shrinking budgets (Winsor, 2011).</w:t>
      </w:r>
    </w:p>
    <w:p w14:paraId="4CD869C7"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However, a growing body of research challenges the assumption that single crewing leads to better performance outcomes. Fleming and Grabosky (2009) noted that single-crewed officers often require assistance for arrests or volatile public interactions, resulting in inefficiencies when multiple units are eventually deployed to the same scene. This reduces overall productivity by duplicating deployment and increasing officer time per task. Zhao (2011) supports this view, noting that double-crewed officers completed more arrests per shift due to immediate teamwork and reduced delays in actioning decisions.</w:t>
      </w:r>
    </w:p>
    <w:p w14:paraId="255EE5AA"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Further, data from the Home Office (2024) suggests that double-crewed units are better able to manage complex or resource-intensive incidents, such as domestic violence calls or public disorder, without delay. This enhances both procedural efficiency and public trust. The HMICFRS (2023) inspection into police visibility and responsiveness also noted that areas relying heavily on single crewing had lower incident resolution rates and higher public dissatisfaction, particularly where assistance from other response units was not promptly available.</w:t>
      </w:r>
    </w:p>
    <w:p w14:paraId="449D7397"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Operational performance is also influenced by officer workload and decision-making quality, which may suffer when lone officers feel overwhelmed or unsupported. In contrast, Bradford et al (2013) found that double crewing can reduce cognitive burden by allowing shared situational awareness, more confident decision-making, and faster evidence collection. These factors collectively improve operational outcomes and reduce the time spent on calls.</w:t>
      </w:r>
    </w:p>
    <w:p w14:paraId="6768309C"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In summary, while single crewing may increase surface-level coverage, evidence increasingly suggests that double crewing can enhance operational efficiency by reducing duplication, improving decision-making, and increasing task resolution speed. Further empirical research is needed to measure these impacts consistently across different force areas and policing contexts, including rural versus urban settings.</w:t>
      </w:r>
    </w:p>
    <w:p w14:paraId="231DB8D3" w14:textId="77777777" w:rsidR="00353610" w:rsidRPr="00353610" w:rsidRDefault="00353610" w:rsidP="00353610">
      <w:pPr>
        <w:rPr>
          <w:rFonts w:asciiTheme="majorHAnsi" w:hAnsiTheme="majorHAnsi" w:cstheme="majorHAnsi"/>
          <w:color w:val="000000"/>
          <w:kern w:val="0"/>
          <w:sz w:val="22"/>
          <w:szCs w:val="22"/>
          <w14:ligatures w14:val="none"/>
        </w:rPr>
      </w:pPr>
    </w:p>
    <w:p w14:paraId="46483C8F" w14:textId="77777777" w:rsidR="00353610" w:rsidRPr="00353610" w:rsidRDefault="00353610" w:rsidP="00353610">
      <w:pPr>
        <w:rPr>
          <w:rFonts w:asciiTheme="majorHAnsi" w:hAnsiTheme="majorHAnsi" w:cstheme="majorHAnsi"/>
          <w:color w:val="000000"/>
          <w:kern w:val="0"/>
          <w:sz w:val="22"/>
          <w:szCs w:val="22"/>
          <w:u w:val="single"/>
          <w14:ligatures w14:val="none"/>
        </w:rPr>
      </w:pPr>
      <w:r w:rsidRPr="00353610">
        <w:rPr>
          <w:rFonts w:asciiTheme="majorHAnsi" w:hAnsiTheme="majorHAnsi" w:cstheme="majorHAnsi"/>
          <w:color w:val="000000"/>
          <w:kern w:val="0"/>
          <w:sz w:val="22"/>
          <w:szCs w:val="22"/>
          <w:u w:val="single"/>
          <w14:ligatures w14:val="none"/>
        </w:rPr>
        <w:t>Public safety and positive outcomes</w:t>
      </w:r>
    </w:p>
    <w:p w14:paraId="5C4825D8"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 xml:space="preserve">The relationship between police staffing models and public safety is multifaceted, encompassing both actual crime outcomes and perceived security. Single crewing has often been justified on the grounds of increased officer presence and broader geographic coverage, in theory, enhancing public reassurance. This aligns with Innes' (2004) concept of "signal crimes", events that trigger heightened fear or anxiety within communities, and the idea that visible patrol, regardless of crew size, may deter crime or restore public confidence (Newburn, 2013, p.31). </w:t>
      </w:r>
    </w:p>
    <w:p w14:paraId="56E0BEE3"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However, visibility alone does not equate to positive public safety outcomes. Research by Myhill and Bradford (2013) highlights that the quality of police-public encounters significantly shapes cooperation. Single-crewed officers may be limited in their ability to engage meaningfully with the public, particularly when managing multiple tasks or volatile incidents alone. In contrast, double-crewed patrols can offer more capacity for sustained interaction, reassurance, and problem-solving policing, factors linked to stronger community safety perceptions.</w:t>
      </w:r>
    </w:p>
    <w:p w14:paraId="0707E821"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Empirical evidence on crime detection also points to mixed outcomes. Wheller (2013) found that while single-crewed officers may attend more incidents numerically, double-crewed teams were more likely to contribute to successful case outcomes, particularly where evidence gathering or immediate arrest was required. Similarly, a study by Sindall and Sturgis (2013) revealed that public confidence in local policing and willingness to report crime were higher in areas where double-crewed response units were standard, suggesting that crew configuration may indirectly influence crime data through community trust.</w:t>
      </w:r>
    </w:p>
    <w:p w14:paraId="5560EF69"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From a crime prevention perspective, collaborative crewing can enhance decision-making, increase observational capacity, and reduce offender resistance (Miller, Hess and Orthmann, 2017). These elements are critical during public disorder, domestic abuse callouts, and proactive patrols. Single-crewed officers, despite their wider distribution, may be more risk-averse and delay enforcement action until other units arrive, potentially reducing the immediacy of intervention (Loveday and Reid, 2003). This hesitation can affect the success of time-critical responses, particularly in high-crime urban settings.</w:t>
      </w:r>
    </w:p>
    <w:p w14:paraId="02CD7C8B"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That said, the relationship between crewing and crime outcomes is far from linear. Factors such as local leadership, neighbourhood design, demand levels, and resourcing structures all influence effectiveness. As a result, any impact of single or double crewing on public safety should be contextualised within wider policing strategies and not isolated as a singular performance indicator.</w:t>
      </w:r>
    </w:p>
    <w:p w14:paraId="202F9B78" w14:textId="77777777" w:rsidR="00353610" w:rsidRPr="00353610" w:rsidRDefault="00353610" w:rsidP="00353610">
      <w:pPr>
        <w:rPr>
          <w:rFonts w:asciiTheme="majorHAnsi" w:hAnsiTheme="majorHAnsi" w:cstheme="majorHAnsi"/>
          <w:color w:val="000000"/>
          <w:kern w:val="0"/>
          <w:sz w:val="22"/>
          <w:szCs w:val="22"/>
          <w14:ligatures w14:val="none"/>
        </w:rPr>
      </w:pPr>
    </w:p>
    <w:p w14:paraId="5D6BFC32" w14:textId="77777777" w:rsidR="00353610" w:rsidRPr="00353610" w:rsidRDefault="00353610" w:rsidP="00353610">
      <w:pPr>
        <w:rPr>
          <w:rFonts w:asciiTheme="majorHAnsi" w:hAnsiTheme="majorHAnsi" w:cstheme="majorHAnsi"/>
          <w:color w:val="000000"/>
          <w:kern w:val="0"/>
          <w:sz w:val="22"/>
          <w:szCs w:val="22"/>
          <w:u w:val="single"/>
          <w14:ligatures w14:val="none"/>
        </w:rPr>
      </w:pPr>
      <w:r w:rsidRPr="00353610">
        <w:rPr>
          <w:rFonts w:asciiTheme="majorHAnsi" w:hAnsiTheme="majorHAnsi" w:cstheme="majorHAnsi"/>
          <w:color w:val="000000"/>
          <w:kern w:val="0"/>
          <w:sz w:val="22"/>
          <w:szCs w:val="22"/>
          <w:u w:val="single"/>
          <w14:ligatures w14:val="none"/>
        </w:rPr>
        <w:t>Austerity, infrastructure and cuts</w:t>
      </w:r>
    </w:p>
    <w:p w14:paraId="12B70473"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The financial considerations underpinning police crewing models have become increasingly prominent in the context of prolonged austerity measures and budget constraints in the public sector. Single crewing has often been promoted as a cost-saving strategy, with the assumption that deploying more solo officers maximises visible presence without increasing headcount (Home Office, 2015). This model alleviates the immediate financial burden of staffing, vehicle use, and overtime, enabling forces to stretch their limited resources further, as noted by Winsor (2011). For example, deploying ten officers in single-crewed vehicles theoretically covers more ground than five double-crewed units, offering potential efficiency in patrol coverage and response times.</w:t>
      </w:r>
    </w:p>
    <w:p w14:paraId="1232740A"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 xml:space="preserve">However, critics argue that the apparent short-term savings of single crewing may mask longer-term financial consequences. Loveday (2015) highlights that lone working officers are more likely to experience stress, injury, or mental health-related absence, all of which incur indirect costs through sick leave, recruitment to cover absences, and reduced productivity. Moreover, higher rates of officer assaults, often linked to single crewing, can result in compensation claims, medical costs, and internal investigations that drain force budgets over time (Elliott-Davies, 2020). </w:t>
      </w:r>
    </w:p>
    <w:p w14:paraId="349A6951"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 xml:space="preserve">By contrast, while double crewing incurs higher immediate personnel costs, it could be argued that it leads to smoother task resolution, quicker handovers, and increased officer safety, all of which may result in financial savings over the longer term. According to the Police Federation chairman Hartshorn (2022), "Double crewing not only ensures our officers are protected but it's financially effective too", suggesting "with every £1 spent, they would see £2.75 in return". </w:t>
      </w:r>
    </w:p>
    <w:p w14:paraId="22C71F6B"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Nonetheless, a lack of studies remains in comparing the total cost implications of single versus double crewing when factoring in both direct (officer pay) and indirect costs (officer sickness pay). Much of the existing literature is based on operational assumptions rather than empirical financial audits, representing a key gap this research aims to address.</w:t>
      </w:r>
    </w:p>
    <w:p w14:paraId="4C0D214A" w14:textId="77777777" w:rsidR="00353610" w:rsidRPr="00353610" w:rsidRDefault="00353610" w:rsidP="00353610">
      <w:pPr>
        <w:rPr>
          <w:rFonts w:asciiTheme="majorHAnsi" w:hAnsiTheme="majorHAnsi" w:cstheme="majorHAnsi"/>
          <w:color w:val="000000"/>
          <w:kern w:val="0"/>
          <w:sz w:val="22"/>
          <w:szCs w:val="22"/>
          <w14:ligatures w14:val="none"/>
        </w:rPr>
      </w:pPr>
    </w:p>
    <w:p w14:paraId="2EC2F06C" w14:textId="77777777" w:rsidR="00353610" w:rsidRPr="00353610" w:rsidRDefault="00353610" w:rsidP="00353610">
      <w:pPr>
        <w:rPr>
          <w:rFonts w:asciiTheme="majorHAnsi" w:hAnsiTheme="majorHAnsi" w:cstheme="majorHAnsi"/>
          <w:color w:val="000000"/>
          <w:kern w:val="0"/>
          <w:sz w:val="22"/>
          <w:szCs w:val="22"/>
          <w:u w:val="single"/>
          <w14:ligatures w14:val="none"/>
        </w:rPr>
      </w:pPr>
      <w:r w:rsidRPr="00353610">
        <w:rPr>
          <w:rFonts w:asciiTheme="majorHAnsi" w:hAnsiTheme="majorHAnsi" w:cstheme="majorHAnsi"/>
          <w:color w:val="000000"/>
          <w:kern w:val="0"/>
          <w:sz w:val="22"/>
          <w:szCs w:val="22"/>
          <w:u w:val="single"/>
          <w14:ligatures w14:val="none"/>
        </w:rPr>
        <w:t>Conclusion</w:t>
      </w:r>
    </w:p>
    <w:p w14:paraId="078E1F3A" w14:textId="77777777" w:rsidR="00353610" w:rsidRPr="00353610"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 xml:space="preserve">In summary, the current research base offers only partial insight into the implications of single compared to double crewing staffing models. There is a clear need for more targeted, evidence-led evaluation, especially one that integrates officer perspectives, assault experiences and operational realities, to inform future policy and practices. By combining existing literature with frontline narratives from officers with firsthand experience of being assaulted in single and double-crewed instances, this allows for a focus to explore an underexamined area within UK policing research. </w:t>
      </w:r>
    </w:p>
    <w:p w14:paraId="7250AC30" w14:textId="77777777" w:rsidR="00353610" w:rsidRPr="00353610" w:rsidRDefault="00353610" w:rsidP="00353610">
      <w:pPr>
        <w:rPr>
          <w:rFonts w:asciiTheme="majorHAnsi" w:hAnsiTheme="majorHAnsi" w:cstheme="majorHAnsi"/>
          <w:color w:val="000000"/>
          <w:kern w:val="0"/>
          <w:sz w:val="22"/>
          <w:szCs w:val="22"/>
          <w14:ligatures w14:val="none"/>
        </w:rPr>
      </w:pPr>
    </w:p>
    <w:p w14:paraId="39922D67" w14:textId="62214964" w:rsidR="00EE22AE" w:rsidRDefault="00353610" w:rsidP="00353610">
      <w:pPr>
        <w:rPr>
          <w:rFonts w:asciiTheme="majorHAnsi" w:hAnsiTheme="majorHAnsi" w:cstheme="majorHAnsi"/>
          <w:color w:val="000000"/>
          <w:kern w:val="0"/>
          <w:sz w:val="22"/>
          <w:szCs w:val="22"/>
          <w14:ligatures w14:val="none"/>
        </w:rPr>
      </w:pPr>
      <w:r w:rsidRPr="00353610">
        <w:rPr>
          <w:rFonts w:asciiTheme="majorHAnsi" w:hAnsiTheme="majorHAnsi" w:cstheme="majorHAnsi"/>
          <w:color w:val="000000"/>
          <w:kern w:val="0"/>
          <w:sz w:val="22"/>
          <w:szCs w:val="22"/>
          <w14:ligatures w14:val="none"/>
        </w:rPr>
        <w:t>Word Count: 24</w:t>
      </w:r>
      <w:r>
        <w:rPr>
          <w:rFonts w:asciiTheme="majorHAnsi" w:hAnsiTheme="majorHAnsi" w:cstheme="majorHAnsi"/>
          <w:color w:val="000000"/>
          <w:kern w:val="0"/>
          <w:sz w:val="22"/>
          <w:szCs w:val="22"/>
          <w14:ligatures w14:val="none"/>
        </w:rPr>
        <w:t>24</w:t>
      </w:r>
    </w:p>
    <w:p w14:paraId="62FE15D0" w14:textId="77777777" w:rsidR="00353610" w:rsidRDefault="00353610" w:rsidP="00353610">
      <w:pPr>
        <w:rPr>
          <w:rFonts w:asciiTheme="majorHAnsi" w:hAnsiTheme="majorHAnsi" w:cstheme="majorHAnsi"/>
          <w:color w:val="000000"/>
          <w:kern w:val="0"/>
          <w:sz w:val="22"/>
          <w:szCs w:val="22"/>
          <w14:ligatures w14:val="none"/>
        </w:rPr>
      </w:pPr>
    </w:p>
    <w:p w14:paraId="7E0E011F" w14:textId="77777777" w:rsidR="00353610" w:rsidRDefault="00353610" w:rsidP="00353610">
      <w:pPr>
        <w:rPr>
          <w:rFonts w:asciiTheme="majorHAnsi" w:hAnsiTheme="majorHAnsi" w:cstheme="majorHAnsi"/>
          <w:color w:val="000000"/>
          <w:kern w:val="0"/>
          <w:sz w:val="22"/>
          <w:szCs w:val="22"/>
          <w14:ligatures w14:val="none"/>
        </w:rPr>
      </w:pPr>
    </w:p>
    <w:p w14:paraId="1A3AC997" w14:textId="77777777" w:rsidR="00353610" w:rsidRDefault="00353610" w:rsidP="00353610">
      <w:pPr>
        <w:rPr>
          <w:rFonts w:asciiTheme="majorHAnsi" w:hAnsiTheme="majorHAnsi" w:cstheme="majorHAnsi"/>
          <w:color w:val="000000"/>
          <w:kern w:val="0"/>
          <w:sz w:val="22"/>
          <w:szCs w:val="22"/>
          <w14:ligatures w14:val="none"/>
        </w:rPr>
      </w:pPr>
    </w:p>
    <w:p w14:paraId="2A642A05" w14:textId="77777777" w:rsidR="00353610" w:rsidRDefault="00353610" w:rsidP="00353610">
      <w:pPr>
        <w:rPr>
          <w:rFonts w:asciiTheme="majorHAnsi" w:hAnsiTheme="majorHAnsi" w:cstheme="majorHAnsi"/>
          <w:color w:val="000000"/>
          <w:kern w:val="0"/>
          <w:sz w:val="22"/>
          <w:szCs w:val="22"/>
          <w14:ligatures w14:val="none"/>
        </w:rPr>
      </w:pPr>
    </w:p>
    <w:p w14:paraId="01C4B820" w14:textId="77777777" w:rsidR="00353610" w:rsidRDefault="00353610" w:rsidP="00353610">
      <w:pPr>
        <w:rPr>
          <w:rFonts w:asciiTheme="majorHAnsi" w:hAnsiTheme="majorHAnsi" w:cstheme="majorHAnsi"/>
          <w:color w:val="000000"/>
          <w:kern w:val="0"/>
          <w:sz w:val="22"/>
          <w:szCs w:val="22"/>
          <w14:ligatures w14:val="none"/>
        </w:rPr>
      </w:pPr>
    </w:p>
    <w:p w14:paraId="71DA0360" w14:textId="77777777" w:rsidR="00353610" w:rsidRDefault="00353610" w:rsidP="00353610">
      <w:pPr>
        <w:rPr>
          <w:rFonts w:asciiTheme="majorHAnsi" w:hAnsiTheme="majorHAnsi" w:cstheme="majorHAnsi"/>
          <w:color w:val="000000"/>
          <w:kern w:val="0"/>
          <w:sz w:val="22"/>
          <w:szCs w:val="22"/>
          <w14:ligatures w14:val="none"/>
        </w:rPr>
      </w:pPr>
    </w:p>
    <w:p w14:paraId="16524E78" w14:textId="77777777" w:rsidR="00353610" w:rsidRDefault="00353610" w:rsidP="00353610">
      <w:pPr>
        <w:rPr>
          <w:rFonts w:asciiTheme="majorHAnsi" w:hAnsiTheme="majorHAnsi" w:cstheme="majorHAnsi"/>
          <w:color w:val="000000"/>
          <w:kern w:val="0"/>
          <w:sz w:val="22"/>
          <w:szCs w:val="22"/>
          <w14:ligatures w14:val="none"/>
        </w:rPr>
      </w:pPr>
    </w:p>
    <w:p w14:paraId="00E863C2" w14:textId="77777777" w:rsidR="00353610" w:rsidRDefault="00353610" w:rsidP="00353610">
      <w:pPr>
        <w:rPr>
          <w:rFonts w:asciiTheme="majorHAnsi" w:hAnsiTheme="majorHAnsi" w:cstheme="majorHAnsi"/>
          <w:color w:val="000000"/>
          <w:kern w:val="0"/>
          <w:sz w:val="22"/>
          <w:szCs w:val="22"/>
          <w14:ligatures w14:val="none"/>
        </w:rPr>
      </w:pPr>
    </w:p>
    <w:p w14:paraId="4E379032" w14:textId="77777777" w:rsidR="00353610" w:rsidRDefault="00353610" w:rsidP="00353610">
      <w:pPr>
        <w:rPr>
          <w:rFonts w:asciiTheme="majorHAnsi" w:hAnsiTheme="majorHAnsi" w:cstheme="majorHAnsi"/>
          <w:color w:val="000000"/>
          <w:kern w:val="0"/>
          <w:sz w:val="22"/>
          <w:szCs w:val="22"/>
          <w14:ligatures w14:val="none"/>
        </w:rPr>
      </w:pPr>
    </w:p>
    <w:p w14:paraId="57EF2353" w14:textId="77777777" w:rsidR="00353610" w:rsidRDefault="00353610" w:rsidP="00353610">
      <w:pPr>
        <w:rPr>
          <w:rFonts w:asciiTheme="majorHAnsi" w:hAnsiTheme="majorHAnsi" w:cstheme="majorHAnsi"/>
          <w:color w:val="000000"/>
          <w:kern w:val="0"/>
          <w:sz w:val="22"/>
          <w:szCs w:val="22"/>
          <w14:ligatures w14:val="none"/>
        </w:rPr>
      </w:pPr>
    </w:p>
    <w:p w14:paraId="69A0D8A2" w14:textId="77777777" w:rsidR="00353610" w:rsidRDefault="00353610" w:rsidP="00353610">
      <w:pPr>
        <w:rPr>
          <w:rFonts w:asciiTheme="majorHAnsi" w:hAnsiTheme="majorHAnsi" w:cstheme="majorHAnsi"/>
          <w:color w:val="000000"/>
          <w:kern w:val="0"/>
          <w:sz w:val="22"/>
          <w:szCs w:val="22"/>
          <w14:ligatures w14:val="none"/>
        </w:rPr>
      </w:pPr>
    </w:p>
    <w:p w14:paraId="529B3F29" w14:textId="77777777" w:rsidR="00353610" w:rsidRDefault="00353610" w:rsidP="00353610">
      <w:pPr>
        <w:rPr>
          <w:rFonts w:asciiTheme="majorHAnsi" w:hAnsiTheme="majorHAnsi" w:cstheme="majorHAnsi"/>
          <w:color w:val="000000"/>
          <w:kern w:val="0"/>
          <w:sz w:val="22"/>
          <w:szCs w:val="22"/>
          <w14:ligatures w14:val="none"/>
        </w:rPr>
      </w:pPr>
    </w:p>
    <w:p w14:paraId="3D4D396B" w14:textId="77777777" w:rsidR="00353610" w:rsidRDefault="00353610" w:rsidP="00353610">
      <w:pPr>
        <w:rPr>
          <w:rFonts w:asciiTheme="majorHAnsi" w:hAnsiTheme="majorHAnsi" w:cstheme="majorHAnsi"/>
          <w:color w:val="000000"/>
          <w:kern w:val="0"/>
          <w:sz w:val="22"/>
          <w:szCs w:val="22"/>
          <w14:ligatures w14:val="none"/>
        </w:rPr>
      </w:pPr>
    </w:p>
    <w:p w14:paraId="682E46B4" w14:textId="77777777" w:rsidR="00353610" w:rsidRDefault="00353610" w:rsidP="00353610">
      <w:pPr>
        <w:rPr>
          <w:rFonts w:asciiTheme="majorHAnsi" w:hAnsiTheme="majorHAnsi" w:cstheme="majorHAnsi"/>
          <w:color w:val="000000"/>
          <w:kern w:val="0"/>
          <w:sz w:val="22"/>
          <w:szCs w:val="22"/>
          <w14:ligatures w14:val="none"/>
        </w:rPr>
      </w:pPr>
    </w:p>
    <w:p w14:paraId="14F022EF" w14:textId="77777777" w:rsidR="00353610" w:rsidRDefault="00353610" w:rsidP="00353610">
      <w:pPr>
        <w:rPr>
          <w:rFonts w:asciiTheme="majorHAnsi" w:hAnsiTheme="majorHAnsi" w:cstheme="majorHAnsi"/>
          <w:color w:val="000000"/>
          <w:kern w:val="0"/>
          <w:sz w:val="22"/>
          <w:szCs w:val="22"/>
          <w14:ligatures w14:val="none"/>
        </w:rPr>
      </w:pPr>
    </w:p>
    <w:p w14:paraId="45A1D0E8" w14:textId="77777777" w:rsidR="00353610" w:rsidRDefault="00353610" w:rsidP="00353610">
      <w:pPr>
        <w:rPr>
          <w:rFonts w:asciiTheme="majorHAnsi" w:hAnsiTheme="majorHAnsi" w:cstheme="majorHAnsi"/>
          <w:color w:val="000000"/>
          <w:kern w:val="0"/>
          <w:sz w:val="22"/>
          <w:szCs w:val="22"/>
          <w14:ligatures w14:val="none"/>
        </w:rPr>
      </w:pPr>
    </w:p>
    <w:p w14:paraId="5D7FC32D" w14:textId="77777777" w:rsidR="00353610" w:rsidRDefault="00353610" w:rsidP="00353610">
      <w:pPr>
        <w:rPr>
          <w:rFonts w:asciiTheme="majorHAnsi" w:hAnsiTheme="majorHAnsi" w:cstheme="majorHAnsi"/>
          <w:color w:val="000000"/>
          <w:kern w:val="0"/>
          <w:sz w:val="22"/>
          <w:szCs w:val="22"/>
          <w14:ligatures w14:val="none"/>
        </w:rPr>
      </w:pPr>
    </w:p>
    <w:p w14:paraId="15BB3713" w14:textId="77777777" w:rsidR="00353610" w:rsidRDefault="00353610" w:rsidP="00353610">
      <w:pPr>
        <w:rPr>
          <w:rFonts w:asciiTheme="majorHAnsi" w:hAnsiTheme="majorHAnsi" w:cstheme="majorHAnsi"/>
          <w:color w:val="000000"/>
          <w:kern w:val="0"/>
          <w:sz w:val="22"/>
          <w:szCs w:val="22"/>
          <w14:ligatures w14:val="none"/>
        </w:rPr>
      </w:pPr>
    </w:p>
    <w:p w14:paraId="10531834" w14:textId="77777777" w:rsidR="00353610" w:rsidRDefault="00353610" w:rsidP="00353610">
      <w:pPr>
        <w:rPr>
          <w:rFonts w:asciiTheme="majorHAnsi" w:hAnsiTheme="majorHAnsi" w:cstheme="majorHAnsi"/>
          <w:color w:val="000000"/>
          <w:kern w:val="0"/>
          <w:sz w:val="22"/>
          <w:szCs w:val="22"/>
          <w14:ligatures w14:val="none"/>
        </w:rPr>
      </w:pPr>
    </w:p>
    <w:p w14:paraId="11ABDDFE" w14:textId="77777777" w:rsidR="00353610" w:rsidRDefault="00353610" w:rsidP="00353610">
      <w:pPr>
        <w:rPr>
          <w:rFonts w:asciiTheme="majorHAnsi" w:hAnsiTheme="majorHAnsi" w:cstheme="majorHAnsi"/>
          <w:color w:val="000000"/>
          <w:kern w:val="0"/>
          <w:sz w:val="22"/>
          <w:szCs w:val="22"/>
          <w14:ligatures w14:val="none"/>
        </w:rPr>
      </w:pPr>
    </w:p>
    <w:p w14:paraId="2A1639E4" w14:textId="77777777" w:rsidR="00353610" w:rsidRDefault="00353610" w:rsidP="00353610">
      <w:pPr>
        <w:rPr>
          <w:rFonts w:asciiTheme="majorHAnsi" w:hAnsiTheme="majorHAnsi" w:cstheme="majorHAnsi"/>
          <w:color w:val="000000"/>
          <w:kern w:val="0"/>
          <w:sz w:val="22"/>
          <w:szCs w:val="22"/>
          <w14:ligatures w14:val="none"/>
        </w:rPr>
      </w:pPr>
    </w:p>
    <w:p w14:paraId="19471CE5" w14:textId="77777777" w:rsidR="00353610" w:rsidRDefault="00353610" w:rsidP="00EE22AE">
      <w:pPr>
        <w:rPr>
          <w:rFonts w:asciiTheme="majorHAnsi" w:hAnsiTheme="majorHAnsi" w:cstheme="majorHAnsi"/>
          <w:color w:val="000000"/>
          <w:kern w:val="0"/>
          <w:sz w:val="22"/>
          <w:szCs w:val="22"/>
          <w14:ligatures w14:val="none"/>
        </w:rPr>
      </w:pPr>
    </w:p>
    <w:p w14:paraId="29EF05AD" w14:textId="37D59F25" w:rsidR="00EE22AE" w:rsidRPr="00EE22AE" w:rsidRDefault="00EE22AE" w:rsidP="00EE22AE">
      <w:pPr>
        <w:rPr>
          <w:rFonts w:asciiTheme="majorHAnsi" w:hAnsiTheme="majorHAnsi" w:cstheme="majorHAnsi"/>
          <w:sz w:val="22"/>
          <w:szCs w:val="22"/>
          <w:u w:val="single"/>
        </w:rPr>
      </w:pPr>
      <w:r w:rsidRPr="00EE22AE">
        <w:rPr>
          <w:rFonts w:asciiTheme="majorHAnsi" w:hAnsiTheme="majorHAnsi" w:cstheme="majorHAnsi"/>
          <w:sz w:val="22"/>
          <w:szCs w:val="22"/>
          <w:u w:val="single"/>
        </w:rPr>
        <w:t>References</w:t>
      </w:r>
    </w:p>
    <w:p w14:paraId="51B999C9"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Bradford, B., Quinton, P., Myhill, A. and Porter, G. (2013). Why do ‘the law’ comply? Procedural justice, group identification and officer motivation in police organizations. </w:t>
      </w:r>
      <w:r w:rsidRPr="00EE22AE">
        <w:rPr>
          <w:rFonts w:asciiTheme="majorHAnsi" w:hAnsiTheme="majorHAnsi" w:cstheme="majorHAnsi"/>
          <w:i/>
          <w:iCs/>
          <w:sz w:val="22"/>
          <w:szCs w:val="22"/>
        </w:rPr>
        <w:t>European Journal of Criminology</w:t>
      </w:r>
      <w:r w:rsidRPr="00EE22AE">
        <w:rPr>
          <w:rFonts w:asciiTheme="majorHAnsi" w:hAnsiTheme="majorHAnsi" w:cstheme="majorHAnsi"/>
          <w:sz w:val="22"/>
          <w:szCs w:val="22"/>
        </w:rPr>
        <w:t xml:space="preserve">, 11(1), pp.110–131. </w:t>
      </w:r>
      <w:proofErr w:type="spellStart"/>
      <w:proofErr w:type="gramStart"/>
      <w:r w:rsidRPr="00EE22AE">
        <w:rPr>
          <w:rFonts w:asciiTheme="majorHAnsi" w:hAnsiTheme="majorHAnsi" w:cstheme="majorHAnsi"/>
          <w:sz w:val="22"/>
          <w:szCs w:val="22"/>
        </w:rPr>
        <w:t>doi:https</w:t>
      </w:r>
      <w:proofErr w:type="spellEnd"/>
      <w:r w:rsidRPr="00EE22AE">
        <w:rPr>
          <w:rFonts w:asciiTheme="majorHAnsi" w:hAnsiTheme="majorHAnsi" w:cstheme="majorHAnsi"/>
          <w:sz w:val="22"/>
          <w:szCs w:val="22"/>
        </w:rPr>
        <w:t>://doi.org/10.1177/1477370813491898</w:t>
      </w:r>
      <w:proofErr w:type="gramEnd"/>
      <w:r w:rsidRPr="00EE22AE">
        <w:rPr>
          <w:rFonts w:asciiTheme="majorHAnsi" w:hAnsiTheme="majorHAnsi" w:cstheme="majorHAnsi"/>
          <w:sz w:val="22"/>
          <w:szCs w:val="22"/>
        </w:rPr>
        <w:t>.</w:t>
      </w:r>
    </w:p>
    <w:p w14:paraId="584D88FD"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College of Policing (2021). </w:t>
      </w:r>
      <w:r w:rsidRPr="00EE22AE">
        <w:rPr>
          <w:rFonts w:asciiTheme="majorHAnsi" w:hAnsiTheme="majorHAnsi" w:cstheme="majorHAnsi"/>
          <w:i/>
          <w:iCs/>
          <w:sz w:val="22"/>
          <w:szCs w:val="22"/>
        </w:rPr>
        <w:t>Wellbeing</w:t>
      </w:r>
      <w:r w:rsidRPr="00EE22AE">
        <w:rPr>
          <w:rFonts w:asciiTheme="majorHAnsi" w:hAnsiTheme="majorHAnsi" w:cstheme="majorHAnsi"/>
          <w:sz w:val="22"/>
          <w:szCs w:val="22"/>
        </w:rPr>
        <w:t>. [online] College of Policing. Available at: https://www.college.police.uk/support-forces/health-safety-welfare/wellbeing [Accessed 28 Jul. 2025].</w:t>
      </w:r>
    </w:p>
    <w:p w14:paraId="318D2B00" w14:textId="77777777" w:rsidR="00EE22AE" w:rsidRPr="00EE22AE" w:rsidRDefault="00EE22AE" w:rsidP="00EE22AE">
      <w:pPr>
        <w:rPr>
          <w:rFonts w:asciiTheme="majorHAnsi" w:hAnsiTheme="majorHAnsi" w:cstheme="majorHAnsi"/>
          <w:sz w:val="22"/>
          <w:szCs w:val="22"/>
        </w:rPr>
      </w:pPr>
      <w:proofErr w:type="spellStart"/>
      <w:r w:rsidRPr="00EE22AE">
        <w:rPr>
          <w:rFonts w:asciiTheme="majorHAnsi" w:hAnsiTheme="majorHAnsi" w:cstheme="majorHAnsi"/>
          <w:sz w:val="22"/>
          <w:szCs w:val="22"/>
        </w:rPr>
        <w:t>Demou</w:t>
      </w:r>
      <w:proofErr w:type="spellEnd"/>
      <w:r w:rsidRPr="00EE22AE">
        <w:rPr>
          <w:rFonts w:asciiTheme="majorHAnsi" w:hAnsiTheme="majorHAnsi" w:cstheme="majorHAnsi"/>
          <w:sz w:val="22"/>
          <w:szCs w:val="22"/>
        </w:rPr>
        <w:t xml:space="preserve">, E., Hale, H. and Hunt, K. (2020). Understanding the mental health and wellbeing needs of police officers and staff in Scotland. </w:t>
      </w:r>
      <w:r w:rsidRPr="00EE22AE">
        <w:rPr>
          <w:rFonts w:asciiTheme="majorHAnsi" w:hAnsiTheme="majorHAnsi" w:cstheme="majorHAnsi"/>
          <w:i/>
          <w:iCs/>
          <w:sz w:val="22"/>
          <w:szCs w:val="22"/>
        </w:rPr>
        <w:t>Police Practice and Research</w:t>
      </w:r>
      <w:r w:rsidRPr="00EE22AE">
        <w:rPr>
          <w:rFonts w:asciiTheme="majorHAnsi" w:hAnsiTheme="majorHAnsi" w:cstheme="majorHAnsi"/>
          <w:sz w:val="22"/>
          <w:szCs w:val="22"/>
        </w:rPr>
        <w:t xml:space="preserve">, [online] 21(6), pp.1–15. </w:t>
      </w:r>
      <w:proofErr w:type="spellStart"/>
      <w:proofErr w:type="gramStart"/>
      <w:r w:rsidRPr="00EE22AE">
        <w:rPr>
          <w:rFonts w:asciiTheme="majorHAnsi" w:hAnsiTheme="majorHAnsi" w:cstheme="majorHAnsi"/>
          <w:sz w:val="22"/>
          <w:szCs w:val="22"/>
        </w:rPr>
        <w:t>doi:https</w:t>
      </w:r>
      <w:proofErr w:type="spellEnd"/>
      <w:r w:rsidRPr="00EE22AE">
        <w:rPr>
          <w:rFonts w:asciiTheme="majorHAnsi" w:hAnsiTheme="majorHAnsi" w:cstheme="majorHAnsi"/>
          <w:sz w:val="22"/>
          <w:szCs w:val="22"/>
        </w:rPr>
        <w:t>://doi.org/10.1080/15614263.2020.1772782</w:t>
      </w:r>
      <w:proofErr w:type="gramEnd"/>
      <w:r w:rsidRPr="00EE22AE">
        <w:rPr>
          <w:rFonts w:asciiTheme="majorHAnsi" w:hAnsiTheme="majorHAnsi" w:cstheme="majorHAnsi"/>
          <w:sz w:val="22"/>
          <w:szCs w:val="22"/>
        </w:rPr>
        <w:t>.</w:t>
      </w:r>
    </w:p>
    <w:p w14:paraId="0FB777B8"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Elliott-Davies, M. (2020). </w:t>
      </w:r>
      <w:r w:rsidRPr="00EE22AE">
        <w:rPr>
          <w:rFonts w:asciiTheme="majorHAnsi" w:hAnsiTheme="majorHAnsi" w:cstheme="majorHAnsi"/>
          <w:i/>
          <w:iCs/>
          <w:sz w:val="22"/>
          <w:szCs w:val="22"/>
        </w:rPr>
        <w:t>Single Crewing: Brief Evidence Review</w:t>
      </w:r>
      <w:r w:rsidRPr="00EE22AE">
        <w:rPr>
          <w:rFonts w:asciiTheme="majorHAnsi" w:hAnsiTheme="majorHAnsi" w:cstheme="majorHAnsi"/>
          <w:sz w:val="22"/>
          <w:szCs w:val="22"/>
        </w:rPr>
        <w:t>. [online] Available at: https://www.polfed.org/media/16824/singlecrewingreport-27-03-20-v2.pdf [Accessed 28 Jul. 2025].</w:t>
      </w:r>
    </w:p>
    <w:p w14:paraId="0C7883B8"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Elliott-Davies, M., Donnelly, J., Boag-Munroe, F. and Van </w:t>
      </w:r>
      <w:proofErr w:type="spellStart"/>
      <w:r w:rsidRPr="00EE22AE">
        <w:rPr>
          <w:rFonts w:asciiTheme="majorHAnsi" w:hAnsiTheme="majorHAnsi" w:cstheme="majorHAnsi"/>
          <w:sz w:val="22"/>
          <w:szCs w:val="22"/>
        </w:rPr>
        <w:t>Mechelen</w:t>
      </w:r>
      <w:proofErr w:type="spellEnd"/>
      <w:r w:rsidRPr="00EE22AE">
        <w:rPr>
          <w:rFonts w:asciiTheme="majorHAnsi" w:hAnsiTheme="majorHAnsi" w:cstheme="majorHAnsi"/>
          <w:sz w:val="22"/>
          <w:szCs w:val="22"/>
        </w:rPr>
        <w:t xml:space="preserve">, D. (2016). ‘Getting a battering’. </w:t>
      </w:r>
      <w:r w:rsidRPr="00EE22AE">
        <w:rPr>
          <w:rFonts w:asciiTheme="majorHAnsi" w:hAnsiTheme="majorHAnsi" w:cstheme="majorHAnsi"/>
          <w:i/>
          <w:iCs/>
          <w:sz w:val="22"/>
          <w:szCs w:val="22"/>
        </w:rPr>
        <w:t>The Police Journal: Theory, Practice and Principles</w:t>
      </w:r>
      <w:r w:rsidRPr="00EE22AE">
        <w:rPr>
          <w:rFonts w:asciiTheme="majorHAnsi" w:hAnsiTheme="majorHAnsi" w:cstheme="majorHAnsi"/>
          <w:sz w:val="22"/>
          <w:szCs w:val="22"/>
        </w:rPr>
        <w:t xml:space="preserve">, [online] 89(2), pp.93–116. </w:t>
      </w:r>
      <w:proofErr w:type="spellStart"/>
      <w:proofErr w:type="gramStart"/>
      <w:r w:rsidRPr="00EE22AE">
        <w:rPr>
          <w:rFonts w:asciiTheme="majorHAnsi" w:hAnsiTheme="majorHAnsi" w:cstheme="majorHAnsi"/>
          <w:sz w:val="22"/>
          <w:szCs w:val="22"/>
        </w:rPr>
        <w:t>doi:https</w:t>
      </w:r>
      <w:proofErr w:type="spellEnd"/>
      <w:r w:rsidRPr="00EE22AE">
        <w:rPr>
          <w:rFonts w:asciiTheme="majorHAnsi" w:hAnsiTheme="majorHAnsi" w:cstheme="majorHAnsi"/>
          <w:sz w:val="22"/>
          <w:szCs w:val="22"/>
        </w:rPr>
        <w:t>://doi.org/10.1177/0032258x16642234</w:t>
      </w:r>
      <w:proofErr w:type="gramEnd"/>
      <w:r w:rsidRPr="00EE22AE">
        <w:rPr>
          <w:rFonts w:asciiTheme="majorHAnsi" w:hAnsiTheme="majorHAnsi" w:cstheme="majorHAnsi"/>
          <w:sz w:val="22"/>
          <w:szCs w:val="22"/>
        </w:rPr>
        <w:t>.</w:t>
      </w:r>
    </w:p>
    <w:p w14:paraId="0661F454"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Fleming, J. and Grabosky, P. (2009). Managing the Demand for Police Services, or How to Control an Insatiable Appetite. </w:t>
      </w:r>
      <w:r w:rsidRPr="00EE22AE">
        <w:rPr>
          <w:rFonts w:asciiTheme="majorHAnsi" w:hAnsiTheme="majorHAnsi" w:cstheme="majorHAnsi"/>
          <w:i/>
          <w:iCs/>
          <w:sz w:val="22"/>
          <w:szCs w:val="22"/>
        </w:rPr>
        <w:t>Policing</w:t>
      </w:r>
      <w:r w:rsidRPr="00EE22AE">
        <w:rPr>
          <w:rFonts w:asciiTheme="majorHAnsi" w:hAnsiTheme="majorHAnsi" w:cstheme="majorHAnsi"/>
          <w:sz w:val="22"/>
          <w:szCs w:val="22"/>
        </w:rPr>
        <w:t xml:space="preserve">, 3(3), pp.281–291. </w:t>
      </w:r>
      <w:proofErr w:type="spellStart"/>
      <w:proofErr w:type="gramStart"/>
      <w:r w:rsidRPr="00EE22AE">
        <w:rPr>
          <w:rFonts w:asciiTheme="majorHAnsi" w:hAnsiTheme="majorHAnsi" w:cstheme="majorHAnsi"/>
          <w:sz w:val="22"/>
          <w:szCs w:val="22"/>
        </w:rPr>
        <w:t>doi:https</w:t>
      </w:r>
      <w:proofErr w:type="spellEnd"/>
      <w:r w:rsidRPr="00EE22AE">
        <w:rPr>
          <w:rFonts w:asciiTheme="majorHAnsi" w:hAnsiTheme="majorHAnsi" w:cstheme="majorHAnsi"/>
          <w:sz w:val="22"/>
          <w:szCs w:val="22"/>
        </w:rPr>
        <w:t>://doi.org/10.1093/police/pap019</w:t>
      </w:r>
      <w:proofErr w:type="gramEnd"/>
      <w:r w:rsidRPr="00EE22AE">
        <w:rPr>
          <w:rFonts w:asciiTheme="majorHAnsi" w:hAnsiTheme="majorHAnsi" w:cstheme="majorHAnsi"/>
          <w:sz w:val="22"/>
          <w:szCs w:val="22"/>
        </w:rPr>
        <w:t>.</w:t>
      </w:r>
    </w:p>
    <w:p w14:paraId="76E6DCC1"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Hartshorn, S. (2022). </w:t>
      </w:r>
      <w:r w:rsidRPr="00EE22AE">
        <w:rPr>
          <w:rFonts w:asciiTheme="majorHAnsi" w:hAnsiTheme="majorHAnsi" w:cstheme="majorHAnsi"/>
          <w:i/>
          <w:iCs/>
          <w:sz w:val="22"/>
          <w:szCs w:val="22"/>
        </w:rPr>
        <w:t>‘Double crewing is a no-brainer’ says Fed chair</w:t>
      </w:r>
      <w:r w:rsidRPr="00EE22AE">
        <w:rPr>
          <w:rFonts w:asciiTheme="majorHAnsi" w:hAnsiTheme="majorHAnsi" w:cstheme="majorHAnsi"/>
          <w:sz w:val="22"/>
          <w:szCs w:val="22"/>
        </w:rPr>
        <w:t>. [online] www.polfed.org. Available at: https://www.polfed.org/westmids/news-and-events/2022/double-crewing-is-a-no-brainer-says-fed-chair/ [Accessed 28 Jul. 2025].</w:t>
      </w:r>
    </w:p>
    <w:p w14:paraId="11AFD8B2"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HMICFRS (2017). </w:t>
      </w:r>
      <w:r w:rsidRPr="00EE22AE">
        <w:rPr>
          <w:rFonts w:asciiTheme="majorHAnsi" w:hAnsiTheme="majorHAnsi" w:cstheme="majorHAnsi"/>
          <w:i/>
          <w:iCs/>
          <w:sz w:val="22"/>
          <w:szCs w:val="22"/>
        </w:rPr>
        <w:t>PEEL: police effectiveness 2016</w:t>
      </w:r>
      <w:r w:rsidRPr="00EE22AE">
        <w:rPr>
          <w:rFonts w:asciiTheme="majorHAnsi" w:hAnsiTheme="majorHAnsi" w:cstheme="majorHAnsi"/>
          <w:sz w:val="22"/>
          <w:szCs w:val="22"/>
        </w:rPr>
        <w:t>. [online] His Majesty’s Inspectorate of Constabulary and Fire &amp; Rescue Services. Available at: https://hmicfrs.justiceinspectorates.gov.uk/publications/peel-police-effectiveness-2016/ [Accessed 28 Jul. 2025].</w:t>
      </w:r>
    </w:p>
    <w:p w14:paraId="2218CC74"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HMICFRS (2022). </w:t>
      </w:r>
      <w:r w:rsidRPr="00EE22AE">
        <w:rPr>
          <w:rFonts w:asciiTheme="majorHAnsi" w:hAnsiTheme="majorHAnsi" w:cstheme="majorHAnsi"/>
          <w:i/>
          <w:iCs/>
          <w:sz w:val="22"/>
          <w:szCs w:val="22"/>
        </w:rPr>
        <w:t>State of Policing: The Annual Assessment of Policing in England and Wales 2021</w:t>
      </w:r>
      <w:r w:rsidRPr="00EE22AE">
        <w:rPr>
          <w:rFonts w:asciiTheme="majorHAnsi" w:hAnsiTheme="majorHAnsi" w:cstheme="majorHAnsi"/>
          <w:sz w:val="22"/>
          <w:szCs w:val="22"/>
        </w:rPr>
        <w:t>. [online] His Majesty’s Inspectorate of Constabulary and Fire &amp; Rescue Services. Available at: https://hmicfrs.justiceinspectorates.gov.uk/publications/state-of-policing-the-annual-assessment-of-policing-in-england-and-wales-2021/ [Accessed 28 Jul. 2025].</w:t>
      </w:r>
    </w:p>
    <w:p w14:paraId="2C6842ED"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HMICFRS (2023). </w:t>
      </w:r>
      <w:r w:rsidRPr="00EE22AE">
        <w:rPr>
          <w:rFonts w:asciiTheme="majorHAnsi" w:hAnsiTheme="majorHAnsi" w:cstheme="majorHAnsi"/>
          <w:i/>
          <w:iCs/>
          <w:sz w:val="22"/>
          <w:szCs w:val="22"/>
        </w:rPr>
        <w:t>Policing inspection programme and framework commencing April 2022</w:t>
      </w:r>
      <w:r w:rsidRPr="00EE22AE">
        <w:rPr>
          <w:rFonts w:asciiTheme="majorHAnsi" w:hAnsiTheme="majorHAnsi" w:cstheme="majorHAnsi"/>
          <w:sz w:val="22"/>
          <w:szCs w:val="22"/>
        </w:rPr>
        <w:t>. [online] His Majesty’s Inspectorate of Constabulary and Fire &amp; Rescue Services. Available at: https://hmicfrs.justiceinspectorates.gov.uk/publications/policing-inspection-programme-and-framework-commencing-april-2022/ [Accessed 28 Jul. 2025].</w:t>
      </w:r>
    </w:p>
    <w:p w14:paraId="36DC4E32"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Home Office (2015). </w:t>
      </w:r>
      <w:r w:rsidRPr="00EE22AE">
        <w:rPr>
          <w:rFonts w:asciiTheme="majorHAnsi" w:hAnsiTheme="majorHAnsi" w:cstheme="majorHAnsi"/>
          <w:i/>
          <w:iCs/>
          <w:sz w:val="22"/>
          <w:szCs w:val="22"/>
        </w:rPr>
        <w:t>Home Office Circulars 2015</w:t>
      </w:r>
      <w:r w:rsidRPr="00EE22AE">
        <w:rPr>
          <w:rFonts w:asciiTheme="majorHAnsi" w:hAnsiTheme="majorHAnsi" w:cstheme="majorHAnsi"/>
          <w:sz w:val="22"/>
          <w:szCs w:val="22"/>
        </w:rPr>
        <w:t>. [online] GOV.UK. Available at: https://www.gov.uk/government/collections/home-office-circulars-2015 [Accessed 28 Jul. 2025].</w:t>
      </w:r>
    </w:p>
    <w:p w14:paraId="3CB0B4AC"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Home Office (2019). </w:t>
      </w:r>
      <w:r w:rsidRPr="00EE22AE">
        <w:rPr>
          <w:rFonts w:asciiTheme="majorHAnsi" w:hAnsiTheme="majorHAnsi" w:cstheme="majorHAnsi"/>
          <w:i/>
          <w:iCs/>
          <w:sz w:val="22"/>
          <w:szCs w:val="22"/>
        </w:rPr>
        <w:t>Police workforce, England and Wales: 31 March 2019 second edition</w:t>
      </w:r>
      <w:r w:rsidRPr="00EE22AE">
        <w:rPr>
          <w:rFonts w:asciiTheme="majorHAnsi" w:hAnsiTheme="majorHAnsi" w:cstheme="majorHAnsi"/>
          <w:sz w:val="22"/>
          <w:szCs w:val="22"/>
        </w:rPr>
        <w:t>. [online] GOV.UK. Available at: https://www.gov.uk/government/statistics/police-workforce-england-and-wales-31-march-2019 [Accessed 28 Jul. 2025].</w:t>
      </w:r>
    </w:p>
    <w:p w14:paraId="62100286"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Home Office (2023). </w:t>
      </w:r>
      <w:r w:rsidRPr="00EE22AE">
        <w:rPr>
          <w:rFonts w:asciiTheme="majorHAnsi" w:hAnsiTheme="majorHAnsi" w:cstheme="majorHAnsi"/>
          <w:i/>
          <w:iCs/>
          <w:sz w:val="22"/>
          <w:szCs w:val="22"/>
        </w:rPr>
        <w:t>Improving outcomes for the public</w:t>
      </w:r>
      <w:r w:rsidRPr="00EE22AE">
        <w:rPr>
          <w:rFonts w:asciiTheme="majorHAnsi" w:hAnsiTheme="majorHAnsi" w:cstheme="majorHAnsi"/>
          <w:sz w:val="22"/>
          <w:szCs w:val="22"/>
        </w:rPr>
        <w:t>. [online] Available at: https://assets.publishing.service.gov.uk/media/655784fa544aea000dfb2f9a/Policing_Productivity_Review.pdf [Accessed 28 Jul. 2025].</w:t>
      </w:r>
    </w:p>
    <w:p w14:paraId="1B3DB8EE"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Home Office (2024). </w:t>
      </w:r>
      <w:r w:rsidRPr="00EE22AE">
        <w:rPr>
          <w:rFonts w:asciiTheme="majorHAnsi" w:hAnsiTheme="majorHAnsi" w:cstheme="majorHAnsi"/>
          <w:i/>
          <w:iCs/>
          <w:sz w:val="22"/>
          <w:szCs w:val="22"/>
        </w:rPr>
        <w:t>Policing Productivity Review (accessible)</w:t>
      </w:r>
      <w:r w:rsidRPr="00EE22AE">
        <w:rPr>
          <w:rFonts w:asciiTheme="majorHAnsi" w:hAnsiTheme="majorHAnsi" w:cstheme="majorHAnsi"/>
          <w:sz w:val="22"/>
          <w:szCs w:val="22"/>
        </w:rPr>
        <w:t>. [online] gov.uk. Available at: https://www.gov.uk/government/publications/policing-productivity-review/policing-productivity-review-accessible [Accessed 28 Jul. 2025].</w:t>
      </w:r>
    </w:p>
    <w:p w14:paraId="29EC4BAB"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Home Office Statistics (2020). </w:t>
      </w:r>
      <w:r w:rsidRPr="00EE22AE">
        <w:rPr>
          <w:rFonts w:asciiTheme="majorHAnsi" w:hAnsiTheme="majorHAnsi" w:cstheme="majorHAnsi"/>
          <w:i/>
          <w:iCs/>
          <w:sz w:val="22"/>
          <w:szCs w:val="22"/>
        </w:rPr>
        <w:t>Statistics on the number of police</w:t>
      </w:r>
      <w:r w:rsidRPr="00EE22AE">
        <w:rPr>
          <w:rFonts w:asciiTheme="majorHAnsi" w:hAnsiTheme="majorHAnsi" w:cstheme="majorHAnsi"/>
          <w:sz w:val="22"/>
          <w:szCs w:val="22"/>
        </w:rPr>
        <w:t>. [online] Available at: https://assets.publishing.service.gov.uk/media/5f204c60d3bf7f1b164fe006/police-officers-assaulted-201920-england-wales.pdf [Accessed 28 Jul. 2025].</w:t>
      </w:r>
    </w:p>
    <w:p w14:paraId="691FA45A"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Houdmont, J., Elliott-Davies, M. and Donnelly, J. (2018). Single crewing in English and Welsh policing: frequency and associations with violence towards and injuries in officers. </w:t>
      </w:r>
      <w:r w:rsidRPr="00EE22AE">
        <w:rPr>
          <w:rFonts w:asciiTheme="majorHAnsi" w:hAnsiTheme="majorHAnsi" w:cstheme="majorHAnsi"/>
          <w:i/>
          <w:iCs/>
          <w:sz w:val="22"/>
          <w:szCs w:val="22"/>
        </w:rPr>
        <w:t>Policing and Society</w:t>
      </w:r>
      <w:r w:rsidRPr="00EE22AE">
        <w:rPr>
          <w:rFonts w:asciiTheme="majorHAnsi" w:hAnsiTheme="majorHAnsi" w:cstheme="majorHAnsi"/>
          <w:sz w:val="22"/>
          <w:szCs w:val="22"/>
        </w:rPr>
        <w:t xml:space="preserve">, [online] 29(7), pp.820–833. </w:t>
      </w:r>
      <w:proofErr w:type="spellStart"/>
      <w:proofErr w:type="gramStart"/>
      <w:r w:rsidRPr="00EE22AE">
        <w:rPr>
          <w:rFonts w:asciiTheme="majorHAnsi" w:hAnsiTheme="majorHAnsi" w:cstheme="majorHAnsi"/>
          <w:sz w:val="22"/>
          <w:szCs w:val="22"/>
        </w:rPr>
        <w:t>doi:https</w:t>
      </w:r>
      <w:proofErr w:type="spellEnd"/>
      <w:r w:rsidRPr="00EE22AE">
        <w:rPr>
          <w:rFonts w:asciiTheme="majorHAnsi" w:hAnsiTheme="majorHAnsi" w:cstheme="majorHAnsi"/>
          <w:sz w:val="22"/>
          <w:szCs w:val="22"/>
        </w:rPr>
        <w:t>://doi.org/10.1080/10439463.2017.1417990</w:t>
      </w:r>
      <w:proofErr w:type="gramEnd"/>
      <w:r w:rsidRPr="00EE22AE">
        <w:rPr>
          <w:rFonts w:asciiTheme="majorHAnsi" w:hAnsiTheme="majorHAnsi" w:cstheme="majorHAnsi"/>
          <w:sz w:val="22"/>
          <w:szCs w:val="22"/>
        </w:rPr>
        <w:t>.</w:t>
      </w:r>
    </w:p>
    <w:p w14:paraId="7DF10A9A"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Houdmont, J., Jachens, L., Randall, R. and Colwell, J. (2020). English rural policing: job stress and psychological distress. </w:t>
      </w:r>
      <w:r w:rsidRPr="00EE22AE">
        <w:rPr>
          <w:rFonts w:asciiTheme="majorHAnsi" w:hAnsiTheme="majorHAnsi" w:cstheme="majorHAnsi"/>
          <w:i/>
          <w:iCs/>
          <w:sz w:val="22"/>
          <w:szCs w:val="22"/>
        </w:rPr>
        <w:t>Policing: An International Journal</w:t>
      </w:r>
      <w:r w:rsidRPr="00EE22AE">
        <w:rPr>
          <w:rFonts w:asciiTheme="majorHAnsi" w:hAnsiTheme="majorHAnsi" w:cstheme="majorHAnsi"/>
          <w:sz w:val="22"/>
          <w:szCs w:val="22"/>
        </w:rPr>
        <w:t xml:space="preserve">, ahead-of-print(ahead-of-print). </w:t>
      </w:r>
      <w:proofErr w:type="spellStart"/>
      <w:proofErr w:type="gramStart"/>
      <w:r w:rsidRPr="00EE22AE">
        <w:rPr>
          <w:rFonts w:asciiTheme="majorHAnsi" w:hAnsiTheme="majorHAnsi" w:cstheme="majorHAnsi"/>
          <w:sz w:val="22"/>
          <w:szCs w:val="22"/>
        </w:rPr>
        <w:t>doi:https</w:t>
      </w:r>
      <w:proofErr w:type="spellEnd"/>
      <w:r w:rsidRPr="00EE22AE">
        <w:rPr>
          <w:rFonts w:asciiTheme="majorHAnsi" w:hAnsiTheme="majorHAnsi" w:cstheme="majorHAnsi"/>
          <w:sz w:val="22"/>
          <w:szCs w:val="22"/>
        </w:rPr>
        <w:t>://doi.org/10.1108/pijpsm-03-2020-0037</w:t>
      </w:r>
      <w:proofErr w:type="gramEnd"/>
      <w:r w:rsidRPr="00EE22AE">
        <w:rPr>
          <w:rFonts w:asciiTheme="majorHAnsi" w:hAnsiTheme="majorHAnsi" w:cstheme="majorHAnsi"/>
          <w:sz w:val="22"/>
          <w:szCs w:val="22"/>
        </w:rPr>
        <w:t>.</w:t>
      </w:r>
    </w:p>
    <w:p w14:paraId="2330A418"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Innes, M. (2004). Signal crimes and signal disorders: notes on deviance as communicative action. </w:t>
      </w:r>
      <w:r w:rsidRPr="00EE22AE">
        <w:rPr>
          <w:rFonts w:asciiTheme="majorHAnsi" w:hAnsiTheme="majorHAnsi" w:cstheme="majorHAnsi"/>
          <w:i/>
          <w:iCs/>
          <w:sz w:val="22"/>
          <w:szCs w:val="22"/>
        </w:rPr>
        <w:t>The British Journal of Sociology</w:t>
      </w:r>
      <w:r w:rsidRPr="00EE22AE">
        <w:rPr>
          <w:rFonts w:asciiTheme="majorHAnsi" w:hAnsiTheme="majorHAnsi" w:cstheme="majorHAnsi"/>
          <w:sz w:val="22"/>
          <w:szCs w:val="22"/>
        </w:rPr>
        <w:t>, 55(3), pp.335–355.</w:t>
      </w:r>
    </w:p>
    <w:p w14:paraId="1C13E0CC"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K. Chelst (1975). </w:t>
      </w:r>
      <w:r w:rsidRPr="00EE22AE">
        <w:rPr>
          <w:rFonts w:asciiTheme="majorHAnsi" w:hAnsiTheme="majorHAnsi" w:cstheme="majorHAnsi"/>
          <w:i/>
          <w:iCs/>
          <w:sz w:val="22"/>
          <w:szCs w:val="22"/>
        </w:rPr>
        <w:t>Quantitative models for police patrol deployment</w:t>
      </w:r>
      <w:r w:rsidRPr="00EE22AE">
        <w:rPr>
          <w:rFonts w:asciiTheme="majorHAnsi" w:hAnsiTheme="majorHAnsi" w:cstheme="majorHAnsi"/>
          <w:sz w:val="22"/>
          <w:szCs w:val="22"/>
        </w:rPr>
        <w:t>. [online] Academia.edu. Available at: https://www.academia.edu/130168346/Quantitative_models_for_police_patrol_deployment [Accessed 28 Jul. 2025].</w:t>
      </w:r>
    </w:p>
    <w:p w14:paraId="41A3AECD"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Loftus, B. (2010). Police occupational culture: classic themes, altered times. </w:t>
      </w:r>
      <w:r w:rsidRPr="00EE22AE">
        <w:rPr>
          <w:rFonts w:asciiTheme="majorHAnsi" w:hAnsiTheme="majorHAnsi" w:cstheme="majorHAnsi"/>
          <w:i/>
          <w:iCs/>
          <w:sz w:val="22"/>
          <w:szCs w:val="22"/>
        </w:rPr>
        <w:t>Policing and Society</w:t>
      </w:r>
      <w:r w:rsidRPr="00EE22AE">
        <w:rPr>
          <w:rFonts w:asciiTheme="majorHAnsi" w:hAnsiTheme="majorHAnsi" w:cstheme="majorHAnsi"/>
          <w:sz w:val="22"/>
          <w:szCs w:val="22"/>
        </w:rPr>
        <w:t xml:space="preserve">, [online] 20(1), pp.1–20. </w:t>
      </w:r>
      <w:proofErr w:type="spellStart"/>
      <w:proofErr w:type="gramStart"/>
      <w:r w:rsidRPr="00EE22AE">
        <w:rPr>
          <w:rFonts w:asciiTheme="majorHAnsi" w:hAnsiTheme="majorHAnsi" w:cstheme="majorHAnsi"/>
          <w:sz w:val="22"/>
          <w:szCs w:val="22"/>
        </w:rPr>
        <w:t>doi:https</w:t>
      </w:r>
      <w:proofErr w:type="spellEnd"/>
      <w:r w:rsidRPr="00EE22AE">
        <w:rPr>
          <w:rFonts w:asciiTheme="majorHAnsi" w:hAnsiTheme="majorHAnsi" w:cstheme="majorHAnsi"/>
          <w:sz w:val="22"/>
          <w:szCs w:val="22"/>
        </w:rPr>
        <w:t>://doi.org/10.1080/10439460903281547</w:t>
      </w:r>
      <w:proofErr w:type="gramEnd"/>
      <w:r w:rsidRPr="00EE22AE">
        <w:rPr>
          <w:rFonts w:asciiTheme="majorHAnsi" w:hAnsiTheme="majorHAnsi" w:cstheme="majorHAnsi"/>
          <w:sz w:val="22"/>
          <w:szCs w:val="22"/>
        </w:rPr>
        <w:t>.</w:t>
      </w:r>
    </w:p>
    <w:p w14:paraId="3F75CD42"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Loveday, B. (2015). Police Management and Workforce Reform in a Period of Austerity. </w:t>
      </w:r>
      <w:r w:rsidRPr="00EE22AE">
        <w:rPr>
          <w:rFonts w:asciiTheme="majorHAnsi" w:hAnsiTheme="majorHAnsi" w:cstheme="majorHAnsi"/>
          <w:i/>
          <w:iCs/>
          <w:sz w:val="22"/>
          <w:szCs w:val="22"/>
        </w:rPr>
        <w:t>Police Services</w:t>
      </w:r>
      <w:r w:rsidRPr="00EE22AE">
        <w:rPr>
          <w:rFonts w:asciiTheme="majorHAnsi" w:hAnsiTheme="majorHAnsi" w:cstheme="majorHAnsi"/>
          <w:sz w:val="22"/>
          <w:szCs w:val="22"/>
        </w:rPr>
        <w:t xml:space="preserve">, pp.115–127. </w:t>
      </w:r>
      <w:proofErr w:type="spellStart"/>
      <w:proofErr w:type="gramStart"/>
      <w:r w:rsidRPr="00EE22AE">
        <w:rPr>
          <w:rFonts w:asciiTheme="majorHAnsi" w:hAnsiTheme="majorHAnsi" w:cstheme="majorHAnsi"/>
          <w:sz w:val="22"/>
          <w:szCs w:val="22"/>
        </w:rPr>
        <w:t>doi:https</w:t>
      </w:r>
      <w:proofErr w:type="spellEnd"/>
      <w:r w:rsidRPr="00EE22AE">
        <w:rPr>
          <w:rFonts w:asciiTheme="majorHAnsi" w:hAnsiTheme="majorHAnsi" w:cstheme="majorHAnsi"/>
          <w:sz w:val="22"/>
          <w:szCs w:val="22"/>
        </w:rPr>
        <w:t>://doi.org/10.1007/978-3-319-16568-4_10</w:t>
      </w:r>
      <w:proofErr w:type="gramEnd"/>
      <w:r w:rsidRPr="00EE22AE">
        <w:rPr>
          <w:rFonts w:asciiTheme="majorHAnsi" w:hAnsiTheme="majorHAnsi" w:cstheme="majorHAnsi"/>
          <w:sz w:val="22"/>
          <w:szCs w:val="22"/>
        </w:rPr>
        <w:t>.</w:t>
      </w:r>
    </w:p>
    <w:p w14:paraId="25502E33"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Loveday, B. and Reid, A. (2003). </w:t>
      </w:r>
      <w:r w:rsidRPr="00EE22AE">
        <w:rPr>
          <w:rFonts w:asciiTheme="majorHAnsi" w:hAnsiTheme="majorHAnsi" w:cstheme="majorHAnsi"/>
          <w:i/>
          <w:iCs/>
          <w:sz w:val="22"/>
          <w:szCs w:val="22"/>
        </w:rPr>
        <w:t>Going local Who should run Britain’s police?</w:t>
      </w:r>
      <w:r w:rsidRPr="00EE22AE">
        <w:rPr>
          <w:rFonts w:asciiTheme="majorHAnsi" w:hAnsiTheme="majorHAnsi" w:cstheme="majorHAnsi"/>
          <w:sz w:val="22"/>
          <w:szCs w:val="22"/>
        </w:rPr>
        <w:t xml:space="preserve"> [online] London: Policy Exchange. Available at: http://www.policyexchange.org.uk/images/publications/going%20local%20-%20jan%2003.pdf [Accessed 28 Jul. 2025].</w:t>
      </w:r>
    </w:p>
    <w:p w14:paraId="10093079"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Mastrofski, S.D. (2004). Controlling Street-Level Police Discretion. </w:t>
      </w:r>
      <w:r w:rsidRPr="00EE22AE">
        <w:rPr>
          <w:rFonts w:asciiTheme="majorHAnsi" w:hAnsiTheme="majorHAnsi" w:cstheme="majorHAnsi"/>
          <w:i/>
          <w:iCs/>
          <w:sz w:val="22"/>
          <w:szCs w:val="22"/>
        </w:rPr>
        <w:t>The ANNALS of the American Academy of Political and Social Science</w:t>
      </w:r>
      <w:r w:rsidRPr="00EE22AE">
        <w:rPr>
          <w:rFonts w:asciiTheme="majorHAnsi" w:hAnsiTheme="majorHAnsi" w:cstheme="majorHAnsi"/>
          <w:sz w:val="22"/>
          <w:szCs w:val="22"/>
        </w:rPr>
        <w:t xml:space="preserve">, 593(1), pp.100–118. </w:t>
      </w:r>
      <w:proofErr w:type="spellStart"/>
      <w:proofErr w:type="gramStart"/>
      <w:r w:rsidRPr="00EE22AE">
        <w:rPr>
          <w:rFonts w:asciiTheme="majorHAnsi" w:hAnsiTheme="majorHAnsi" w:cstheme="majorHAnsi"/>
          <w:sz w:val="22"/>
          <w:szCs w:val="22"/>
        </w:rPr>
        <w:t>doi:https</w:t>
      </w:r>
      <w:proofErr w:type="spellEnd"/>
      <w:r w:rsidRPr="00EE22AE">
        <w:rPr>
          <w:rFonts w:asciiTheme="majorHAnsi" w:hAnsiTheme="majorHAnsi" w:cstheme="majorHAnsi"/>
          <w:sz w:val="22"/>
          <w:szCs w:val="22"/>
        </w:rPr>
        <w:t>://doi.org/10.1177/0002716203262584</w:t>
      </w:r>
      <w:proofErr w:type="gramEnd"/>
      <w:r w:rsidRPr="00EE22AE">
        <w:rPr>
          <w:rFonts w:asciiTheme="majorHAnsi" w:hAnsiTheme="majorHAnsi" w:cstheme="majorHAnsi"/>
          <w:sz w:val="22"/>
          <w:szCs w:val="22"/>
        </w:rPr>
        <w:t>.</w:t>
      </w:r>
    </w:p>
    <w:p w14:paraId="4B95528B"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Miller, L.S., Hess, K.M. and Orthmann, C.H. (2017). </w:t>
      </w:r>
      <w:r w:rsidRPr="00EE22AE">
        <w:rPr>
          <w:rFonts w:asciiTheme="majorHAnsi" w:hAnsiTheme="majorHAnsi" w:cstheme="majorHAnsi"/>
          <w:i/>
          <w:iCs/>
          <w:sz w:val="22"/>
          <w:szCs w:val="22"/>
        </w:rPr>
        <w:t>Community Policing: Partnerships for Problem Solving</w:t>
      </w:r>
      <w:r w:rsidRPr="00EE22AE">
        <w:rPr>
          <w:rFonts w:asciiTheme="majorHAnsi" w:hAnsiTheme="majorHAnsi" w:cstheme="majorHAnsi"/>
          <w:sz w:val="22"/>
          <w:szCs w:val="22"/>
        </w:rPr>
        <w:t>. Cengage Learning.</w:t>
      </w:r>
    </w:p>
    <w:p w14:paraId="3A8C8E5D"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Myhill, A. and Bradford, B. (2013). Overcoming cop culture? Organizational justice and police officers’ attitudes toward the public. </w:t>
      </w:r>
      <w:r w:rsidRPr="00EE22AE">
        <w:rPr>
          <w:rFonts w:asciiTheme="majorHAnsi" w:hAnsiTheme="majorHAnsi" w:cstheme="majorHAnsi"/>
          <w:i/>
          <w:iCs/>
          <w:sz w:val="22"/>
          <w:szCs w:val="22"/>
        </w:rPr>
        <w:t>Policing: An International Journal of Police Strategies &amp; Management</w:t>
      </w:r>
      <w:r w:rsidRPr="00EE22AE">
        <w:rPr>
          <w:rFonts w:asciiTheme="majorHAnsi" w:hAnsiTheme="majorHAnsi" w:cstheme="majorHAnsi"/>
          <w:sz w:val="22"/>
          <w:szCs w:val="22"/>
        </w:rPr>
        <w:t xml:space="preserve">, 36(2), pp.338–356. </w:t>
      </w:r>
      <w:proofErr w:type="spellStart"/>
      <w:proofErr w:type="gramStart"/>
      <w:r w:rsidRPr="00EE22AE">
        <w:rPr>
          <w:rFonts w:asciiTheme="majorHAnsi" w:hAnsiTheme="majorHAnsi" w:cstheme="majorHAnsi"/>
          <w:sz w:val="22"/>
          <w:szCs w:val="22"/>
        </w:rPr>
        <w:t>doi:https</w:t>
      </w:r>
      <w:proofErr w:type="spellEnd"/>
      <w:r w:rsidRPr="00EE22AE">
        <w:rPr>
          <w:rFonts w:asciiTheme="majorHAnsi" w:hAnsiTheme="majorHAnsi" w:cstheme="majorHAnsi"/>
          <w:sz w:val="22"/>
          <w:szCs w:val="22"/>
        </w:rPr>
        <w:t>://doi.org/10.1108/13639511311329732</w:t>
      </w:r>
      <w:proofErr w:type="gramEnd"/>
      <w:r w:rsidRPr="00EE22AE">
        <w:rPr>
          <w:rFonts w:asciiTheme="majorHAnsi" w:hAnsiTheme="majorHAnsi" w:cstheme="majorHAnsi"/>
          <w:sz w:val="22"/>
          <w:szCs w:val="22"/>
        </w:rPr>
        <w:t>.</w:t>
      </w:r>
    </w:p>
    <w:p w14:paraId="3D3E66E5"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Newburn, T. (2013). </w:t>
      </w:r>
      <w:r w:rsidRPr="00EE22AE">
        <w:rPr>
          <w:rFonts w:asciiTheme="majorHAnsi" w:hAnsiTheme="majorHAnsi" w:cstheme="majorHAnsi"/>
          <w:i/>
          <w:iCs/>
          <w:sz w:val="22"/>
          <w:szCs w:val="22"/>
        </w:rPr>
        <w:t>Handbook of Policing</w:t>
      </w:r>
      <w:r w:rsidRPr="00EE22AE">
        <w:rPr>
          <w:rFonts w:asciiTheme="majorHAnsi" w:hAnsiTheme="majorHAnsi" w:cstheme="majorHAnsi"/>
          <w:sz w:val="22"/>
          <w:szCs w:val="22"/>
        </w:rPr>
        <w:t>. 2nd ed. Routledge, p.31.</w:t>
      </w:r>
    </w:p>
    <w:p w14:paraId="1DFE2241"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North Yorkshire Police (2020). </w:t>
      </w:r>
      <w:r w:rsidRPr="00EE22AE">
        <w:rPr>
          <w:rFonts w:asciiTheme="majorHAnsi" w:hAnsiTheme="majorHAnsi" w:cstheme="majorHAnsi"/>
          <w:i/>
          <w:iCs/>
          <w:sz w:val="22"/>
          <w:szCs w:val="22"/>
        </w:rPr>
        <w:t>Procedure Template</w:t>
      </w:r>
      <w:r w:rsidRPr="00EE22AE">
        <w:rPr>
          <w:rFonts w:asciiTheme="majorHAnsi" w:hAnsiTheme="majorHAnsi" w:cstheme="majorHAnsi"/>
          <w:sz w:val="22"/>
          <w:szCs w:val="22"/>
        </w:rPr>
        <w:t>. www.northyorkshire.police.uk/. https://www.northyorkshire.police.uk/SysSiteAssets/foi-media/north-yorkshire-police/our-policies-and-procedures/customer-contact/safe-crewing-procedure2.pdf.</w:t>
      </w:r>
    </w:p>
    <w:p w14:paraId="3974E0E5" w14:textId="77777777" w:rsid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NPCC (2020). </w:t>
      </w:r>
      <w:r w:rsidRPr="00EE22AE">
        <w:rPr>
          <w:rFonts w:asciiTheme="majorHAnsi" w:hAnsiTheme="majorHAnsi" w:cstheme="majorHAnsi"/>
          <w:i/>
          <w:iCs/>
          <w:sz w:val="22"/>
          <w:szCs w:val="22"/>
        </w:rPr>
        <w:t>NPCC and College of Policing pledge to improve officer and staff safety following largest ever survey of police workforce</w:t>
      </w:r>
      <w:r w:rsidRPr="00EE22AE">
        <w:rPr>
          <w:rFonts w:asciiTheme="majorHAnsi" w:hAnsiTheme="majorHAnsi" w:cstheme="majorHAnsi"/>
          <w:sz w:val="22"/>
          <w:szCs w:val="22"/>
        </w:rPr>
        <w:t>. [online] National Police Chiefs’ Council (NPCC). Available at: https://news.npcc.police.uk/releases/npcc-and-college-of-policing-pledge-to-improve-officer-and-staff-safety-following-largest-ever-survey-of-police-workforce [Accessed 28 Jul. 2025].</w:t>
      </w:r>
    </w:p>
    <w:p w14:paraId="3033140B" w14:textId="78F1C86B" w:rsidR="00A50DE9" w:rsidRPr="00EE22AE" w:rsidRDefault="00A50DE9" w:rsidP="00EE22AE">
      <w:pPr>
        <w:rPr>
          <w:rFonts w:asciiTheme="majorHAnsi" w:hAnsiTheme="majorHAnsi" w:cstheme="majorHAnsi"/>
          <w:sz w:val="22"/>
          <w:szCs w:val="22"/>
        </w:rPr>
      </w:pPr>
      <w:r w:rsidRPr="00A50DE9">
        <w:rPr>
          <w:rFonts w:asciiTheme="majorHAnsi" w:hAnsiTheme="majorHAnsi" w:cstheme="majorHAnsi"/>
          <w:sz w:val="22"/>
          <w:szCs w:val="22"/>
        </w:rPr>
        <w:t xml:space="preserve">NPCC (2025). </w:t>
      </w:r>
      <w:r w:rsidRPr="00A50DE9">
        <w:rPr>
          <w:rFonts w:asciiTheme="majorHAnsi" w:hAnsiTheme="majorHAnsi" w:cstheme="majorHAnsi"/>
          <w:i/>
          <w:iCs/>
          <w:sz w:val="22"/>
          <w:szCs w:val="22"/>
        </w:rPr>
        <w:t>Police Uplift Programme</w:t>
      </w:r>
      <w:r w:rsidRPr="00A50DE9">
        <w:rPr>
          <w:rFonts w:asciiTheme="majorHAnsi" w:hAnsiTheme="majorHAnsi" w:cstheme="majorHAnsi"/>
          <w:sz w:val="22"/>
          <w:szCs w:val="22"/>
        </w:rPr>
        <w:t>. [online] Police.uk. Available at: https://www.npcc.police.uk/our-work/police-uplift-programme/ [Accessed 28 Jul. 2025].</w:t>
      </w:r>
    </w:p>
    <w:p w14:paraId="53E47D65"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Sindall, K. and Sturgis, P. (2013). </w:t>
      </w:r>
      <w:r w:rsidRPr="00EE22AE">
        <w:rPr>
          <w:rFonts w:asciiTheme="majorHAnsi" w:hAnsiTheme="majorHAnsi" w:cstheme="majorHAnsi"/>
          <w:i/>
          <w:iCs/>
          <w:sz w:val="22"/>
          <w:szCs w:val="22"/>
        </w:rPr>
        <w:t>(PDF) Austerity policing: Is visibility more important than absolute numbers in determining public confidence in the police?</w:t>
      </w:r>
      <w:r w:rsidRPr="00EE22AE">
        <w:rPr>
          <w:rFonts w:asciiTheme="majorHAnsi" w:hAnsiTheme="majorHAnsi" w:cstheme="majorHAnsi"/>
          <w:sz w:val="22"/>
          <w:szCs w:val="22"/>
        </w:rPr>
        <w:t xml:space="preserve"> [online] ResearchGate. Available at: https://www.researchgate.net/publication/258136606_Austerity_policing_Is_visibility_more_important_than_absolute_numbers_in_determining_public_confidence_in_the_police [Accessed 28 Jul. 2025].</w:t>
      </w:r>
    </w:p>
    <w:p w14:paraId="7FAB5B1D"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Timothy Coupe, R. and Blake, L. (2005). The effects of patrol workloads and response strength on arrests at burglary emergencies. </w:t>
      </w:r>
      <w:r w:rsidRPr="00EE22AE">
        <w:rPr>
          <w:rFonts w:asciiTheme="majorHAnsi" w:hAnsiTheme="majorHAnsi" w:cstheme="majorHAnsi"/>
          <w:i/>
          <w:iCs/>
          <w:sz w:val="22"/>
          <w:szCs w:val="22"/>
        </w:rPr>
        <w:t>Journal of Criminal Justice</w:t>
      </w:r>
      <w:r w:rsidRPr="00EE22AE">
        <w:rPr>
          <w:rFonts w:asciiTheme="majorHAnsi" w:hAnsiTheme="majorHAnsi" w:cstheme="majorHAnsi"/>
          <w:sz w:val="22"/>
          <w:szCs w:val="22"/>
        </w:rPr>
        <w:t xml:space="preserve">, 33(3), pp.239–255. </w:t>
      </w:r>
      <w:proofErr w:type="spellStart"/>
      <w:proofErr w:type="gramStart"/>
      <w:r w:rsidRPr="00EE22AE">
        <w:rPr>
          <w:rFonts w:asciiTheme="majorHAnsi" w:hAnsiTheme="majorHAnsi" w:cstheme="majorHAnsi"/>
          <w:sz w:val="22"/>
          <w:szCs w:val="22"/>
        </w:rPr>
        <w:t>doi:https</w:t>
      </w:r>
      <w:proofErr w:type="spellEnd"/>
      <w:r w:rsidRPr="00EE22AE">
        <w:rPr>
          <w:rFonts w:asciiTheme="majorHAnsi" w:hAnsiTheme="majorHAnsi" w:cstheme="majorHAnsi"/>
          <w:sz w:val="22"/>
          <w:szCs w:val="22"/>
        </w:rPr>
        <w:t>://doi.org/10.1016/j.jcrimjus.2005.02.004</w:t>
      </w:r>
      <w:proofErr w:type="gramEnd"/>
      <w:r w:rsidRPr="00EE22AE">
        <w:rPr>
          <w:rFonts w:asciiTheme="majorHAnsi" w:hAnsiTheme="majorHAnsi" w:cstheme="majorHAnsi"/>
          <w:sz w:val="22"/>
          <w:szCs w:val="22"/>
        </w:rPr>
        <w:t>.</w:t>
      </w:r>
    </w:p>
    <w:p w14:paraId="6BD3560D" w14:textId="77777777" w:rsidR="00EE22AE" w:rsidRPr="00EE22AE" w:rsidRDefault="00EE22AE" w:rsidP="00EE22AE">
      <w:pPr>
        <w:rPr>
          <w:rFonts w:asciiTheme="majorHAnsi" w:hAnsiTheme="majorHAnsi" w:cstheme="majorHAnsi"/>
          <w:sz w:val="22"/>
          <w:szCs w:val="22"/>
        </w:rPr>
      </w:pPr>
      <w:proofErr w:type="spellStart"/>
      <w:r w:rsidRPr="00EE22AE">
        <w:rPr>
          <w:rFonts w:asciiTheme="majorHAnsi" w:hAnsiTheme="majorHAnsi" w:cstheme="majorHAnsi"/>
          <w:sz w:val="22"/>
          <w:szCs w:val="22"/>
        </w:rPr>
        <w:t>Westmarland</w:t>
      </w:r>
      <w:proofErr w:type="spellEnd"/>
      <w:r w:rsidRPr="00EE22AE">
        <w:rPr>
          <w:rFonts w:asciiTheme="majorHAnsi" w:hAnsiTheme="majorHAnsi" w:cstheme="majorHAnsi"/>
          <w:sz w:val="22"/>
          <w:szCs w:val="22"/>
        </w:rPr>
        <w:t xml:space="preserve">, L. and Conway, S. (2020). Police ethics and integrity: Keeping the ‘blue code’ of silence. </w:t>
      </w:r>
      <w:r w:rsidRPr="00EE22AE">
        <w:rPr>
          <w:rFonts w:asciiTheme="majorHAnsi" w:hAnsiTheme="majorHAnsi" w:cstheme="majorHAnsi"/>
          <w:i/>
          <w:iCs/>
          <w:sz w:val="22"/>
          <w:szCs w:val="22"/>
        </w:rPr>
        <w:t>International Journal of Police Science &amp; Management</w:t>
      </w:r>
      <w:r w:rsidRPr="00EE22AE">
        <w:rPr>
          <w:rFonts w:asciiTheme="majorHAnsi" w:hAnsiTheme="majorHAnsi" w:cstheme="majorHAnsi"/>
          <w:sz w:val="22"/>
          <w:szCs w:val="22"/>
        </w:rPr>
        <w:t xml:space="preserve">, [online] 22(4), pp.378–392. </w:t>
      </w:r>
      <w:proofErr w:type="spellStart"/>
      <w:proofErr w:type="gramStart"/>
      <w:r w:rsidRPr="00EE22AE">
        <w:rPr>
          <w:rFonts w:asciiTheme="majorHAnsi" w:hAnsiTheme="majorHAnsi" w:cstheme="majorHAnsi"/>
          <w:sz w:val="22"/>
          <w:szCs w:val="22"/>
        </w:rPr>
        <w:t>doi:https</w:t>
      </w:r>
      <w:proofErr w:type="spellEnd"/>
      <w:r w:rsidRPr="00EE22AE">
        <w:rPr>
          <w:rFonts w:asciiTheme="majorHAnsi" w:hAnsiTheme="majorHAnsi" w:cstheme="majorHAnsi"/>
          <w:sz w:val="22"/>
          <w:szCs w:val="22"/>
        </w:rPr>
        <w:t>://doi.org/10.1177/1461355720947762</w:t>
      </w:r>
      <w:proofErr w:type="gramEnd"/>
      <w:r w:rsidRPr="00EE22AE">
        <w:rPr>
          <w:rFonts w:asciiTheme="majorHAnsi" w:hAnsiTheme="majorHAnsi" w:cstheme="majorHAnsi"/>
          <w:sz w:val="22"/>
          <w:szCs w:val="22"/>
        </w:rPr>
        <w:t>.</w:t>
      </w:r>
    </w:p>
    <w:p w14:paraId="25992DEE"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Wheller, L., Quinton, P., Fildes, A. and Mills, A. (2013). </w:t>
      </w:r>
      <w:r w:rsidRPr="00EE22AE">
        <w:rPr>
          <w:rFonts w:asciiTheme="majorHAnsi" w:hAnsiTheme="majorHAnsi" w:cstheme="majorHAnsi"/>
          <w:i/>
          <w:iCs/>
          <w:sz w:val="22"/>
          <w:szCs w:val="22"/>
        </w:rPr>
        <w:t>The Greater Manchester Police Procedural Justice Experiment: Technical Report.</w:t>
      </w:r>
      <w:r w:rsidRPr="00EE22AE">
        <w:rPr>
          <w:rFonts w:asciiTheme="majorHAnsi" w:hAnsiTheme="majorHAnsi" w:cstheme="majorHAnsi"/>
          <w:sz w:val="22"/>
          <w:szCs w:val="22"/>
        </w:rPr>
        <w:t xml:space="preserve"> [online] Research Gate. Available at: https://www.researchgate.net/publication/283350777_The_Greater_Manchester_Police_Procedural_Justice_Experiment_Technical_Report [Accessed 28 Jul. 2025].</w:t>
      </w:r>
    </w:p>
    <w:p w14:paraId="0083CB06"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Winsor, T.P. (2011). </w:t>
      </w:r>
      <w:r w:rsidRPr="00EE22AE">
        <w:rPr>
          <w:rFonts w:asciiTheme="majorHAnsi" w:hAnsiTheme="majorHAnsi" w:cstheme="majorHAnsi"/>
          <w:i/>
          <w:iCs/>
          <w:sz w:val="22"/>
          <w:szCs w:val="22"/>
        </w:rPr>
        <w:t>Independent Review of Police Officer and Staff Remuneration and Conditions final report</w:t>
      </w:r>
      <w:r w:rsidRPr="00EE22AE">
        <w:rPr>
          <w:rFonts w:asciiTheme="majorHAnsi" w:hAnsiTheme="majorHAnsi" w:cstheme="majorHAnsi"/>
          <w:sz w:val="22"/>
          <w:szCs w:val="22"/>
        </w:rPr>
        <w:t>. [online] GOV.UK. Available at: https://www.gov.uk/government/publications/independent-review-of-police-officer-and-staff-remuneration-and-conditions-final-report [Accessed 28 Jul. 2025].</w:t>
      </w:r>
    </w:p>
    <w:p w14:paraId="5B104433"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Zhao, Y. (2011). Criminal Justice Review - Volume 36, Number 2. </w:t>
      </w:r>
      <w:r w:rsidRPr="00EE22AE">
        <w:rPr>
          <w:rFonts w:asciiTheme="majorHAnsi" w:hAnsiTheme="majorHAnsi" w:cstheme="majorHAnsi"/>
          <w:i/>
          <w:iCs/>
          <w:sz w:val="22"/>
          <w:szCs w:val="22"/>
        </w:rPr>
        <w:t>Sage Journals</w:t>
      </w:r>
      <w:r w:rsidRPr="00EE22AE">
        <w:rPr>
          <w:rFonts w:asciiTheme="majorHAnsi" w:hAnsiTheme="majorHAnsi" w:cstheme="majorHAnsi"/>
          <w:sz w:val="22"/>
          <w:szCs w:val="22"/>
        </w:rPr>
        <w:t xml:space="preserve">, [online] 36(2). </w:t>
      </w:r>
      <w:proofErr w:type="spellStart"/>
      <w:proofErr w:type="gramStart"/>
      <w:r w:rsidRPr="00EE22AE">
        <w:rPr>
          <w:rFonts w:asciiTheme="majorHAnsi" w:hAnsiTheme="majorHAnsi" w:cstheme="majorHAnsi"/>
          <w:sz w:val="22"/>
          <w:szCs w:val="22"/>
        </w:rPr>
        <w:t>doi:https</w:t>
      </w:r>
      <w:proofErr w:type="spellEnd"/>
      <w:r w:rsidRPr="00EE22AE">
        <w:rPr>
          <w:rFonts w:asciiTheme="majorHAnsi" w:hAnsiTheme="majorHAnsi" w:cstheme="majorHAnsi"/>
          <w:sz w:val="22"/>
          <w:szCs w:val="22"/>
        </w:rPr>
        <w:t>://doi.org/10.1177/CJRA_36_2</w:t>
      </w:r>
      <w:proofErr w:type="gramEnd"/>
      <w:r w:rsidRPr="00EE22AE">
        <w:rPr>
          <w:rFonts w:asciiTheme="majorHAnsi" w:hAnsiTheme="majorHAnsi" w:cstheme="majorHAnsi"/>
          <w:sz w:val="22"/>
          <w:szCs w:val="22"/>
        </w:rPr>
        <w:t>.</w:t>
      </w:r>
    </w:p>
    <w:p w14:paraId="1A153A03" w14:textId="77777777" w:rsidR="00EE22AE" w:rsidRPr="00EE22AE" w:rsidRDefault="00EE22AE" w:rsidP="00EE22AE">
      <w:pPr>
        <w:rPr>
          <w:rFonts w:asciiTheme="majorHAnsi" w:hAnsiTheme="majorHAnsi" w:cstheme="majorHAnsi"/>
          <w:sz w:val="22"/>
          <w:szCs w:val="22"/>
        </w:rPr>
      </w:pPr>
      <w:r w:rsidRPr="00EE22AE">
        <w:rPr>
          <w:rFonts w:asciiTheme="majorHAnsi" w:hAnsiTheme="majorHAnsi" w:cstheme="majorHAnsi"/>
          <w:sz w:val="22"/>
          <w:szCs w:val="22"/>
        </w:rPr>
        <w:t xml:space="preserve">Zhao, Y., Richardson, A., Poyser, C., Butterworth, P., </w:t>
      </w:r>
      <w:proofErr w:type="spellStart"/>
      <w:r w:rsidRPr="00EE22AE">
        <w:rPr>
          <w:rFonts w:asciiTheme="majorHAnsi" w:hAnsiTheme="majorHAnsi" w:cstheme="majorHAnsi"/>
          <w:sz w:val="22"/>
          <w:szCs w:val="22"/>
        </w:rPr>
        <w:t>Strazdins</w:t>
      </w:r>
      <w:proofErr w:type="spellEnd"/>
      <w:r w:rsidRPr="00EE22AE">
        <w:rPr>
          <w:rFonts w:asciiTheme="majorHAnsi" w:hAnsiTheme="majorHAnsi" w:cstheme="majorHAnsi"/>
          <w:sz w:val="22"/>
          <w:szCs w:val="22"/>
        </w:rPr>
        <w:t xml:space="preserve">, L. and Leach, L.S. (2019). Shift work and mental health: a systematic review and meta-analysis. </w:t>
      </w:r>
      <w:r w:rsidRPr="00EE22AE">
        <w:rPr>
          <w:rFonts w:asciiTheme="majorHAnsi" w:hAnsiTheme="majorHAnsi" w:cstheme="majorHAnsi"/>
          <w:i/>
          <w:iCs/>
          <w:sz w:val="22"/>
          <w:szCs w:val="22"/>
        </w:rPr>
        <w:t>International Archives of Occupational and Environmental Health</w:t>
      </w:r>
      <w:r w:rsidRPr="00EE22AE">
        <w:rPr>
          <w:rFonts w:asciiTheme="majorHAnsi" w:hAnsiTheme="majorHAnsi" w:cstheme="majorHAnsi"/>
          <w:sz w:val="22"/>
          <w:szCs w:val="22"/>
        </w:rPr>
        <w:t xml:space="preserve">, 92(6), pp.763–793. </w:t>
      </w:r>
      <w:proofErr w:type="spellStart"/>
      <w:proofErr w:type="gramStart"/>
      <w:r w:rsidRPr="00EE22AE">
        <w:rPr>
          <w:rFonts w:asciiTheme="majorHAnsi" w:hAnsiTheme="majorHAnsi" w:cstheme="majorHAnsi"/>
          <w:sz w:val="22"/>
          <w:szCs w:val="22"/>
        </w:rPr>
        <w:t>doi:https</w:t>
      </w:r>
      <w:proofErr w:type="spellEnd"/>
      <w:r w:rsidRPr="00EE22AE">
        <w:rPr>
          <w:rFonts w:asciiTheme="majorHAnsi" w:hAnsiTheme="majorHAnsi" w:cstheme="majorHAnsi"/>
          <w:sz w:val="22"/>
          <w:szCs w:val="22"/>
        </w:rPr>
        <w:t>://doi.org/10.1007/s00420-019-01434-3</w:t>
      </w:r>
      <w:proofErr w:type="gramEnd"/>
      <w:r w:rsidRPr="00EE22AE">
        <w:rPr>
          <w:rFonts w:asciiTheme="majorHAnsi" w:hAnsiTheme="majorHAnsi" w:cstheme="majorHAnsi"/>
          <w:sz w:val="22"/>
          <w:szCs w:val="22"/>
        </w:rPr>
        <w:t>.</w:t>
      </w:r>
    </w:p>
    <w:p w14:paraId="59AD2A16" w14:textId="77777777" w:rsidR="00EE22AE" w:rsidRPr="00EE22AE" w:rsidRDefault="00EE22AE">
      <w:pPr>
        <w:rPr>
          <w:rFonts w:asciiTheme="majorHAnsi" w:hAnsiTheme="majorHAnsi" w:cstheme="majorHAnsi"/>
          <w:sz w:val="22"/>
          <w:szCs w:val="22"/>
        </w:rPr>
      </w:pPr>
    </w:p>
    <w:sectPr w:rsidR="00EE22AE" w:rsidRPr="00EE22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F31"/>
    <w:rsid w:val="00353610"/>
    <w:rsid w:val="00377C1F"/>
    <w:rsid w:val="00540CDC"/>
    <w:rsid w:val="00566F73"/>
    <w:rsid w:val="006C0038"/>
    <w:rsid w:val="00723E15"/>
    <w:rsid w:val="00840D4F"/>
    <w:rsid w:val="009C3DB3"/>
    <w:rsid w:val="00A50DE9"/>
    <w:rsid w:val="00D52F31"/>
    <w:rsid w:val="00EE22AE"/>
    <w:rsid w:val="00F22F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56C42C"/>
  <w15:chartTrackingRefBased/>
  <w15:docId w15:val="{36534A2B-BDE6-47FF-B752-69CF2F25B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22AE"/>
    <w:pPr>
      <w:spacing w:line="278" w:lineRule="auto"/>
    </w:pPr>
    <w:rPr>
      <w:rFonts w:eastAsiaTheme="minorEastAsia"/>
      <w:sz w:val="24"/>
      <w:szCs w:val="24"/>
      <w:lang w:eastAsia="en-GB"/>
    </w:rPr>
  </w:style>
  <w:style w:type="paragraph" w:styleId="Heading1">
    <w:name w:val="heading 1"/>
    <w:basedOn w:val="Normal"/>
    <w:next w:val="Normal"/>
    <w:link w:val="Heading1Char"/>
    <w:uiPriority w:val="9"/>
    <w:qFormat/>
    <w:rsid w:val="00D52F31"/>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lang w:eastAsia="en-US"/>
    </w:rPr>
  </w:style>
  <w:style w:type="paragraph" w:styleId="Heading2">
    <w:name w:val="heading 2"/>
    <w:basedOn w:val="Normal"/>
    <w:next w:val="Normal"/>
    <w:link w:val="Heading2Char"/>
    <w:uiPriority w:val="9"/>
    <w:semiHidden/>
    <w:unhideWhenUsed/>
    <w:qFormat/>
    <w:rsid w:val="00D52F31"/>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lang w:eastAsia="en-US"/>
    </w:rPr>
  </w:style>
  <w:style w:type="paragraph" w:styleId="Heading3">
    <w:name w:val="heading 3"/>
    <w:basedOn w:val="Normal"/>
    <w:next w:val="Normal"/>
    <w:link w:val="Heading3Char"/>
    <w:uiPriority w:val="9"/>
    <w:semiHidden/>
    <w:unhideWhenUsed/>
    <w:qFormat/>
    <w:rsid w:val="00D52F31"/>
    <w:pPr>
      <w:keepNext/>
      <w:keepLines/>
      <w:spacing w:before="160" w:after="80" w:line="259" w:lineRule="auto"/>
      <w:outlineLvl w:val="2"/>
    </w:pPr>
    <w:rPr>
      <w:rFonts w:eastAsiaTheme="majorEastAsia" w:cstheme="majorBidi"/>
      <w:color w:val="2F5496" w:themeColor="accent1" w:themeShade="BF"/>
      <w:sz w:val="28"/>
      <w:szCs w:val="28"/>
      <w:lang w:eastAsia="en-US"/>
    </w:rPr>
  </w:style>
  <w:style w:type="paragraph" w:styleId="Heading4">
    <w:name w:val="heading 4"/>
    <w:basedOn w:val="Normal"/>
    <w:next w:val="Normal"/>
    <w:link w:val="Heading4Char"/>
    <w:uiPriority w:val="9"/>
    <w:semiHidden/>
    <w:unhideWhenUsed/>
    <w:qFormat/>
    <w:rsid w:val="00D52F31"/>
    <w:pPr>
      <w:keepNext/>
      <w:keepLines/>
      <w:spacing w:before="80" w:after="40" w:line="259" w:lineRule="auto"/>
      <w:outlineLvl w:val="3"/>
    </w:pPr>
    <w:rPr>
      <w:rFonts w:eastAsiaTheme="majorEastAsia" w:cstheme="majorBidi"/>
      <w:i/>
      <w:iCs/>
      <w:color w:val="2F5496" w:themeColor="accent1" w:themeShade="BF"/>
      <w:sz w:val="22"/>
      <w:szCs w:val="22"/>
      <w:lang w:eastAsia="en-US"/>
    </w:rPr>
  </w:style>
  <w:style w:type="paragraph" w:styleId="Heading5">
    <w:name w:val="heading 5"/>
    <w:basedOn w:val="Normal"/>
    <w:next w:val="Normal"/>
    <w:link w:val="Heading5Char"/>
    <w:uiPriority w:val="9"/>
    <w:semiHidden/>
    <w:unhideWhenUsed/>
    <w:qFormat/>
    <w:rsid w:val="00D52F31"/>
    <w:pPr>
      <w:keepNext/>
      <w:keepLines/>
      <w:spacing w:before="80" w:after="40" w:line="259" w:lineRule="auto"/>
      <w:outlineLvl w:val="4"/>
    </w:pPr>
    <w:rPr>
      <w:rFonts w:eastAsiaTheme="majorEastAsia" w:cstheme="majorBidi"/>
      <w:color w:val="2F5496" w:themeColor="accent1" w:themeShade="BF"/>
      <w:sz w:val="22"/>
      <w:szCs w:val="22"/>
      <w:lang w:eastAsia="en-US"/>
    </w:rPr>
  </w:style>
  <w:style w:type="paragraph" w:styleId="Heading6">
    <w:name w:val="heading 6"/>
    <w:basedOn w:val="Normal"/>
    <w:next w:val="Normal"/>
    <w:link w:val="Heading6Char"/>
    <w:uiPriority w:val="9"/>
    <w:semiHidden/>
    <w:unhideWhenUsed/>
    <w:qFormat/>
    <w:rsid w:val="00D52F31"/>
    <w:pPr>
      <w:keepNext/>
      <w:keepLines/>
      <w:spacing w:before="40" w:after="0" w:line="259" w:lineRule="auto"/>
      <w:outlineLvl w:val="5"/>
    </w:pPr>
    <w:rPr>
      <w:rFonts w:eastAsiaTheme="majorEastAsia" w:cstheme="majorBidi"/>
      <w:i/>
      <w:iCs/>
      <w:color w:val="595959" w:themeColor="text1" w:themeTint="A6"/>
      <w:sz w:val="22"/>
      <w:szCs w:val="22"/>
      <w:lang w:eastAsia="en-US"/>
    </w:rPr>
  </w:style>
  <w:style w:type="paragraph" w:styleId="Heading7">
    <w:name w:val="heading 7"/>
    <w:basedOn w:val="Normal"/>
    <w:next w:val="Normal"/>
    <w:link w:val="Heading7Char"/>
    <w:uiPriority w:val="9"/>
    <w:semiHidden/>
    <w:unhideWhenUsed/>
    <w:qFormat/>
    <w:rsid w:val="00D52F31"/>
    <w:pPr>
      <w:keepNext/>
      <w:keepLines/>
      <w:spacing w:before="40" w:after="0" w:line="259" w:lineRule="auto"/>
      <w:outlineLvl w:val="6"/>
    </w:pPr>
    <w:rPr>
      <w:rFonts w:eastAsiaTheme="majorEastAsia" w:cstheme="majorBidi"/>
      <w:color w:val="595959" w:themeColor="text1" w:themeTint="A6"/>
      <w:sz w:val="22"/>
      <w:szCs w:val="22"/>
      <w:lang w:eastAsia="en-US"/>
    </w:rPr>
  </w:style>
  <w:style w:type="paragraph" w:styleId="Heading8">
    <w:name w:val="heading 8"/>
    <w:basedOn w:val="Normal"/>
    <w:next w:val="Normal"/>
    <w:link w:val="Heading8Char"/>
    <w:uiPriority w:val="9"/>
    <w:semiHidden/>
    <w:unhideWhenUsed/>
    <w:qFormat/>
    <w:rsid w:val="00D52F31"/>
    <w:pPr>
      <w:keepNext/>
      <w:keepLines/>
      <w:spacing w:after="0" w:line="259" w:lineRule="auto"/>
      <w:outlineLvl w:val="7"/>
    </w:pPr>
    <w:rPr>
      <w:rFonts w:eastAsiaTheme="majorEastAsia" w:cstheme="majorBidi"/>
      <w:i/>
      <w:iCs/>
      <w:color w:val="272727" w:themeColor="text1" w:themeTint="D8"/>
      <w:sz w:val="22"/>
      <w:szCs w:val="22"/>
      <w:lang w:eastAsia="en-US"/>
    </w:rPr>
  </w:style>
  <w:style w:type="paragraph" w:styleId="Heading9">
    <w:name w:val="heading 9"/>
    <w:basedOn w:val="Normal"/>
    <w:next w:val="Normal"/>
    <w:link w:val="Heading9Char"/>
    <w:uiPriority w:val="9"/>
    <w:semiHidden/>
    <w:unhideWhenUsed/>
    <w:qFormat/>
    <w:rsid w:val="00D52F31"/>
    <w:pPr>
      <w:keepNext/>
      <w:keepLines/>
      <w:spacing w:after="0" w:line="259" w:lineRule="auto"/>
      <w:outlineLvl w:val="8"/>
    </w:pPr>
    <w:rPr>
      <w:rFonts w:eastAsiaTheme="majorEastAsia" w:cstheme="majorBidi"/>
      <w:color w:val="272727" w:themeColor="text1" w:themeTint="D8"/>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F3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52F3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52F3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52F3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52F3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52F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2F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2F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2F31"/>
    <w:rPr>
      <w:rFonts w:eastAsiaTheme="majorEastAsia" w:cstheme="majorBidi"/>
      <w:color w:val="272727" w:themeColor="text1" w:themeTint="D8"/>
    </w:rPr>
  </w:style>
  <w:style w:type="paragraph" w:styleId="Title">
    <w:name w:val="Title"/>
    <w:basedOn w:val="Normal"/>
    <w:next w:val="Normal"/>
    <w:link w:val="TitleChar"/>
    <w:uiPriority w:val="10"/>
    <w:qFormat/>
    <w:rsid w:val="00D52F31"/>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D52F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2F31"/>
    <w:pPr>
      <w:numPr>
        <w:ilvl w:val="1"/>
      </w:numPr>
      <w:spacing w:line="259" w:lineRule="auto"/>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D52F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2F31"/>
    <w:pPr>
      <w:spacing w:before="160" w:line="259" w:lineRule="auto"/>
      <w:jc w:val="center"/>
    </w:pPr>
    <w:rPr>
      <w:rFonts w:eastAsiaTheme="minorHAnsi"/>
      <w:i/>
      <w:iCs/>
      <w:color w:val="404040" w:themeColor="text1" w:themeTint="BF"/>
      <w:sz w:val="22"/>
      <w:szCs w:val="22"/>
      <w:lang w:eastAsia="en-US"/>
    </w:rPr>
  </w:style>
  <w:style w:type="character" w:customStyle="1" w:styleId="QuoteChar">
    <w:name w:val="Quote Char"/>
    <w:basedOn w:val="DefaultParagraphFont"/>
    <w:link w:val="Quote"/>
    <w:uiPriority w:val="29"/>
    <w:rsid w:val="00D52F31"/>
    <w:rPr>
      <w:i/>
      <w:iCs/>
      <w:color w:val="404040" w:themeColor="text1" w:themeTint="BF"/>
    </w:rPr>
  </w:style>
  <w:style w:type="paragraph" w:styleId="ListParagraph">
    <w:name w:val="List Paragraph"/>
    <w:basedOn w:val="Normal"/>
    <w:uiPriority w:val="34"/>
    <w:qFormat/>
    <w:rsid w:val="00D52F31"/>
    <w:pPr>
      <w:spacing w:line="259" w:lineRule="auto"/>
      <w:ind w:left="720"/>
      <w:contextualSpacing/>
    </w:pPr>
    <w:rPr>
      <w:rFonts w:eastAsiaTheme="minorHAnsi"/>
      <w:sz w:val="22"/>
      <w:szCs w:val="22"/>
      <w:lang w:eastAsia="en-US"/>
    </w:rPr>
  </w:style>
  <w:style w:type="character" w:styleId="IntenseEmphasis">
    <w:name w:val="Intense Emphasis"/>
    <w:basedOn w:val="DefaultParagraphFont"/>
    <w:uiPriority w:val="21"/>
    <w:qFormat/>
    <w:rsid w:val="00D52F31"/>
    <w:rPr>
      <w:i/>
      <w:iCs/>
      <w:color w:val="2F5496" w:themeColor="accent1" w:themeShade="BF"/>
    </w:rPr>
  </w:style>
  <w:style w:type="paragraph" w:styleId="IntenseQuote">
    <w:name w:val="Intense Quote"/>
    <w:basedOn w:val="Normal"/>
    <w:next w:val="Normal"/>
    <w:link w:val="IntenseQuoteChar"/>
    <w:uiPriority w:val="30"/>
    <w:qFormat/>
    <w:rsid w:val="00D52F31"/>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eastAsiaTheme="minorHAnsi"/>
      <w:i/>
      <w:iCs/>
      <w:color w:val="2F5496" w:themeColor="accent1" w:themeShade="BF"/>
      <w:sz w:val="22"/>
      <w:szCs w:val="22"/>
      <w:lang w:eastAsia="en-US"/>
    </w:rPr>
  </w:style>
  <w:style w:type="character" w:customStyle="1" w:styleId="IntenseQuoteChar">
    <w:name w:val="Intense Quote Char"/>
    <w:basedOn w:val="DefaultParagraphFont"/>
    <w:link w:val="IntenseQuote"/>
    <w:uiPriority w:val="30"/>
    <w:rsid w:val="00D52F31"/>
    <w:rPr>
      <w:i/>
      <w:iCs/>
      <w:color w:val="2F5496" w:themeColor="accent1" w:themeShade="BF"/>
    </w:rPr>
  </w:style>
  <w:style w:type="character" w:styleId="IntenseReference">
    <w:name w:val="Intense Reference"/>
    <w:basedOn w:val="DefaultParagraphFont"/>
    <w:uiPriority w:val="32"/>
    <w:qFormat/>
    <w:rsid w:val="00D52F31"/>
    <w:rPr>
      <w:b/>
      <w:bCs/>
      <w:smallCaps/>
      <w:color w:val="2F5496" w:themeColor="accent1" w:themeShade="BF"/>
      <w:spacing w:val="5"/>
    </w:rPr>
  </w:style>
  <w:style w:type="paragraph" w:styleId="NormalWeb">
    <w:name w:val="Normal (Web)"/>
    <w:basedOn w:val="Normal"/>
    <w:uiPriority w:val="99"/>
    <w:unhideWhenUsed/>
    <w:rsid w:val="00D52F31"/>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053770">
      <w:bodyDiv w:val="1"/>
      <w:marLeft w:val="0"/>
      <w:marRight w:val="0"/>
      <w:marTop w:val="0"/>
      <w:marBottom w:val="0"/>
      <w:divBdr>
        <w:top w:val="none" w:sz="0" w:space="0" w:color="auto"/>
        <w:left w:val="none" w:sz="0" w:space="0" w:color="auto"/>
        <w:bottom w:val="none" w:sz="0" w:space="0" w:color="auto"/>
        <w:right w:val="none" w:sz="0" w:space="0" w:color="auto"/>
      </w:divBdr>
      <w:divsChild>
        <w:div w:id="1368943223">
          <w:marLeft w:val="0"/>
          <w:marRight w:val="0"/>
          <w:marTop w:val="0"/>
          <w:marBottom w:val="0"/>
          <w:divBdr>
            <w:top w:val="none" w:sz="0" w:space="0" w:color="auto"/>
            <w:left w:val="none" w:sz="0" w:space="0" w:color="auto"/>
            <w:bottom w:val="none" w:sz="0" w:space="0" w:color="auto"/>
            <w:right w:val="none" w:sz="0" w:space="0" w:color="auto"/>
          </w:divBdr>
        </w:div>
      </w:divsChild>
    </w:div>
    <w:div w:id="376012379">
      <w:bodyDiv w:val="1"/>
      <w:marLeft w:val="0"/>
      <w:marRight w:val="0"/>
      <w:marTop w:val="0"/>
      <w:marBottom w:val="0"/>
      <w:divBdr>
        <w:top w:val="none" w:sz="0" w:space="0" w:color="auto"/>
        <w:left w:val="none" w:sz="0" w:space="0" w:color="auto"/>
        <w:bottom w:val="none" w:sz="0" w:space="0" w:color="auto"/>
        <w:right w:val="none" w:sz="0" w:space="0" w:color="auto"/>
      </w:divBdr>
      <w:divsChild>
        <w:div w:id="1851944011">
          <w:marLeft w:val="0"/>
          <w:marRight w:val="0"/>
          <w:marTop w:val="0"/>
          <w:marBottom w:val="0"/>
          <w:divBdr>
            <w:top w:val="none" w:sz="0" w:space="0" w:color="auto"/>
            <w:left w:val="none" w:sz="0" w:space="0" w:color="auto"/>
            <w:bottom w:val="none" w:sz="0" w:space="0" w:color="auto"/>
            <w:right w:val="none" w:sz="0" w:space="0" w:color="auto"/>
          </w:divBdr>
        </w:div>
      </w:divsChild>
    </w:div>
    <w:div w:id="813914872">
      <w:bodyDiv w:val="1"/>
      <w:marLeft w:val="0"/>
      <w:marRight w:val="0"/>
      <w:marTop w:val="0"/>
      <w:marBottom w:val="0"/>
      <w:divBdr>
        <w:top w:val="none" w:sz="0" w:space="0" w:color="auto"/>
        <w:left w:val="none" w:sz="0" w:space="0" w:color="auto"/>
        <w:bottom w:val="none" w:sz="0" w:space="0" w:color="auto"/>
        <w:right w:val="none" w:sz="0" w:space="0" w:color="auto"/>
      </w:divBdr>
      <w:divsChild>
        <w:div w:id="155849961">
          <w:marLeft w:val="0"/>
          <w:marRight w:val="0"/>
          <w:marTop w:val="0"/>
          <w:marBottom w:val="0"/>
          <w:divBdr>
            <w:top w:val="none" w:sz="0" w:space="0" w:color="auto"/>
            <w:left w:val="none" w:sz="0" w:space="0" w:color="auto"/>
            <w:bottom w:val="none" w:sz="0" w:space="0" w:color="auto"/>
            <w:right w:val="none" w:sz="0" w:space="0" w:color="auto"/>
          </w:divBdr>
        </w:div>
      </w:divsChild>
    </w:div>
    <w:div w:id="1898392558">
      <w:bodyDiv w:val="1"/>
      <w:marLeft w:val="0"/>
      <w:marRight w:val="0"/>
      <w:marTop w:val="0"/>
      <w:marBottom w:val="0"/>
      <w:divBdr>
        <w:top w:val="none" w:sz="0" w:space="0" w:color="auto"/>
        <w:left w:val="none" w:sz="0" w:space="0" w:color="auto"/>
        <w:bottom w:val="none" w:sz="0" w:space="0" w:color="auto"/>
        <w:right w:val="none" w:sz="0" w:space="0" w:color="auto"/>
      </w:divBdr>
      <w:divsChild>
        <w:div w:id="1975986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3601</Words>
  <Characters>22548</Characters>
  <Application>Microsoft Office Word</Application>
  <DocSecurity>0</DocSecurity>
  <Lines>313</Lines>
  <Paragraphs>64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 Carli</dc:creator>
  <cp:keywords/>
  <dc:description/>
  <cp:lastModifiedBy>Jenkins, Carli</cp:lastModifiedBy>
  <cp:revision>3</cp:revision>
  <dcterms:created xsi:type="dcterms:W3CDTF">2025-07-28T21:36:00Z</dcterms:created>
  <dcterms:modified xsi:type="dcterms:W3CDTF">2025-07-28T21:37:00Z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16a66c6f-7d19-42a2-957e-a581062af898</vt:lpwstr>
  </property>
  <property fmtid="{D5CDD505-2E9C-101B-9397-08002B2CF9AE}" pid="3" name="MSIP_Label_f2acd28b-79a3-4a0f-b0ff-4b75658b1549_Enabled">
    <vt:lpwstr>true</vt:lpwstr>
  </property>
  <property fmtid="{D5CDD505-2E9C-101B-9397-08002B2CF9AE}" pid="4" name="MSIP_Label_f2acd28b-79a3-4a0f-b0ff-4b75658b1549_SetDate">
    <vt:lpwstr>2025-07-28T20:58:40Z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93149e96-56b4-4ac5-bb66-02ffcf8c852b</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