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108D" w:rsidRDefault="008E65B0">
      <w:pPr>
        <w:spacing w:line="480" w:lineRule="auto"/>
        <w:jc w:val="center"/>
        <w:rPr>
          <w:rFonts w:ascii="Times New Roman" w:hAnsi="Times New Roman"/>
          <w:b/>
          <w:i/>
        </w:rPr>
      </w:pPr>
      <w:r>
        <w:rPr>
          <w:rFonts w:ascii="Times New Roman" w:hAnsi="Times New Roman"/>
          <w:b/>
          <w:i/>
        </w:rPr>
        <w:t>Herodotus’ relationship with Attic Tragedy: A Female Perspective</w:t>
      </w:r>
    </w:p>
    <w:p w:rsidR="002D3F5B" w:rsidRDefault="002D3F5B">
      <w:pPr>
        <w:spacing w:line="480" w:lineRule="auto"/>
        <w:jc w:val="center"/>
        <w:rPr>
          <w:rFonts w:ascii="Times New Roman" w:hAnsi="Times New Roman"/>
          <w:b/>
          <w:i/>
        </w:rPr>
      </w:pPr>
    </w:p>
    <w:p w:rsidR="00DE108D" w:rsidRDefault="008E65B0">
      <w:pPr>
        <w:spacing w:line="480" w:lineRule="auto"/>
        <w:jc w:val="both"/>
        <w:rPr>
          <w:rFonts w:ascii="Times New Roman" w:hAnsi="Times New Roman"/>
        </w:rPr>
      </w:pPr>
      <w:r>
        <w:rPr>
          <w:rFonts w:ascii="Times New Roman" w:hAnsi="Times New Roman"/>
        </w:rPr>
        <w:t xml:space="preserve">It is clear that, when writing the </w:t>
      </w:r>
      <w:r>
        <w:rPr>
          <w:rFonts w:ascii="Times New Roman" w:hAnsi="Times New Roman"/>
          <w:i/>
        </w:rPr>
        <w:t>Histories</w:t>
      </w:r>
      <w:r>
        <w:rPr>
          <w:rFonts w:ascii="Times New Roman" w:hAnsi="Times New Roman"/>
        </w:rPr>
        <w:t>, Herodotus took influences from many different areas. Most of these influences are quite clear, s</w:t>
      </w:r>
      <w:r w:rsidR="002D3F5B">
        <w:rPr>
          <w:rFonts w:ascii="Times New Roman" w:hAnsi="Times New Roman"/>
        </w:rPr>
        <w:t>uch as the influence of Homer in</w:t>
      </w:r>
      <w:r>
        <w:rPr>
          <w:rFonts w:ascii="Times New Roman" w:hAnsi="Times New Roman"/>
        </w:rPr>
        <w:t xml:space="preserve"> his opening paragraphs that recount the tit-for-tat abduction of women, including Helen, which formed the basis of the animos</w:t>
      </w:r>
      <w:r>
        <w:rPr>
          <w:rFonts w:ascii="Times New Roman" w:hAnsi="Times New Roman"/>
        </w:rPr>
        <w:t xml:space="preserve">ity between the Greeks and the Persians (1.1-5). The fact that he was influenced by Homer is not surprising, due to Homer’s widespread influence in the Greek world generally. Perhaps also not surprising is the Attic tragedy too played its part in the </w:t>
      </w:r>
      <w:r>
        <w:rPr>
          <w:rFonts w:ascii="Times New Roman" w:hAnsi="Times New Roman"/>
          <w:i/>
        </w:rPr>
        <w:t>Histo</w:t>
      </w:r>
      <w:r>
        <w:rPr>
          <w:rFonts w:ascii="Times New Roman" w:hAnsi="Times New Roman"/>
          <w:i/>
        </w:rPr>
        <w:t>ries</w:t>
      </w:r>
      <w:r>
        <w:rPr>
          <w:rFonts w:ascii="Times New Roman" w:hAnsi="Times New Roman"/>
        </w:rPr>
        <w:t>, as Herodotus spent some years in the 440’s BC in Athens and would have witnesses performances first-hand, even apparently becoming good friends with the playwright Sophocles, who wrote a poem addressed to him around this time, a fragment of which sur</w:t>
      </w:r>
      <w:r>
        <w:rPr>
          <w:rFonts w:ascii="Times New Roman" w:hAnsi="Times New Roman"/>
        </w:rPr>
        <w:t xml:space="preserve">vives (Griffin 2006: 46). However, there is a clear issue in assessing how far Herodotus was influenced by tragedy, in that it is often not clear when certain tragedies were performed, and there is even some debate over when the </w:t>
      </w:r>
      <w:r>
        <w:rPr>
          <w:rFonts w:ascii="Times New Roman" w:hAnsi="Times New Roman"/>
          <w:i/>
        </w:rPr>
        <w:t>Histories</w:t>
      </w:r>
      <w:r>
        <w:rPr>
          <w:rFonts w:ascii="Times New Roman" w:hAnsi="Times New Roman"/>
        </w:rPr>
        <w:t xml:space="preserve"> were finally publ</w:t>
      </w:r>
      <w:r>
        <w:rPr>
          <w:rFonts w:ascii="Times New Roman" w:hAnsi="Times New Roman"/>
        </w:rPr>
        <w:t xml:space="preserve">ished, the accepted date being in the early 420’s BC as there appears to be a reference to it in Aristophanes’ </w:t>
      </w:r>
      <w:r>
        <w:rPr>
          <w:rFonts w:ascii="Times New Roman" w:hAnsi="Times New Roman"/>
          <w:i/>
        </w:rPr>
        <w:t>Acharnians</w:t>
      </w:r>
      <w:r>
        <w:rPr>
          <w:rFonts w:ascii="Times New Roman" w:hAnsi="Times New Roman"/>
        </w:rPr>
        <w:t>, produced in 425BC (Said, 2002:120; De Ste. Croix 1977: 138). However, Fornara (1971: 25) suggests that the publication date may be as</w:t>
      </w:r>
      <w:r>
        <w:rPr>
          <w:rFonts w:ascii="Times New Roman" w:hAnsi="Times New Roman"/>
        </w:rPr>
        <w:t xml:space="preserve"> late as 414BC. So what this means is that it is rather difficult to discover what particular plays may have influenced parts of the </w:t>
      </w:r>
      <w:r>
        <w:rPr>
          <w:rFonts w:ascii="Times New Roman" w:hAnsi="Times New Roman"/>
          <w:i/>
        </w:rPr>
        <w:t>Histories</w:t>
      </w:r>
      <w:r>
        <w:rPr>
          <w:rFonts w:ascii="Times New Roman" w:hAnsi="Times New Roman"/>
        </w:rPr>
        <w:t xml:space="preserve">. In addition, as Said (2002:120) goes on to point out, many of the similarities between the </w:t>
      </w:r>
      <w:r>
        <w:rPr>
          <w:rFonts w:ascii="Times New Roman" w:hAnsi="Times New Roman"/>
          <w:i/>
        </w:rPr>
        <w:t xml:space="preserve">Histories </w:t>
      </w:r>
      <w:r>
        <w:rPr>
          <w:rFonts w:ascii="Times New Roman" w:hAnsi="Times New Roman"/>
        </w:rPr>
        <w:t>and tragedy</w:t>
      </w:r>
      <w:r>
        <w:rPr>
          <w:rFonts w:ascii="Times New Roman" w:hAnsi="Times New Roman"/>
        </w:rPr>
        <w:t xml:space="preserve"> may be due to their writers belonging to the same period, and to their dependence on a common source, that of Homer.</w:t>
      </w:r>
    </w:p>
    <w:p w:rsidR="00DE108D" w:rsidRDefault="008E65B0">
      <w:pPr>
        <w:spacing w:line="480" w:lineRule="auto"/>
        <w:jc w:val="both"/>
        <w:rPr>
          <w:rFonts w:ascii="Times New Roman" w:hAnsi="Times New Roman"/>
        </w:rPr>
      </w:pPr>
      <w:r>
        <w:rPr>
          <w:rFonts w:ascii="Times New Roman" w:hAnsi="Times New Roman"/>
        </w:rPr>
        <w:t>However, having said this, there are certain areas where the Histories definitely owes a debt to Attic tragedy. For example, the structure</w:t>
      </w:r>
      <w:r>
        <w:rPr>
          <w:rFonts w:ascii="Times New Roman" w:hAnsi="Times New Roman"/>
        </w:rPr>
        <w:t xml:space="preserve"> of some of his episodes seems to follow the structure of tragedy quite closely; many themes of tragedy are clearly apparent in various places; and unsurprisingly there are some clear allusions to Aeschylus’ </w:t>
      </w:r>
      <w:r>
        <w:rPr>
          <w:rFonts w:ascii="Times New Roman" w:hAnsi="Times New Roman"/>
          <w:i/>
        </w:rPr>
        <w:t>Persians</w:t>
      </w:r>
      <w:r>
        <w:rPr>
          <w:rFonts w:ascii="Times New Roman" w:hAnsi="Times New Roman"/>
        </w:rPr>
        <w:t xml:space="preserve">, produced decades earlier </w:t>
      </w:r>
      <w:r>
        <w:rPr>
          <w:rFonts w:ascii="Times New Roman" w:hAnsi="Times New Roman"/>
        </w:rPr>
        <w:lastRenderedPageBreak/>
        <w:t>in 472BC, the</w:t>
      </w:r>
      <w:r>
        <w:rPr>
          <w:rFonts w:ascii="Times New Roman" w:hAnsi="Times New Roman"/>
        </w:rPr>
        <w:t xml:space="preserve"> focus of which obviously overlaps with some of Herodotus’ subject matter. In addition, many of the people Herodotus describes seem to resemble characters in Attic tragedy, particularly in their mistakes, their actions, and the situations in which they fin</w:t>
      </w:r>
      <w:r>
        <w:rPr>
          <w:rFonts w:ascii="Times New Roman" w:hAnsi="Times New Roman"/>
        </w:rPr>
        <w:t>d themselves. Although this is clearly true of Herodotus’ subjects of both sexes, here I shall be mainly concentrating on the women who feature in a range of episodes in the Histories in order to assess how much their characters and actions have been infor</w:t>
      </w:r>
      <w:r>
        <w:rPr>
          <w:rFonts w:ascii="Times New Roman" w:hAnsi="Times New Roman"/>
        </w:rPr>
        <w:t xml:space="preserve">med by the women of Attic tragedy, or how there may be parallels between the </w:t>
      </w:r>
      <w:r>
        <w:rPr>
          <w:rFonts w:ascii="Times New Roman" w:hAnsi="Times New Roman"/>
          <w:i/>
        </w:rPr>
        <w:t>Histories</w:t>
      </w:r>
      <w:r>
        <w:rPr>
          <w:rFonts w:ascii="Times New Roman" w:hAnsi="Times New Roman"/>
        </w:rPr>
        <w:t xml:space="preserve"> and tragedy. Under discussion, amongst others, will be Candaules’ wife, Atossa the wife of Darius and mother of Xerxes, Artemisia of Harlicarnassus, Intaphernes’ wife, T</w:t>
      </w:r>
      <w:r>
        <w:rPr>
          <w:rFonts w:ascii="Times New Roman" w:hAnsi="Times New Roman"/>
        </w:rPr>
        <w:t>omyris of the Massagetae, and Amestris the wife of Xerxes. While it will sometimes be possible to equate them to a specific character in Attic tragedy, often in discussions of these women it will be necessary to discuss the themes of tragedy and the places</w:t>
      </w:r>
      <w:r>
        <w:rPr>
          <w:rFonts w:ascii="Times New Roman" w:hAnsi="Times New Roman"/>
        </w:rPr>
        <w:t xml:space="preserve"> of female characters within them more generally in order to make a comparison.</w:t>
      </w:r>
    </w:p>
    <w:p w:rsidR="00DE108D" w:rsidRDefault="008E65B0">
      <w:pPr>
        <w:spacing w:line="480" w:lineRule="auto"/>
        <w:jc w:val="both"/>
        <w:rPr>
          <w:rFonts w:ascii="Times New Roman" w:hAnsi="Times New Roman"/>
        </w:rPr>
      </w:pPr>
      <w:r>
        <w:rPr>
          <w:rFonts w:ascii="Times New Roman" w:hAnsi="Times New Roman"/>
          <w:color w:val="000000"/>
        </w:rPr>
        <w:t xml:space="preserve">To begin, there are several episodes in the </w:t>
      </w:r>
      <w:r>
        <w:rPr>
          <w:rFonts w:ascii="Times New Roman" w:hAnsi="Times New Roman"/>
          <w:i/>
          <w:color w:val="000000"/>
        </w:rPr>
        <w:t>Histories</w:t>
      </w:r>
      <w:r>
        <w:rPr>
          <w:rFonts w:ascii="Times New Roman" w:hAnsi="Times New Roman"/>
          <w:color w:val="000000"/>
        </w:rPr>
        <w:t xml:space="preserve"> that appear to owe their structure to Attic tragedy. Chiasson (2003) identifies the Atys/Adrastus episode (1.35-45) as one</w:t>
      </w:r>
      <w:r>
        <w:rPr>
          <w:rFonts w:ascii="Times New Roman" w:hAnsi="Times New Roman"/>
          <w:color w:val="000000"/>
        </w:rPr>
        <w:t xml:space="preserve"> that most closely resembles this structure. For example, the disaster of Croesus’ son, Atys’ death is given by supernatural means, through a </w:t>
      </w:r>
      <w:r w:rsidR="002D3F5B">
        <w:rPr>
          <w:rFonts w:ascii="Times New Roman" w:hAnsi="Times New Roman"/>
          <w:color w:val="000000"/>
        </w:rPr>
        <w:t xml:space="preserve">dream, something </w:t>
      </w:r>
      <w:proofErr w:type="spellStart"/>
      <w:r w:rsidR="002D3F5B">
        <w:rPr>
          <w:rFonts w:ascii="Times New Roman" w:hAnsi="Times New Roman"/>
          <w:color w:val="000000"/>
        </w:rPr>
        <w:t>Chiasson</w:t>
      </w:r>
      <w:proofErr w:type="spellEnd"/>
      <w:r w:rsidR="002D3F5B">
        <w:rPr>
          <w:rFonts w:ascii="Times New Roman" w:hAnsi="Times New Roman"/>
          <w:color w:val="000000"/>
        </w:rPr>
        <w:t xml:space="preserve"> (2003:</w:t>
      </w:r>
      <w:r>
        <w:rPr>
          <w:rFonts w:ascii="Times New Roman" w:hAnsi="Times New Roman"/>
          <w:color w:val="000000"/>
        </w:rPr>
        <w:t xml:space="preserve"> 9) identifies has a parallel in </w:t>
      </w:r>
      <w:r>
        <w:rPr>
          <w:rFonts w:ascii="Times New Roman" w:hAnsi="Times New Roman"/>
          <w:i/>
          <w:color w:val="000000"/>
        </w:rPr>
        <w:t>Oedipus Tyrannos</w:t>
      </w:r>
      <w:r>
        <w:rPr>
          <w:rFonts w:ascii="Times New Roman" w:hAnsi="Times New Roman"/>
          <w:color w:val="000000"/>
        </w:rPr>
        <w:t xml:space="preserve"> with the oracle predicting he wo</w:t>
      </w:r>
      <w:r>
        <w:rPr>
          <w:rFonts w:ascii="Times New Roman" w:hAnsi="Times New Roman"/>
          <w:color w:val="000000"/>
        </w:rPr>
        <w:t xml:space="preserve">uld kill his father and marry his mother. It also has a parallel in Aeschylus’ </w:t>
      </w:r>
      <w:r>
        <w:rPr>
          <w:rFonts w:ascii="Times New Roman" w:hAnsi="Times New Roman"/>
          <w:i/>
          <w:color w:val="000000"/>
        </w:rPr>
        <w:t>Libation Bearers</w:t>
      </w:r>
      <w:r>
        <w:rPr>
          <w:rFonts w:ascii="Times New Roman" w:hAnsi="Times New Roman"/>
          <w:color w:val="000000"/>
        </w:rPr>
        <w:t>, where the Chorus explain that Clytemnestra has had an evil, prophetic dream that she had given birth to a snake and suckled it (</w:t>
      </w:r>
      <w:r>
        <w:rPr>
          <w:rFonts w:ascii="Times New Roman" w:hAnsi="Times New Roman"/>
          <w:i/>
          <w:color w:val="000000"/>
        </w:rPr>
        <w:t xml:space="preserve">Aes. Cho. </w:t>
      </w:r>
      <w:r>
        <w:rPr>
          <w:rFonts w:ascii="Times New Roman" w:hAnsi="Times New Roman"/>
          <w:color w:val="000000"/>
        </w:rPr>
        <w:t>526-539). While the l</w:t>
      </w:r>
      <w:r>
        <w:rPr>
          <w:rFonts w:ascii="Times New Roman" w:hAnsi="Times New Roman"/>
          <w:color w:val="000000"/>
        </w:rPr>
        <w:t>atter example is more cryptic than Croesus’ dream of his son being killed by an iron spearhead, the scene is set for the dream to come true in an unexpected way, as it does later when Atys is accidentally killed whilst out hunting, by his bodyguard, Adrast</w:t>
      </w:r>
      <w:r>
        <w:rPr>
          <w:rFonts w:ascii="Times New Roman" w:hAnsi="Times New Roman"/>
          <w:color w:val="000000"/>
        </w:rPr>
        <w:t>us, instead of in battle as Croesus wrongly assumed.</w:t>
      </w:r>
    </w:p>
    <w:p w:rsidR="00DE108D" w:rsidRDefault="008E65B0">
      <w:pPr>
        <w:spacing w:line="480" w:lineRule="auto"/>
        <w:jc w:val="both"/>
        <w:rPr>
          <w:rFonts w:ascii="Times New Roman" w:hAnsi="Times New Roman"/>
        </w:rPr>
      </w:pPr>
      <w:r>
        <w:rPr>
          <w:rFonts w:ascii="Times New Roman" w:hAnsi="Times New Roman"/>
          <w:color w:val="000000"/>
        </w:rPr>
        <w:lastRenderedPageBreak/>
        <w:t>Other parts of this story also show influence from tragedy, such as there being only three ‘actors’ throug</w:t>
      </w:r>
      <w:r w:rsidR="002D3F5B">
        <w:rPr>
          <w:rFonts w:ascii="Times New Roman" w:hAnsi="Times New Roman"/>
          <w:color w:val="000000"/>
        </w:rPr>
        <w:t>hout the episode (</w:t>
      </w:r>
      <w:proofErr w:type="spellStart"/>
      <w:r w:rsidR="002D3F5B">
        <w:rPr>
          <w:rFonts w:ascii="Times New Roman" w:hAnsi="Times New Roman"/>
          <w:color w:val="000000"/>
        </w:rPr>
        <w:t>Chiasson</w:t>
      </w:r>
      <w:proofErr w:type="spellEnd"/>
      <w:r w:rsidR="002D3F5B">
        <w:rPr>
          <w:rFonts w:ascii="Times New Roman" w:hAnsi="Times New Roman"/>
          <w:color w:val="000000"/>
        </w:rPr>
        <w:t xml:space="preserve"> 2003:</w:t>
      </w:r>
      <w:r>
        <w:rPr>
          <w:rFonts w:ascii="Times New Roman" w:hAnsi="Times New Roman"/>
          <w:color w:val="000000"/>
        </w:rPr>
        <w:t xml:space="preserve"> 8). Also that the death of Atys is punishment for Croesus’ </w:t>
      </w:r>
      <w:r>
        <w:rPr>
          <w:rFonts w:ascii="Times New Roman" w:hAnsi="Times New Roman"/>
          <w:i/>
          <w:color w:val="000000"/>
        </w:rPr>
        <w:t>hubri</w:t>
      </w:r>
      <w:r>
        <w:rPr>
          <w:rFonts w:ascii="Times New Roman" w:hAnsi="Times New Roman"/>
          <w:i/>
          <w:color w:val="000000"/>
        </w:rPr>
        <w:t>s</w:t>
      </w:r>
      <w:r>
        <w:rPr>
          <w:rFonts w:ascii="Times New Roman" w:hAnsi="Times New Roman"/>
          <w:color w:val="000000"/>
        </w:rPr>
        <w:t xml:space="preserve"> in ignoring Solon’s advice, something Herodotus himself suggests (1.33), </w:t>
      </w:r>
      <w:r>
        <w:rPr>
          <w:rFonts w:ascii="Times New Roman" w:hAnsi="Times New Roman"/>
          <w:i/>
          <w:color w:val="000000"/>
        </w:rPr>
        <w:t>hubris</w:t>
      </w:r>
      <w:r>
        <w:rPr>
          <w:rFonts w:ascii="Times New Roman" w:hAnsi="Times New Roman"/>
          <w:color w:val="000000"/>
        </w:rPr>
        <w:t xml:space="preserve"> being a common theme in tragedies, such as </w:t>
      </w:r>
      <w:r>
        <w:rPr>
          <w:rFonts w:ascii="Times New Roman" w:hAnsi="Times New Roman"/>
          <w:i/>
          <w:color w:val="000000"/>
        </w:rPr>
        <w:t xml:space="preserve">Agamemnon, Oedipus Tyrannos, </w:t>
      </w:r>
      <w:r>
        <w:rPr>
          <w:rFonts w:ascii="Times New Roman" w:hAnsi="Times New Roman"/>
          <w:color w:val="000000"/>
        </w:rPr>
        <w:t xml:space="preserve">and </w:t>
      </w:r>
      <w:r>
        <w:rPr>
          <w:rFonts w:ascii="Times New Roman" w:hAnsi="Times New Roman"/>
          <w:i/>
          <w:color w:val="000000"/>
        </w:rPr>
        <w:t xml:space="preserve">Antigone </w:t>
      </w:r>
      <w:r w:rsidR="002D3F5B">
        <w:rPr>
          <w:rFonts w:ascii="Times New Roman" w:hAnsi="Times New Roman"/>
          <w:color w:val="000000"/>
        </w:rPr>
        <w:t>(</w:t>
      </w:r>
      <w:proofErr w:type="spellStart"/>
      <w:r w:rsidR="002D3F5B">
        <w:rPr>
          <w:rFonts w:ascii="Times New Roman" w:hAnsi="Times New Roman"/>
          <w:color w:val="000000"/>
        </w:rPr>
        <w:t>Chiasson</w:t>
      </w:r>
      <w:proofErr w:type="spellEnd"/>
      <w:r w:rsidR="002D3F5B">
        <w:rPr>
          <w:rFonts w:ascii="Times New Roman" w:hAnsi="Times New Roman"/>
          <w:color w:val="000000"/>
        </w:rPr>
        <w:t>, 2003:</w:t>
      </w:r>
      <w:r>
        <w:rPr>
          <w:rFonts w:ascii="Times New Roman" w:hAnsi="Times New Roman"/>
          <w:color w:val="000000"/>
        </w:rPr>
        <w:t xml:space="preserve"> 8). In addition, Chiasson identifies the Mysian embassy in 1.36 as a cho</w:t>
      </w:r>
      <w:r>
        <w:rPr>
          <w:rFonts w:ascii="Times New Roman" w:hAnsi="Times New Roman"/>
          <w:color w:val="000000"/>
        </w:rPr>
        <w:t xml:space="preserve">rus, and the conversation between Croesus and Atys in 1.37 as an </w:t>
      </w:r>
      <w:r>
        <w:rPr>
          <w:rFonts w:ascii="Times New Roman" w:hAnsi="Times New Roman"/>
          <w:i/>
          <w:color w:val="000000"/>
        </w:rPr>
        <w:t>agon</w:t>
      </w:r>
      <w:r>
        <w:rPr>
          <w:rFonts w:ascii="Times New Roman" w:hAnsi="Times New Roman"/>
          <w:color w:val="000000"/>
        </w:rPr>
        <w:t xml:space="preserve">, similar to that between Creon and Haemon in Sophocles’ </w:t>
      </w:r>
      <w:r>
        <w:rPr>
          <w:rFonts w:ascii="Times New Roman" w:hAnsi="Times New Roman"/>
          <w:i/>
          <w:color w:val="000000"/>
        </w:rPr>
        <w:t xml:space="preserve">Antigone </w:t>
      </w:r>
      <w:r>
        <w:rPr>
          <w:rFonts w:ascii="Times New Roman" w:hAnsi="Times New Roman"/>
          <w:color w:val="000000"/>
        </w:rPr>
        <w:t xml:space="preserve">(631-765). Finally, the news of Atys’ death in 1.43 is brought by a messenger in a similar way to innumerable messengers </w:t>
      </w:r>
      <w:r>
        <w:rPr>
          <w:rFonts w:ascii="Times New Roman" w:hAnsi="Times New Roman"/>
          <w:color w:val="000000"/>
        </w:rPr>
        <w:t>throughout tragedy, leading to the father lamenting ov</w:t>
      </w:r>
      <w:r w:rsidR="002D3F5B">
        <w:rPr>
          <w:rFonts w:ascii="Times New Roman" w:hAnsi="Times New Roman"/>
          <w:color w:val="000000"/>
        </w:rPr>
        <w:t>er his dead son (</w:t>
      </w:r>
      <w:proofErr w:type="spellStart"/>
      <w:r w:rsidR="002D3F5B">
        <w:rPr>
          <w:rFonts w:ascii="Times New Roman" w:hAnsi="Times New Roman"/>
          <w:color w:val="000000"/>
        </w:rPr>
        <w:t>Chiasson</w:t>
      </w:r>
      <w:proofErr w:type="spellEnd"/>
      <w:r w:rsidR="002D3F5B">
        <w:rPr>
          <w:rFonts w:ascii="Times New Roman" w:hAnsi="Times New Roman"/>
          <w:color w:val="000000"/>
        </w:rPr>
        <w:t>, 2003:</w:t>
      </w:r>
      <w:r>
        <w:rPr>
          <w:rFonts w:ascii="Times New Roman" w:hAnsi="Times New Roman"/>
          <w:color w:val="000000"/>
        </w:rPr>
        <w:t xml:space="preserve"> 10-11), similar to the end of Sophocles’ </w:t>
      </w:r>
      <w:r>
        <w:rPr>
          <w:rFonts w:ascii="Times New Roman" w:hAnsi="Times New Roman"/>
          <w:i/>
          <w:color w:val="000000"/>
        </w:rPr>
        <w:t xml:space="preserve">Antigone </w:t>
      </w:r>
      <w:r>
        <w:rPr>
          <w:rFonts w:ascii="Times New Roman" w:hAnsi="Times New Roman"/>
          <w:color w:val="000000"/>
        </w:rPr>
        <w:t xml:space="preserve">(1290-1351) and Euripides’ </w:t>
      </w:r>
      <w:r>
        <w:rPr>
          <w:rFonts w:ascii="Times New Roman" w:hAnsi="Times New Roman"/>
          <w:i/>
          <w:color w:val="000000"/>
        </w:rPr>
        <w:t xml:space="preserve">Hippolytus </w:t>
      </w:r>
      <w:r>
        <w:rPr>
          <w:rFonts w:ascii="Times New Roman" w:hAnsi="Times New Roman"/>
          <w:color w:val="000000"/>
        </w:rPr>
        <w:t>(1347-1466). However, unlike Creon and Theseus</w:t>
      </w:r>
      <w:r w:rsidR="002D3F5B">
        <w:rPr>
          <w:rFonts w:ascii="Times New Roman" w:hAnsi="Times New Roman"/>
          <w:color w:val="000000"/>
        </w:rPr>
        <w:t xml:space="preserve"> in these plays, </w:t>
      </w:r>
      <w:proofErr w:type="spellStart"/>
      <w:r w:rsidR="002D3F5B">
        <w:rPr>
          <w:rFonts w:ascii="Times New Roman" w:hAnsi="Times New Roman"/>
          <w:color w:val="000000"/>
        </w:rPr>
        <w:t>Chiasson</w:t>
      </w:r>
      <w:proofErr w:type="spellEnd"/>
      <w:r w:rsidR="002D3F5B">
        <w:rPr>
          <w:rFonts w:ascii="Times New Roman" w:hAnsi="Times New Roman"/>
          <w:color w:val="000000"/>
        </w:rPr>
        <w:t xml:space="preserve"> (2003:</w:t>
      </w:r>
      <w:r>
        <w:rPr>
          <w:rFonts w:ascii="Times New Roman" w:hAnsi="Times New Roman"/>
          <w:color w:val="000000"/>
        </w:rPr>
        <w:t xml:space="preserve"> 12</w:t>
      </w:r>
      <w:r>
        <w:rPr>
          <w:rFonts w:ascii="Times New Roman" w:hAnsi="Times New Roman"/>
          <w:color w:val="000000"/>
        </w:rPr>
        <w:t>) further points out that Croesus does not fully understand why this misfortune has occurred, but must undergo further suffering before he realises that he only has himself to blame.</w:t>
      </w:r>
    </w:p>
    <w:p w:rsidR="00DE108D" w:rsidRDefault="008E65B0">
      <w:pPr>
        <w:spacing w:line="480" w:lineRule="auto"/>
        <w:jc w:val="both"/>
        <w:rPr>
          <w:rFonts w:ascii="Times New Roman" w:hAnsi="Times New Roman"/>
        </w:rPr>
      </w:pPr>
      <w:r>
        <w:rPr>
          <w:rFonts w:ascii="Times New Roman" w:hAnsi="Times New Roman"/>
          <w:color w:val="000000"/>
        </w:rPr>
        <w:t>The larger episode that this smaller one is embedded into also has its si</w:t>
      </w:r>
      <w:r>
        <w:rPr>
          <w:rFonts w:ascii="Times New Roman" w:hAnsi="Times New Roman"/>
          <w:color w:val="000000"/>
        </w:rPr>
        <w:t>milarities with tragedy. Croesus himself has many characteristics of the trag</w:t>
      </w:r>
      <w:r w:rsidR="002D3F5B">
        <w:rPr>
          <w:rFonts w:ascii="Times New Roman" w:hAnsi="Times New Roman"/>
          <w:color w:val="000000"/>
        </w:rPr>
        <w:t>i</w:t>
      </w:r>
      <w:r>
        <w:rPr>
          <w:rFonts w:ascii="Times New Roman" w:hAnsi="Times New Roman"/>
          <w:color w:val="000000"/>
        </w:rPr>
        <w:t>c figure, for example in his warnings of misfortunes through oracles and dreams that are misunderstood (1.34, 1.53 and 1.55); the tragic advisor in Solon (1.30-33), who is similar</w:t>
      </w:r>
      <w:r>
        <w:rPr>
          <w:rFonts w:ascii="Times New Roman" w:hAnsi="Times New Roman"/>
          <w:color w:val="000000"/>
        </w:rPr>
        <w:t xml:space="preserve"> to Tiresias in Sophocles’ </w:t>
      </w:r>
      <w:r>
        <w:rPr>
          <w:rFonts w:ascii="Times New Roman" w:hAnsi="Times New Roman"/>
          <w:i/>
          <w:color w:val="000000"/>
        </w:rPr>
        <w:t xml:space="preserve">Oedipus Tyrannos </w:t>
      </w:r>
      <w:r>
        <w:rPr>
          <w:rFonts w:ascii="Times New Roman" w:hAnsi="Times New Roman"/>
          <w:color w:val="000000"/>
        </w:rPr>
        <w:t xml:space="preserve">and </w:t>
      </w:r>
      <w:r>
        <w:rPr>
          <w:rFonts w:ascii="Times New Roman" w:hAnsi="Times New Roman"/>
          <w:i/>
          <w:color w:val="000000"/>
        </w:rPr>
        <w:t>Antigone</w:t>
      </w:r>
      <w:r>
        <w:rPr>
          <w:rFonts w:ascii="Times New Roman" w:hAnsi="Times New Roman"/>
          <w:color w:val="000000"/>
        </w:rPr>
        <w:t>; and the dramatic pyre scene in 1.86-88, though with the twist that Croesus doesn’t die, but is saved by Cyrus, after Croesus has finally, at the last minute, realised the meaning of the portents and</w:t>
      </w:r>
      <w:r>
        <w:rPr>
          <w:rFonts w:ascii="Times New Roman" w:hAnsi="Times New Roman"/>
          <w:color w:val="000000"/>
        </w:rPr>
        <w:t xml:space="preserve"> Solon’s advice.</w:t>
      </w:r>
    </w:p>
    <w:p w:rsidR="00DE108D" w:rsidRDefault="008E65B0">
      <w:pPr>
        <w:spacing w:line="480" w:lineRule="auto"/>
        <w:jc w:val="both"/>
        <w:rPr>
          <w:rFonts w:ascii="Times New Roman" w:hAnsi="Times New Roman"/>
        </w:rPr>
      </w:pPr>
      <w:r>
        <w:rPr>
          <w:rFonts w:ascii="Times New Roman" w:hAnsi="Times New Roman"/>
          <w:color w:val="000000"/>
        </w:rPr>
        <w:t>Of further interest is the episode that precedes this, that of Candaules, Gyges and Candaule</w:t>
      </w:r>
      <w:r w:rsidR="002D3F5B">
        <w:rPr>
          <w:rFonts w:ascii="Times New Roman" w:hAnsi="Times New Roman"/>
          <w:color w:val="000000"/>
        </w:rPr>
        <w:t>s’ wife (1.6-14). Griffin (2006:</w:t>
      </w:r>
      <w:r>
        <w:rPr>
          <w:rFonts w:ascii="Times New Roman" w:hAnsi="Times New Roman"/>
          <w:color w:val="000000"/>
        </w:rPr>
        <w:t xml:space="preserve"> 47) states that Herodotus has taken this story, with its folktale pattern, and transformed it into one more akin t</w:t>
      </w:r>
      <w:r w:rsidR="002D3F5B">
        <w:rPr>
          <w:rFonts w:ascii="Times New Roman" w:hAnsi="Times New Roman"/>
          <w:color w:val="000000"/>
        </w:rPr>
        <w:t>o tragedy. Said (2002:</w:t>
      </w:r>
      <w:r>
        <w:rPr>
          <w:rFonts w:ascii="Times New Roman" w:hAnsi="Times New Roman"/>
          <w:color w:val="000000"/>
        </w:rPr>
        <w:t xml:space="preserve"> 133) concurs with this, citing Plato’s account of the story, in which Gyges is a lucky shepherd with a magic ring that </w:t>
      </w:r>
      <w:r>
        <w:rPr>
          <w:rFonts w:ascii="Times New Roman" w:hAnsi="Times New Roman"/>
          <w:color w:val="000000"/>
        </w:rPr>
        <w:lastRenderedPageBreak/>
        <w:t>makes him invisible, as an example of how Herodotus has changed what might have been a fairly well-known tale to f</w:t>
      </w:r>
      <w:r>
        <w:rPr>
          <w:rFonts w:ascii="Times New Roman" w:hAnsi="Times New Roman"/>
          <w:color w:val="000000"/>
        </w:rPr>
        <w:t>it in with a tragic pattern.</w:t>
      </w:r>
    </w:p>
    <w:p w:rsidR="00DE108D" w:rsidRDefault="008E65B0">
      <w:pPr>
        <w:spacing w:line="480" w:lineRule="auto"/>
        <w:jc w:val="both"/>
        <w:rPr>
          <w:rFonts w:ascii="Times New Roman" w:hAnsi="Times New Roman"/>
        </w:rPr>
      </w:pPr>
      <w:r>
        <w:rPr>
          <w:rFonts w:ascii="Times New Roman" w:hAnsi="Times New Roman"/>
          <w:color w:val="000000"/>
        </w:rPr>
        <w:t>Again, this episode has three ‘actors’, and Gyges is cast as the tragic figure. In being cajoled into viewing Candaules’ wife naked, he does what he is not supposed to do, like Oedipus killing his father and marrying his mother</w:t>
      </w:r>
      <w:r>
        <w:rPr>
          <w:rFonts w:ascii="Times New Roman" w:hAnsi="Times New Roman"/>
          <w:color w:val="000000"/>
        </w:rPr>
        <w:t>, or Agamemnon sacrificing Iphigeneia. Candaules’ wife is not supposed to see him, but she does, and with the self-possession of Clytemnestra before the Chorus and the Herald (</w:t>
      </w:r>
      <w:r>
        <w:rPr>
          <w:rFonts w:ascii="Times New Roman" w:hAnsi="Times New Roman"/>
          <w:i/>
          <w:color w:val="000000"/>
        </w:rPr>
        <w:t xml:space="preserve">Aes. Ag. </w:t>
      </w:r>
      <w:r>
        <w:rPr>
          <w:rFonts w:ascii="Times New Roman" w:hAnsi="Times New Roman"/>
          <w:color w:val="000000"/>
        </w:rPr>
        <w:t>264-350, 503-612) or Antigone before Creon (</w:t>
      </w:r>
      <w:r>
        <w:rPr>
          <w:rFonts w:ascii="Times New Roman" w:hAnsi="Times New Roman"/>
          <w:i/>
          <w:color w:val="000000"/>
        </w:rPr>
        <w:t xml:space="preserve">Soph. Ant. </w:t>
      </w:r>
      <w:r>
        <w:rPr>
          <w:rFonts w:ascii="Times New Roman" w:hAnsi="Times New Roman"/>
          <w:color w:val="000000"/>
        </w:rPr>
        <w:t>441-526), says n</w:t>
      </w:r>
      <w:r>
        <w:rPr>
          <w:rFonts w:ascii="Times New Roman" w:hAnsi="Times New Roman"/>
          <w:color w:val="000000"/>
        </w:rPr>
        <w:t>othing at the time, but chooses to confront him in no uncertain terms later. There she assertively gives him the ‘impossible choice’ of either killing himself or killing his master, Candaules, so she can be sure he will not be talked into again seeing what</w:t>
      </w:r>
      <w:r>
        <w:rPr>
          <w:rFonts w:ascii="Times New Roman" w:hAnsi="Times New Roman"/>
          <w:color w:val="000000"/>
        </w:rPr>
        <w:t xml:space="preserve"> he s</w:t>
      </w:r>
      <w:r w:rsidR="002D3F5B">
        <w:rPr>
          <w:rFonts w:ascii="Times New Roman" w:hAnsi="Times New Roman"/>
          <w:color w:val="000000"/>
        </w:rPr>
        <w:t>hould not see. As Griffin (2006:</w:t>
      </w:r>
      <w:r>
        <w:rPr>
          <w:rFonts w:ascii="Times New Roman" w:hAnsi="Times New Roman"/>
          <w:color w:val="000000"/>
        </w:rPr>
        <w:t xml:space="preserve"> 46-47) says, this is similar to Agamemnon deciding to sacrifice his daughter (</w:t>
      </w:r>
      <w:r>
        <w:rPr>
          <w:rFonts w:ascii="Times New Roman" w:hAnsi="Times New Roman"/>
          <w:i/>
          <w:color w:val="000000"/>
        </w:rPr>
        <w:t xml:space="preserve">Aes. Ag. </w:t>
      </w:r>
      <w:r>
        <w:rPr>
          <w:rFonts w:ascii="Times New Roman" w:hAnsi="Times New Roman"/>
          <w:color w:val="000000"/>
        </w:rPr>
        <w:t>184-256) or Orestes about to kill his mother (</w:t>
      </w:r>
      <w:r>
        <w:rPr>
          <w:rFonts w:ascii="Times New Roman" w:hAnsi="Times New Roman"/>
          <w:i/>
          <w:color w:val="000000"/>
        </w:rPr>
        <w:t xml:space="preserve">Cho. </w:t>
      </w:r>
      <w:r>
        <w:rPr>
          <w:rFonts w:ascii="Times New Roman" w:hAnsi="Times New Roman"/>
          <w:color w:val="000000"/>
        </w:rPr>
        <w:t>899-903). As with Agamemnon, we get an idea of Gyges psychological struggle as h</w:t>
      </w:r>
      <w:r>
        <w:rPr>
          <w:rFonts w:ascii="Times New Roman" w:hAnsi="Times New Roman"/>
          <w:color w:val="000000"/>
        </w:rPr>
        <w:t>e pleads with the Queen, but once he realises that she will not be move, the choice, comparable to Agamemnon’s, is almost easy - he saves himself.</w:t>
      </w:r>
    </w:p>
    <w:p w:rsidR="00DE108D" w:rsidRDefault="008E65B0">
      <w:pPr>
        <w:spacing w:line="480" w:lineRule="auto"/>
        <w:jc w:val="both"/>
        <w:rPr>
          <w:rFonts w:ascii="Times New Roman" w:hAnsi="Times New Roman"/>
        </w:rPr>
      </w:pPr>
      <w:r>
        <w:rPr>
          <w:rFonts w:ascii="Times New Roman" w:hAnsi="Times New Roman"/>
          <w:color w:val="000000"/>
        </w:rPr>
        <w:t>Like Agamemnon’s choice, this choice has tragic consequences, though not for him, as he goes on to rule succe</w:t>
      </w:r>
      <w:r>
        <w:rPr>
          <w:rFonts w:ascii="Times New Roman" w:hAnsi="Times New Roman"/>
          <w:color w:val="000000"/>
        </w:rPr>
        <w:t xml:space="preserve">ssfully. But Herodotus tells of an oracle that Candaules’ death would be avenged after five generations (1.13), and this turns out to be Croesus’ tragedy. However, the idea that the descendants pay for an ancestor’s crime is also apparent in the </w:t>
      </w:r>
      <w:r>
        <w:rPr>
          <w:rFonts w:ascii="Times New Roman" w:hAnsi="Times New Roman"/>
          <w:i/>
          <w:color w:val="000000"/>
        </w:rPr>
        <w:t>Agamemnon</w:t>
      </w:r>
      <w:r>
        <w:rPr>
          <w:rFonts w:ascii="Times New Roman" w:hAnsi="Times New Roman"/>
          <w:color w:val="000000"/>
        </w:rPr>
        <w:t>,</w:t>
      </w:r>
      <w:r>
        <w:rPr>
          <w:rFonts w:ascii="Times New Roman" w:hAnsi="Times New Roman"/>
          <w:color w:val="000000"/>
        </w:rPr>
        <w:t xml:space="preserve"> as Agamemnon is also paying for the crimes of his father, Atreus, in killing his brother Thyestes’ children and tricking him into eating them (</w:t>
      </w:r>
      <w:r>
        <w:rPr>
          <w:rFonts w:ascii="Times New Roman" w:hAnsi="Times New Roman"/>
          <w:i/>
          <w:color w:val="000000"/>
        </w:rPr>
        <w:t xml:space="preserve">Aes. Ag. </w:t>
      </w:r>
      <w:r>
        <w:rPr>
          <w:rFonts w:ascii="Times New Roman" w:hAnsi="Times New Roman"/>
          <w:color w:val="000000"/>
        </w:rPr>
        <w:t>1577-1611).</w:t>
      </w:r>
    </w:p>
    <w:p w:rsidR="00DE108D" w:rsidRDefault="008E65B0">
      <w:pPr>
        <w:spacing w:line="480" w:lineRule="auto"/>
        <w:jc w:val="both"/>
        <w:rPr>
          <w:rFonts w:ascii="Times New Roman" w:hAnsi="Times New Roman"/>
        </w:rPr>
      </w:pPr>
      <w:r>
        <w:rPr>
          <w:rFonts w:ascii="Times New Roman" w:hAnsi="Times New Roman"/>
          <w:color w:val="000000"/>
        </w:rPr>
        <w:t>Much the same as many females of tragedy, Candaules’ wife’s actions are the catalyst for th</w:t>
      </w:r>
      <w:r>
        <w:rPr>
          <w:rFonts w:ascii="Times New Roman" w:hAnsi="Times New Roman"/>
          <w:color w:val="000000"/>
        </w:rPr>
        <w:t>e mistfortunes that follow. Like Clytemnestra manipulating Agamemnon into walking on the sacred tapestries (</w:t>
      </w:r>
      <w:r>
        <w:rPr>
          <w:rFonts w:ascii="Times New Roman" w:hAnsi="Times New Roman"/>
          <w:i/>
          <w:color w:val="000000"/>
        </w:rPr>
        <w:t xml:space="preserve">Aes. Ag. </w:t>
      </w:r>
      <w:r>
        <w:rPr>
          <w:rFonts w:ascii="Times New Roman" w:hAnsi="Times New Roman"/>
          <w:color w:val="000000"/>
        </w:rPr>
        <w:t>931-974), or Medea manipulating Creon into giving her one more day (</w:t>
      </w:r>
      <w:r>
        <w:rPr>
          <w:rFonts w:ascii="Times New Roman" w:hAnsi="Times New Roman"/>
          <w:i/>
          <w:color w:val="000000"/>
        </w:rPr>
        <w:t xml:space="preserve">Eur. Med. </w:t>
      </w:r>
      <w:r>
        <w:rPr>
          <w:rFonts w:ascii="Times New Roman" w:hAnsi="Times New Roman"/>
          <w:color w:val="000000"/>
        </w:rPr>
        <w:t xml:space="preserve">271-356), Candaules’ wife has forced Gyges into a position that will have </w:t>
      </w:r>
      <w:r>
        <w:rPr>
          <w:rFonts w:ascii="Times New Roman" w:hAnsi="Times New Roman"/>
          <w:color w:val="000000"/>
        </w:rPr>
        <w:lastRenderedPageBreak/>
        <w:t xml:space="preserve">unfornunate ramifications for his family. At the other end of the </w:t>
      </w:r>
      <w:r>
        <w:rPr>
          <w:rFonts w:ascii="Times New Roman" w:hAnsi="Times New Roman"/>
          <w:i/>
          <w:color w:val="000000"/>
        </w:rPr>
        <w:t>Histories</w:t>
      </w:r>
      <w:r>
        <w:rPr>
          <w:rFonts w:ascii="Times New Roman" w:hAnsi="Times New Roman"/>
          <w:color w:val="000000"/>
        </w:rPr>
        <w:t xml:space="preserve"> is a parallel episode where the woman at the centre, Xerxes’ wife Amestris, also displays many of the same</w:t>
      </w:r>
      <w:r>
        <w:rPr>
          <w:rFonts w:ascii="Times New Roman" w:hAnsi="Times New Roman"/>
          <w:color w:val="000000"/>
        </w:rPr>
        <w:t xml:space="preserve"> traits as Candaules’ wife (9.108-113). In this episode, Xerxes is backed into a corner twice; once by his mistress, Artaynte, who is greedy for the beautiful cloak Amestris has woven for Xerxes, and will be satisfied with nothing else (9.109): and again, </w:t>
      </w:r>
      <w:r>
        <w:rPr>
          <w:rFonts w:ascii="Times New Roman" w:hAnsi="Times New Roman"/>
          <w:color w:val="000000"/>
        </w:rPr>
        <w:t>but in a far more scheming and manipulative way, by his wife, who asks for Masistes’ wife, who also happens to be Artaynte’s mother, and who has been the previous object of Xerxes’ lust. Amestris blames her for the affair going on between Xerxes and Artayn</w:t>
      </w:r>
      <w:r>
        <w:rPr>
          <w:rFonts w:ascii="Times New Roman" w:hAnsi="Times New Roman"/>
          <w:color w:val="000000"/>
        </w:rPr>
        <w:t>te, perhaps because she has not brought up a ‘proper’ daughter. Xerxes, though fully aware of why Amestris wants Masistes’wife, is forced to concede. While not quite the impossible choice of Agamemnon, Orestes and Gyges, and though the same psychological t</w:t>
      </w:r>
      <w:r>
        <w:rPr>
          <w:rFonts w:ascii="Times New Roman" w:hAnsi="Times New Roman"/>
          <w:color w:val="000000"/>
        </w:rPr>
        <w:t xml:space="preserve">orment is not apparent in Xerxes, the decision is still significant, as are its consequences. Amestris has Masistes’ wife horrifically mutilated, though left alive, and can therefore be compared to Clytemnestra with her killing of Agamemnon and Cassandra, </w:t>
      </w:r>
      <w:r>
        <w:rPr>
          <w:rFonts w:ascii="Times New Roman" w:hAnsi="Times New Roman"/>
          <w:color w:val="000000"/>
        </w:rPr>
        <w:t>and Medea, who causes the grisly deaths of Creon and his daughter, or Agaüe and her sisters tearing apart Pentheus, which may have been contained in a lost play of Aeschylus. And while there are no immediate tragic consequences for Xerxes, the ‘tragic figu</w:t>
      </w:r>
      <w:r>
        <w:rPr>
          <w:rFonts w:ascii="Times New Roman" w:hAnsi="Times New Roman"/>
          <w:color w:val="000000"/>
        </w:rPr>
        <w:t xml:space="preserve">re’ of this episode, readers of the </w:t>
      </w:r>
      <w:r>
        <w:rPr>
          <w:rFonts w:ascii="Times New Roman" w:hAnsi="Times New Roman"/>
          <w:i/>
          <w:color w:val="000000"/>
        </w:rPr>
        <w:t>Histories</w:t>
      </w:r>
      <w:r>
        <w:rPr>
          <w:rFonts w:ascii="Times New Roman" w:hAnsi="Times New Roman"/>
          <w:color w:val="000000"/>
        </w:rPr>
        <w:t xml:space="preserve"> would have known that, because of Xerxes continued </w:t>
      </w:r>
      <w:r>
        <w:rPr>
          <w:rFonts w:ascii="Times New Roman" w:hAnsi="Times New Roman"/>
          <w:i/>
          <w:color w:val="000000"/>
        </w:rPr>
        <w:t>hubris</w:t>
      </w:r>
      <w:r>
        <w:rPr>
          <w:rFonts w:ascii="Times New Roman" w:hAnsi="Times New Roman"/>
          <w:color w:val="000000"/>
        </w:rPr>
        <w:t xml:space="preserve"> and lack of restraint, as demonstrated in this episode and throughout the </w:t>
      </w:r>
      <w:r>
        <w:rPr>
          <w:rFonts w:ascii="Times New Roman" w:hAnsi="Times New Roman"/>
          <w:i/>
          <w:color w:val="000000"/>
        </w:rPr>
        <w:t>Histories</w:t>
      </w:r>
      <w:r>
        <w:rPr>
          <w:rFonts w:ascii="Times New Roman" w:hAnsi="Times New Roman"/>
          <w:color w:val="000000"/>
        </w:rPr>
        <w:t>, he was assassinated in 465 BC.</w:t>
      </w:r>
    </w:p>
    <w:p w:rsidR="00DE108D" w:rsidRDefault="008E65B0">
      <w:pPr>
        <w:spacing w:line="480" w:lineRule="auto"/>
        <w:jc w:val="both"/>
        <w:rPr>
          <w:rFonts w:ascii="Times New Roman" w:hAnsi="Times New Roman"/>
        </w:rPr>
      </w:pPr>
      <w:r>
        <w:rPr>
          <w:rFonts w:ascii="Times New Roman" w:hAnsi="Times New Roman"/>
          <w:color w:val="000000"/>
        </w:rPr>
        <w:t>The acting as a catalyst, the manipu</w:t>
      </w:r>
      <w:r>
        <w:rPr>
          <w:rFonts w:ascii="Times New Roman" w:hAnsi="Times New Roman"/>
          <w:color w:val="000000"/>
        </w:rPr>
        <w:t xml:space="preserve">lating of men, and the taking of a bloody revenge are all characteristics of female characters in tragedy and are shown by Amestris here, in this episode, seemingly modelled on tragedy to a great degree, much like the episode in Book 1. However, there are </w:t>
      </w:r>
      <w:r>
        <w:rPr>
          <w:rFonts w:ascii="Times New Roman" w:hAnsi="Times New Roman"/>
          <w:color w:val="000000"/>
        </w:rPr>
        <w:t xml:space="preserve">other women throughout the </w:t>
      </w:r>
      <w:r>
        <w:rPr>
          <w:rFonts w:ascii="Times New Roman" w:hAnsi="Times New Roman"/>
          <w:i/>
          <w:color w:val="000000"/>
        </w:rPr>
        <w:t xml:space="preserve">Histories </w:t>
      </w:r>
      <w:r>
        <w:rPr>
          <w:rFonts w:ascii="Times New Roman" w:hAnsi="Times New Roman"/>
          <w:color w:val="000000"/>
        </w:rPr>
        <w:t xml:space="preserve">who also display traits that seem to owe much to women in Attic tragedy. For instance, Tomyris, Queen of the Massagetae, has many of the qualities already outlined above. Like Clytemnestra in the </w:t>
      </w:r>
      <w:r>
        <w:rPr>
          <w:rFonts w:ascii="Times New Roman" w:hAnsi="Times New Roman"/>
          <w:i/>
          <w:color w:val="000000"/>
        </w:rPr>
        <w:t xml:space="preserve">Agamemnon, </w:t>
      </w:r>
      <w:r>
        <w:rPr>
          <w:rFonts w:ascii="Times New Roman" w:hAnsi="Times New Roman"/>
          <w:color w:val="000000"/>
        </w:rPr>
        <w:t>she is power</w:t>
      </w:r>
      <w:r>
        <w:rPr>
          <w:rFonts w:ascii="Times New Roman" w:hAnsi="Times New Roman"/>
          <w:color w:val="000000"/>
        </w:rPr>
        <w:t xml:space="preserve">ful, in </w:t>
      </w:r>
      <w:r>
        <w:rPr>
          <w:rFonts w:ascii="Times New Roman" w:hAnsi="Times New Roman"/>
          <w:color w:val="000000"/>
        </w:rPr>
        <w:lastRenderedPageBreak/>
        <w:t>control of her own kingdom after the death of her husband. Though perhaps Croesus in this episode should be the ‘tragic warner’ advising Cyrus against meeting Tomyris in battle, he actually advocates this course of action, and it is Tomyris herself</w:t>
      </w:r>
      <w:r>
        <w:rPr>
          <w:rFonts w:ascii="Times New Roman" w:hAnsi="Times New Roman"/>
          <w:color w:val="000000"/>
        </w:rPr>
        <w:t xml:space="preserve"> who is the ‘tragic warner’ who in the mould of Tiresias, warns Cyrus that he cannot know the future. Cyrus then follows Croesus’ advice to meet Massagetan troops on their own soil. The Persian troops have some initial success when they trick the Massageta</w:t>
      </w:r>
      <w:r>
        <w:rPr>
          <w:rFonts w:ascii="Times New Roman" w:hAnsi="Times New Roman"/>
          <w:color w:val="000000"/>
        </w:rPr>
        <w:t>ns and kill and capture many, including Tomyris’ son. Tomyris then issues a more severe warning, which turns out to be prophetic; she advises Cyrus to give back her son and depart her country, or she will glut his taste for blood. Cyrus, of course, ignores</w:t>
      </w:r>
      <w:r>
        <w:rPr>
          <w:rFonts w:ascii="Times New Roman" w:hAnsi="Times New Roman"/>
          <w:color w:val="000000"/>
        </w:rPr>
        <w:t xml:space="preserve"> this warning, and, after having Tomyris’ son killed, meets the Massagetae in battle. The battle that follows is described by Herodotus as ‘the most terrible that has ever been fought between two barbarian people’ (1.214.3). In the battle, Cyrus is killed,</w:t>
      </w:r>
      <w:r>
        <w:rPr>
          <w:rFonts w:ascii="Times New Roman" w:hAnsi="Times New Roman"/>
          <w:color w:val="000000"/>
        </w:rPr>
        <w:t xml:space="preserve"> and in fulfilment of her vow, Tomyris fills a wine skin with blood and pushes his head into it. Herodotus does not suggest that she has this done for her, his words suggest that she does it herself, like</w:t>
      </w:r>
      <w:r w:rsidR="002D3F5B">
        <w:rPr>
          <w:rFonts w:ascii="Times New Roman" w:hAnsi="Times New Roman"/>
          <w:color w:val="000000"/>
        </w:rPr>
        <w:t xml:space="preserve"> Clytemnestra killing Agamemnon</w:t>
      </w:r>
      <w:r>
        <w:rPr>
          <w:rFonts w:ascii="Times New Roman" w:hAnsi="Times New Roman"/>
          <w:color w:val="000000"/>
        </w:rPr>
        <w:t xml:space="preserve"> and Cassandra, or </w:t>
      </w:r>
      <w:proofErr w:type="spellStart"/>
      <w:r>
        <w:rPr>
          <w:rFonts w:ascii="Times New Roman" w:hAnsi="Times New Roman"/>
          <w:color w:val="000000"/>
        </w:rPr>
        <w:t>A</w:t>
      </w:r>
      <w:r w:rsidR="002D3F5B">
        <w:rPr>
          <w:rFonts w:ascii="Times New Roman" w:hAnsi="Times New Roman"/>
          <w:color w:val="000000"/>
        </w:rPr>
        <w:t>gaü</w:t>
      </w:r>
      <w:r>
        <w:rPr>
          <w:rFonts w:ascii="Times New Roman" w:hAnsi="Times New Roman"/>
          <w:color w:val="000000"/>
        </w:rPr>
        <w:t>e</w:t>
      </w:r>
      <w:proofErr w:type="spellEnd"/>
      <w:r>
        <w:rPr>
          <w:rFonts w:ascii="Times New Roman" w:hAnsi="Times New Roman"/>
          <w:color w:val="000000"/>
        </w:rPr>
        <w:t xml:space="preserve"> with the dismembered Pentheus.</w:t>
      </w:r>
    </w:p>
    <w:p w:rsidR="00DE108D" w:rsidRDefault="008E65B0">
      <w:pPr>
        <w:spacing w:line="480" w:lineRule="auto"/>
        <w:jc w:val="both"/>
        <w:rPr>
          <w:rFonts w:ascii="Times New Roman" w:hAnsi="Times New Roman"/>
        </w:rPr>
      </w:pPr>
      <w:r>
        <w:rPr>
          <w:rFonts w:ascii="Times New Roman" w:hAnsi="Times New Roman"/>
          <w:color w:val="000000"/>
        </w:rPr>
        <w:t xml:space="preserve">Tomyris also exemplifies another theme of Attic tragedy: the women who are portrayed as being manlike, the ‘women-as-men.’ The most obvious example is Clytemnestra in the </w:t>
      </w:r>
      <w:r>
        <w:rPr>
          <w:rFonts w:ascii="Times New Roman" w:hAnsi="Times New Roman"/>
          <w:i/>
          <w:color w:val="000000"/>
        </w:rPr>
        <w:t xml:space="preserve">Agamemnon </w:t>
      </w:r>
      <w:r>
        <w:rPr>
          <w:rFonts w:ascii="Times New Roman" w:hAnsi="Times New Roman"/>
          <w:color w:val="000000"/>
        </w:rPr>
        <w:t xml:space="preserve">and the </w:t>
      </w:r>
      <w:r>
        <w:rPr>
          <w:rFonts w:ascii="Times New Roman" w:hAnsi="Times New Roman"/>
          <w:i/>
          <w:color w:val="000000"/>
        </w:rPr>
        <w:t>Libation Bearers.</w:t>
      </w:r>
      <w:r>
        <w:rPr>
          <w:rFonts w:ascii="Times New Roman" w:hAnsi="Times New Roman"/>
          <w:color w:val="000000"/>
        </w:rPr>
        <w:t xml:space="preserve"> The Watchman </w:t>
      </w:r>
      <w:r>
        <w:rPr>
          <w:rFonts w:ascii="Times New Roman" w:hAnsi="Times New Roman"/>
          <w:color w:val="000000"/>
        </w:rPr>
        <w:t>at the start of the play states he is watching for the beacon fire to indicate the capture of Troy ‘to such end a lady’s male strength of heart in its high confidence ordains’ (</w:t>
      </w:r>
      <w:r>
        <w:rPr>
          <w:rFonts w:ascii="Times New Roman" w:hAnsi="Times New Roman"/>
          <w:i/>
          <w:color w:val="000000"/>
        </w:rPr>
        <w:t xml:space="preserve">Aes. Ag. </w:t>
      </w:r>
      <w:r>
        <w:rPr>
          <w:rFonts w:ascii="Times New Roman" w:hAnsi="Times New Roman"/>
          <w:color w:val="000000"/>
        </w:rPr>
        <w:t>10-11). She also commits the murder with her own hand, striking Agamem</w:t>
      </w:r>
      <w:r>
        <w:rPr>
          <w:rFonts w:ascii="Times New Roman" w:hAnsi="Times New Roman"/>
          <w:color w:val="000000"/>
        </w:rPr>
        <w:t>non three times with a sword (</w:t>
      </w:r>
      <w:r>
        <w:rPr>
          <w:rFonts w:ascii="Times New Roman" w:hAnsi="Times New Roman"/>
          <w:i/>
          <w:color w:val="000000"/>
        </w:rPr>
        <w:t xml:space="preserve">Aes. Ag. </w:t>
      </w:r>
      <w:r>
        <w:rPr>
          <w:rFonts w:ascii="Times New Roman" w:hAnsi="Times New Roman"/>
          <w:color w:val="000000"/>
        </w:rPr>
        <w:t>1380-87), a very masculine act. She has also apparently ruled while Agamemnon was at Troy, and the Watchman and the Chorus are fearful of her. The Chorus are then disgusted with her un-female act when they discover wh</w:t>
      </w:r>
      <w:r>
        <w:rPr>
          <w:rFonts w:ascii="Times New Roman" w:hAnsi="Times New Roman"/>
          <w:color w:val="000000"/>
        </w:rPr>
        <w:t>at she has done (</w:t>
      </w:r>
      <w:r>
        <w:rPr>
          <w:rFonts w:ascii="Times New Roman" w:hAnsi="Times New Roman"/>
          <w:i/>
          <w:color w:val="000000"/>
        </w:rPr>
        <w:t xml:space="preserve">Aes. Ag. </w:t>
      </w:r>
      <w:r>
        <w:rPr>
          <w:rFonts w:ascii="Times New Roman" w:hAnsi="Times New Roman"/>
          <w:color w:val="000000"/>
        </w:rPr>
        <w:t xml:space="preserve">1399-1566). Finally, there is also the role reversal: Clytemnestra is active, brutal, and in control, while Aegisthus, her lover, is passive, takes no </w:t>
      </w:r>
      <w:r>
        <w:rPr>
          <w:rFonts w:ascii="Times New Roman" w:hAnsi="Times New Roman"/>
          <w:color w:val="000000"/>
        </w:rPr>
        <w:lastRenderedPageBreak/>
        <w:t>part in the murder, and only emerges at the end of the play after the action is</w:t>
      </w:r>
      <w:r>
        <w:rPr>
          <w:rFonts w:ascii="Times New Roman" w:hAnsi="Times New Roman"/>
          <w:color w:val="000000"/>
        </w:rPr>
        <w:t xml:space="preserve"> over. The Chorus even liken him to a woman (</w:t>
      </w:r>
      <w:r>
        <w:rPr>
          <w:rFonts w:ascii="Times New Roman" w:hAnsi="Times New Roman"/>
          <w:i/>
          <w:color w:val="000000"/>
        </w:rPr>
        <w:t xml:space="preserve">Aes. Ag. </w:t>
      </w:r>
      <w:r>
        <w:rPr>
          <w:rFonts w:ascii="Times New Roman" w:hAnsi="Times New Roman"/>
          <w:color w:val="000000"/>
        </w:rPr>
        <w:t xml:space="preserve">1625). In the </w:t>
      </w:r>
      <w:r>
        <w:rPr>
          <w:rFonts w:ascii="Times New Roman" w:hAnsi="Times New Roman"/>
          <w:i/>
          <w:color w:val="000000"/>
        </w:rPr>
        <w:t>Libation Bearers</w:t>
      </w:r>
      <w:r>
        <w:rPr>
          <w:rFonts w:ascii="Times New Roman" w:hAnsi="Times New Roman"/>
          <w:color w:val="000000"/>
        </w:rPr>
        <w:t>, Clytemnestra is portrayed as more feminine, at least to begin with, however, when threatened, she calls for an axe (</w:t>
      </w:r>
      <w:r>
        <w:rPr>
          <w:rFonts w:ascii="Times New Roman" w:hAnsi="Times New Roman"/>
          <w:i/>
          <w:color w:val="000000"/>
        </w:rPr>
        <w:t xml:space="preserve">Aes. Cho. </w:t>
      </w:r>
      <w:r>
        <w:rPr>
          <w:rFonts w:ascii="Times New Roman" w:hAnsi="Times New Roman"/>
          <w:color w:val="000000"/>
        </w:rPr>
        <w:t>889).</w:t>
      </w:r>
    </w:p>
    <w:p w:rsidR="00DE108D" w:rsidRDefault="008E65B0">
      <w:pPr>
        <w:spacing w:line="480" w:lineRule="auto"/>
        <w:jc w:val="both"/>
        <w:rPr>
          <w:rFonts w:ascii="Times New Roman" w:hAnsi="Times New Roman"/>
        </w:rPr>
      </w:pPr>
      <w:r>
        <w:rPr>
          <w:rFonts w:ascii="Times New Roman" w:hAnsi="Times New Roman"/>
          <w:color w:val="000000"/>
        </w:rPr>
        <w:t>Other examples of women-as-men in Atti</w:t>
      </w:r>
      <w:r>
        <w:rPr>
          <w:rFonts w:ascii="Times New Roman" w:hAnsi="Times New Roman"/>
          <w:color w:val="000000"/>
        </w:rPr>
        <w:t>c tragedy include Medea, another woman who is in control of the men around her, and also says she would rather be a man; ‘I would rather stand three times in the front of battle than bear one child’ (</w:t>
      </w:r>
      <w:r>
        <w:rPr>
          <w:rFonts w:ascii="Times New Roman" w:hAnsi="Times New Roman"/>
          <w:i/>
          <w:color w:val="000000"/>
        </w:rPr>
        <w:t xml:space="preserve">Eur. Med. </w:t>
      </w:r>
      <w:r>
        <w:rPr>
          <w:rFonts w:ascii="Times New Roman" w:hAnsi="Times New Roman"/>
          <w:color w:val="000000"/>
        </w:rPr>
        <w:t xml:space="preserve">250-51). Antigone, too, is a rather masculine </w:t>
      </w:r>
      <w:r>
        <w:rPr>
          <w:rFonts w:ascii="Times New Roman" w:hAnsi="Times New Roman"/>
          <w:color w:val="000000"/>
        </w:rPr>
        <w:t>character, defying her uncle Creon’s edict in order to bury her brother, something she does alone. She then defends herself eloquently before him in a rather masculine manner (</w:t>
      </w:r>
      <w:r>
        <w:rPr>
          <w:rFonts w:ascii="Times New Roman" w:hAnsi="Times New Roman"/>
          <w:i/>
          <w:color w:val="000000"/>
        </w:rPr>
        <w:t xml:space="preserve">Soph. Ant. </w:t>
      </w:r>
      <w:r>
        <w:rPr>
          <w:rFonts w:ascii="Times New Roman" w:hAnsi="Times New Roman"/>
          <w:color w:val="000000"/>
        </w:rPr>
        <w:t xml:space="preserve">441-525). Her masculine stance is particularly evident when compared </w:t>
      </w:r>
      <w:r>
        <w:rPr>
          <w:rFonts w:ascii="Times New Roman" w:hAnsi="Times New Roman"/>
          <w:color w:val="000000"/>
        </w:rPr>
        <w:t>with her sister, Ismene, who obeys the edict, saying near the start of the play ‘we are only women, not meant in nature to fight against men’ (</w:t>
      </w:r>
      <w:r>
        <w:rPr>
          <w:rFonts w:ascii="Times New Roman" w:hAnsi="Times New Roman"/>
          <w:i/>
          <w:color w:val="000000"/>
        </w:rPr>
        <w:t xml:space="preserve">Soph. Ant. </w:t>
      </w:r>
      <w:r>
        <w:rPr>
          <w:rFonts w:ascii="Times New Roman" w:hAnsi="Times New Roman"/>
          <w:color w:val="000000"/>
        </w:rPr>
        <w:t>61-62).</w:t>
      </w:r>
    </w:p>
    <w:p w:rsidR="00DE108D" w:rsidRDefault="008E65B0">
      <w:pPr>
        <w:spacing w:line="480" w:lineRule="auto"/>
        <w:jc w:val="both"/>
        <w:rPr>
          <w:rFonts w:ascii="Times New Roman" w:hAnsi="Times New Roman"/>
        </w:rPr>
      </w:pPr>
      <w:r>
        <w:rPr>
          <w:rFonts w:ascii="Times New Roman" w:hAnsi="Times New Roman"/>
          <w:color w:val="000000"/>
        </w:rPr>
        <w:t>While there are also plenty of examples of women who are not particularly masculine in Attic t</w:t>
      </w:r>
      <w:r>
        <w:rPr>
          <w:rFonts w:ascii="Times New Roman" w:hAnsi="Times New Roman"/>
          <w:color w:val="000000"/>
        </w:rPr>
        <w:t xml:space="preserve">ragedy (Jocasta, Tecmessa, Phaedra), it is possible that Herodotus was influenced by these women-as-men when writing about women in the </w:t>
      </w:r>
      <w:r>
        <w:rPr>
          <w:rFonts w:ascii="Times New Roman" w:hAnsi="Times New Roman"/>
          <w:i/>
          <w:color w:val="000000"/>
        </w:rPr>
        <w:t>Histories</w:t>
      </w:r>
      <w:r>
        <w:rPr>
          <w:rFonts w:ascii="Times New Roman" w:hAnsi="Times New Roman"/>
          <w:color w:val="000000"/>
        </w:rPr>
        <w:t>. Tomyris is a good example; she is in control over her own kingdom, even though she has a son who is obviously</w:t>
      </w:r>
      <w:r>
        <w:rPr>
          <w:rFonts w:ascii="Times New Roman" w:hAnsi="Times New Roman"/>
          <w:color w:val="000000"/>
        </w:rPr>
        <w:t xml:space="preserve"> not a child as he fights in the Massagetan army and is captured. She issues challenges to Cyrus in her own name, and although Herodotus does not say she fought herself in battle, she is the one to assemble the forces, and she takes her bloody revenge on C</w:t>
      </w:r>
      <w:r>
        <w:rPr>
          <w:rFonts w:ascii="Times New Roman" w:hAnsi="Times New Roman"/>
          <w:color w:val="000000"/>
        </w:rPr>
        <w:t>yrus herself. This is far from the Greek, feminine ideal, but Tomyris was not Greek but a barbarian, therefore her acts, while shocking, were more acceptable in this context.</w:t>
      </w:r>
    </w:p>
    <w:p w:rsidR="00DE108D" w:rsidRDefault="008E65B0">
      <w:pPr>
        <w:spacing w:line="480" w:lineRule="auto"/>
        <w:jc w:val="both"/>
        <w:rPr>
          <w:rFonts w:ascii="Times New Roman" w:hAnsi="Times New Roman"/>
        </w:rPr>
      </w:pPr>
      <w:r>
        <w:rPr>
          <w:rFonts w:ascii="Times New Roman" w:hAnsi="Times New Roman"/>
          <w:color w:val="000000"/>
        </w:rPr>
        <w:t xml:space="preserve">However, the more obvious candidate for a woman-as-man in the </w:t>
      </w:r>
      <w:r>
        <w:rPr>
          <w:rFonts w:ascii="Times New Roman" w:hAnsi="Times New Roman"/>
          <w:i/>
          <w:color w:val="000000"/>
        </w:rPr>
        <w:t>Histories</w:t>
      </w:r>
      <w:r>
        <w:rPr>
          <w:rFonts w:ascii="Times New Roman" w:hAnsi="Times New Roman"/>
          <w:color w:val="000000"/>
        </w:rPr>
        <w:t xml:space="preserve"> is Queen </w:t>
      </w:r>
      <w:r>
        <w:rPr>
          <w:rFonts w:ascii="Times New Roman" w:hAnsi="Times New Roman"/>
          <w:color w:val="000000"/>
        </w:rPr>
        <w:t xml:space="preserve">Artemisia. In some ways she is different from Tomyris. Firstly, as Queen of Harlicarnassus, she is not a barbarian, but Greek. Secondly, as Queen of Harlicarnassus, Herodotus would undoubtedly </w:t>
      </w:r>
      <w:r>
        <w:rPr>
          <w:rFonts w:ascii="Times New Roman" w:hAnsi="Times New Roman"/>
          <w:color w:val="000000"/>
        </w:rPr>
        <w:lastRenderedPageBreak/>
        <w:t>have heard a great deal about her while growing up there, hence</w:t>
      </w:r>
      <w:r>
        <w:rPr>
          <w:rFonts w:ascii="Times New Roman" w:hAnsi="Times New Roman"/>
          <w:color w:val="000000"/>
        </w:rPr>
        <w:t xml:space="preserve">, as Martyn (1998: 23) states, her ‘star treatment’ in the </w:t>
      </w:r>
      <w:r>
        <w:rPr>
          <w:rFonts w:ascii="Times New Roman" w:hAnsi="Times New Roman"/>
          <w:i/>
          <w:color w:val="000000"/>
        </w:rPr>
        <w:t>Histories.</w:t>
      </w:r>
    </w:p>
    <w:p w:rsidR="00DE108D" w:rsidRDefault="008E65B0">
      <w:pPr>
        <w:spacing w:line="480" w:lineRule="auto"/>
        <w:jc w:val="both"/>
        <w:rPr>
          <w:rFonts w:ascii="Times New Roman" w:hAnsi="Times New Roman"/>
        </w:rPr>
      </w:pPr>
      <w:r>
        <w:rPr>
          <w:rFonts w:ascii="Times New Roman" w:hAnsi="Times New Roman"/>
          <w:color w:val="000000"/>
        </w:rPr>
        <w:t>She is first mentioned in 7.99. Herodotus has spent 7.97-98 listing admirals and notable men, but Artemisia has a paragraph all of her own. Like Tomyris, she is ruling Harlicarnassus aft</w:t>
      </w:r>
      <w:r>
        <w:rPr>
          <w:rFonts w:ascii="Times New Roman" w:hAnsi="Times New Roman"/>
          <w:color w:val="000000"/>
        </w:rPr>
        <w:t>er the death of her husband, even though she has a grown son. She has also volunteered to fight for Xerxes ‘on account of the masculine cast of her bravery’ (7.99.5), and has contributed five ships. Herodotus adds that there was no other squadron more este</w:t>
      </w:r>
      <w:r>
        <w:rPr>
          <w:rFonts w:ascii="Times New Roman" w:hAnsi="Times New Roman"/>
          <w:color w:val="000000"/>
        </w:rPr>
        <w:t>emed than hers, and no-one who gave Xerxes better advice.</w:t>
      </w:r>
    </w:p>
    <w:p w:rsidR="00DE108D" w:rsidRDefault="008E65B0">
      <w:pPr>
        <w:spacing w:line="480" w:lineRule="auto"/>
        <w:jc w:val="both"/>
        <w:rPr>
          <w:rFonts w:ascii="Times New Roman" w:hAnsi="Times New Roman"/>
          <w:color w:val="000000"/>
        </w:rPr>
      </w:pPr>
      <w:r>
        <w:rPr>
          <w:rFonts w:ascii="Times New Roman" w:hAnsi="Times New Roman"/>
          <w:color w:val="000000"/>
        </w:rPr>
        <w:t>This, then, sets up her character, which is introduced again before the battle of Salamis, giving advice to Xerxes (7.68-70). Like a woman in tragedy, she is eloquent in trying to persuade Xerxes no</w:t>
      </w:r>
      <w:r>
        <w:rPr>
          <w:rFonts w:ascii="Times New Roman" w:hAnsi="Times New Roman"/>
          <w:color w:val="000000"/>
        </w:rPr>
        <w:t>t to risk his fleet in battle, but to use them to support his land forces instead. In giving this advice, she is brave in that everyone expects her to be punished for her straightforward advice, as Antigone is sentenced to death after standing up to Creon,</w:t>
      </w:r>
      <w:r>
        <w:rPr>
          <w:rFonts w:ascii="Times New Roman" w:hAnsi="Times New Roman"/>
          <w:color w:val="000000"/>
        </w:rPr>
        <w:t xml:space="preserve"> but instead Xerxes is delighted with her advice, though, like the ‘tragic figure’ he is, he ignores it, putting him another step closer to his ‘tragic downfall’. In this way, Artemisia is also a ‘tragic warner’. Significantly, however, she is not in his p</w:t>
      </w:r>
      <w:r>
        <w:rPr>
          <w:rFonts w:ascii="Times New Roman" w:hAnsi="Times New Roman"/>
          <w:color w:val="000000"/>
        </w:rPr>
        <w:t>resence when she gives this speech: later, however, she will be part of his inner circle of advisors, on a par with his most trusted men.</w:t>
      </w:r>
    </w:p>
    <w:p w:rsidR="00DE108D" w:rsidRDefault="008E65B0">
      <w:pPr>
        <w:spacing w:line="480" w:lineRule="auto"/>
        <w:jc w:val="both"/>
        <w:rPr>
          <w:rFonts w:ascii="Times New Roman" w:hAnsi="Times New Roman"/>
          <w:color w:val="000000"/>
        </w:rPr>
      </w:pPr>
      <w:r>
        <w:rPr>
          <w:rFonts w:ascii="Times New Roman" w:hAnsi="Times New Roman"/>
          <w:color w:val="000000"/>
        </w:rPr>
        <w:t>Later, in the battle of Salamis, she boldly rams a ship fighting on her own side, in order to get away from an Athenia</w:t>
      </w:r>
      <w:r>
        <w:rPr>
          <w:rFonts w:ascii="Times New Roman" w:hAnsi="Times New Roman"/>
          <w:color w:val="000000"/>
        </w:rPr>
        <w:t xml:space="preserve">n ship that is in pursuit of her. This causes Xerxes, who hasn’t realised she has rammed one of his ships, to famously declare; ‘My men have become women, my women, men’ (8.87-88). As in Medea’s wish described earlier, she is standing in the front line of </w:t>
      </w:r>
      <w:r>
        <w:rPr>
          <w:rFonts w:ascii="Times New Roman" w:hAnsi="Times New Roman"/>
          <w:color w:val="000000"/>
        </w:rPr>
        <w:t>battle (though a naval one), and like Clytemnestra, she has ‘a lady’s male strength of heart’ (</w:t>
      </w:r>
      <w:r>
        <w:rPr>
          <w:rFonts w:ascii="Times New Roman" w:hAnsi="Times New Roman"/>
          <w:i/>
          <w:color w:val="000000"/>
        </w:rPr>
        <w:t>Aes. Ag.</w:t>
      </w:r>
      <w:r>
        <w:rPr>
          <w:rFonts w:ascii="Times New Roman" w:hAnsi="Times New Roman"/>
          <w:color w:val="000000"/>
        </w:rPr>
        <w:t xml:space="preserve"> 10-11). In fact, the Athenians think her behaviour so scandalous and un-feminine that they issue a huge reward of 10,000 drachmas to anyone who captures</w:t>
      </w:r>
      <w:r>
        <w:rPr>
          <w:rFonts w:ascii="Times New Roman" w:hAnsi="Times New Roman"/>
          <w:color w:val="000000"/>
        </w:rPr>
        <w:t xml:space="preserve"> her.</w:t>
      </w:r>
    </w:p>
    <w:p w:rsidR="00DE108D" w:rsidRDefault="008E65B0">
      <w:pPr>
        <w:spacing w:line="480" w:lineRule="auto"/>
        <w:jc w:val="both"/>
        <w:rPr>
          <w:rFonts w:ascii="Times New Roman" w:hAnsi="Times New Roman"/>
          <w:color w:val="000000"/>
        </w:rPr>
      </w:pPr>
      <w:r>
        <w:rPr>
          <w:rFonts w:ascii="Times New Roman" w:hAnsi="Times New Roman"/>
          <w:color w:val="000000"/>
        </w:rPr>
        <w:lastRenderedPageBreak/>
        <w:t>After the defeat at Salamis, it is here that Xerxes decided to send for Artemisia to hear her advice as well as the advice of his male advisors, the most prominent of whom is Mardonius (8.101-103). The advice she gives, which is to leave Greece and a</w:t>
      </w:r>
      <w:r>
        <w:rPr>
          <w:rFonts w:ascii="Times New Roman" w:hAnsi="Times New Roman"/>
          <w:color w:val="000000"/>
        </w:rPr>
        <w:t>llow Mardonius to remain to either win or lose without him, pleases Xerxes so much that he gives her the honour of escorting his children back to Ephesus.</w:t>
      </w:r>
    </w:p>
    <w:p w:rsidR="00DE108D" w:rsidRDefault="008E65B0">
      <w:pPr>
        <w:spacing w:line="480" w:lineRule="auto"/>
        <w:jc w:val="both"/>
        <w:rPr>
          <w:rFonts w:ascii="Times New Roman" w:hAnsi="Times New Roman"/>
          <w:color w:val="000000"/>
        </w:rPr>
      </w:pPr>
      <w:r>
        <w:rPr>
          <w:rFonts w:ascii="Times New Roman" w:hAnsi="Times New Roman"/>
          <w:color w:val="000000"/>
        </w:rPr>
        <w:t>Though Artemisia and Tomyris have many of the traits of a woman in Attic tragedy, it must be admitted</w:t>
      </w:r>
      <w:r>
        <w:rPr>
          <w:rFonts w:ascii="Times New Roman" w:hAnsi="Times New Roman"/>
          <w:color w:val="000000"/>
        </w:rPr>
        <w:t xml:space="preserve"> that both tragedy and the </w:t>
      </w:r>
      <w:r>
        <w:rPr>
          <w:rFonts w:ascii="Times New Roman" w:hAnsi="Times New Roman"/>
          <w:i/>
          <w:color w:val="000000"/>
        </w:rPr>
        <w:t>Histories</w:t>
      </w:r>
      <w:r>
        <w:rPr>
          <w:rFonts w:ascii="Times New Roman" w:hAnsi="Times New Roman"/>
          <w:color w:val="000000"/>
        </w:rPr>
        <w:t xml:space="preserve"> could both be drawing on stereotypes common in the Greek world, in that women who are visible, powerful and ruthless, as Clytemnestra, Antigone, Medea, Tomyris and Artemisia are shown to be, are unnatural and therefore </w:t>
      </w:r>
      <w:r>
        <w:rPr>
          <w:rFonts w:ascii="Times New Roman" w:hAnsi="Times New Roman"/>
          <w:color w:val="000000"/>
        </w:rPr>
        <w:t>not really women at all. Only men are supposed to behave in this way, and therefore Clytemnestra and Artemisia in particular are compared to men because of their behaviour.</w:t>
      </w:r>
    </w:p>
    <w:p w:rsidR="00DE108D" w:rsidRDefault="008E65B0">
      <w:pPr>
        <w:spacing w:line="480" w:lineRule="auto"/>
        <w:jc w:val="both"/>
        <w:rPr>
          <w:rFonts w:ascii="Times New Roman" w:hAnsi="Times New Roman"/>
          <w:color w:val="000000"/>
        </w:rPr>
      </w:pPr>
      <w:r>
        <w:rPr>
          <w:rFonts w:ascii="Times New Roman" w:hAnsi="Times New Roman"/>
          <w:color w:val="000000"/>
        </w:rPr>
        <w:t>Both Tomyris and Artemisa have grown up sons, and are ruling instead of them, somet</w:t>
      </w:r>
      <w:r>
        <w:rPr>
          <w:rFonts w:ascii="Times New Roman" w:hAnsi="Times New Roman"/>
          <w:color w:val="000000"/>
        </w:rPr>
        <w:t xml:space="preserve">hing that would not even have to be considered if they had both been male. However, like many of the women in the </w:t>
      </w:r>
      <w:r>
        <w:rPr>
          <w:rFonts w:ascii="Times New Roman" w:hAnsi="Times New Roman"/>
          <w:i/>
          <w:color w:val="000000"/>
        </w:rPr>
        <w:t>Histories</w:t>
      </w:r>
      <w:r>
        <w:rPr>
          <w:rFonts w:ascii="Times New Roman" w:hAnsi="Times New Roman"/>
          <w:color w:val="000000"/>
        </w:rPr>
        <w:t>, it could be said that they are protecting their position and their family, their o</w:t>
      </w:r>
      <w:r>
        <w:rPr>
          <w:rFonts w:ascii="Times New Roman" w:hAnsi="Times New Roman"/>
          <w:i/>
          <w:color w:val="000000"/>
        </w:rPr>
        <w:t>ikos</w:t>
      </w:r>
      <w:r>
        <w:rPr>
          <w:rFonts w:ascii="Times New Roman" w:hAnsi="Times New Roman"/>
          <w:color w:val="000000"/>
        </w:rPr>
        <w:t>. This is very much the duty of a woman in th</w:t>
      </w:r>
      <w:r>
        <w:rPr>
          <w:rFonts w:ascii="Times New Roman" w:hAnsi="Times New Roman"/>
          <w:color w:val="000000"/>
        </w:rPr>
        <w:t xml:space="preserve">e Greek-focused </w:t>
      </w:r>
      <w:r>
        <w:rPr>
          <w:rFonts w:ascii="Times New Roman" w:hAnsi="Times New Roman"/>
          <w:i/>
          <w:color w:val="000000"/>
        </w:rPr>
        <w:t>Histories</w:t>
      </w:r>
      <w:r>
        <w:rPr>
          <w:rFonts w:ascii="Times New Roman" w:hAnsi="Times New Roman"/>
          <w:color w:val="000000"/>
        </w:rPr>
        <w:t xml:space="preserve">. Amestris, in her cruelty to Masistes’ wife, could also be said to be doing the same thing, perceiving the threat from Masistes’ family. In Attic tragedy, even the most manly women is thinking of their </w:t>
      </w:r>
      <w:r>
        <w:rPr>
          <w:rFonts w:ascii="Times New Roman" w:hAnsi="Times New Roman"/>
          <w:i/>
          <w:color w:val="000000"/>
        </w:rPr>
        <w:t>oikos</w:t>
      </w:r>
      <w:r>
        <w:rPr>
          <w:rFonts w:ascii="Times New Roman" w:hAnsi="Times New Roman"/>
          <w:color w:val="000000"/>
        </w:rPr>
        <w:t>. Clytemnestra, in kill</w:t>
      </w:r>
      <w:r>
        <w:rPr>
          <w:rFonts w:ascii="Times New Roman" w:hAnsi="Times New Roman"/>
          <w:color w:val="000000"/>
        </w:rPr>
        <w:t>ing Agamemnon, is taking revenge, at least in part, for the sacrifice of her daughter Iphigenia, and tells the Chorus so numerous times (</w:t>
      </w:r>
      <w:r>
        <w:rPr>
          <w:rFonts w:ascii="Times New Roman" w:hAnsi="Times New Roman"/>
          <w:i/>
          <w:color w:val="000000"/>
        </w:rPr>
        <w:t>Aes. Ag.</w:t>
      </w:r>
      <w:r>
        <w:rPr>
          <w:rFonts w:ascii="Times New Roman" w:hAnsi="Times New Roman"/>
          <w:color w:val="000000"/>
        </w:rPr>
        <w:t xml:space="preserve"> 1417-8, 1432-3, 1525-6). She could also be described as protecting her new </w:t>
      </w:r>
      <w:r>
        <w:rPr>
          <w:rFonts w:ascii="Times New Roman" w:hAnsi="Times New Roman"/>
          <w:i/>
          <w:color w:val="000000"/>
        </w:rPr>
        <w:t>oikos</w:t>
      </w:r>
      <w:r>
        <w:rPr>
          <w:rFonts w:ascii="Times New Roman" w:hAnsi="Times New Roman"/>
          <w:color w:val="000000"/>
        </w:rPr>
        <w:t xml:space="preserve"> with Aegisthus. Phaedra commi</w:t>
      </w:r>
      <w:r>
        <w:rPr>
          <w:rFonts w:ascii="Times New Roman" w:hAnsi="Times New Roman"/>
          <w:color w:val="000000"/>
        </w:rPr>
        <w:t>ts suicide in Hippolytus to protect her family (</w:t>
      </w:r>
      <w:r>
        <w:rPr>
          <w:rFonts w:ascii="Times New Roman" w:hAnsi="Times New Roman"/>
          <w:i/>
          <w:color w:val="000000"/>
        </w:rPr>
        <w:t>Eur. Hipp.</w:t>
      </w:r>
      <w:r>
        <w:rPr>
          <w:rFonts w:ascii="Times New Roman" w:hAnsi="Times New Roman"/>
          <w:color w:val="000000"/>
        </w:rPr>
        <w:t xml:space="preserve"> 420-1), and Deianira poisons Heracles accidentally because she is afraid his love for Iole will turn him away from her and perhaps their children (</w:t>
      </w:r>
      <w:r>
        <w:rPr>
          <w:rFonts w:ascii="Times New Roman" w:hAnsi="Times New Roman"/>
          <w:i/>
          <w:color w:val="000000"/>
        </w:rPr>
        <w:t>Soph. Trach.</w:t>
      </w:r>
      <w:r>
        <w:rPr>
          <w:rFonts w:ascii="Times New Roman" w:hAnsi="Times New Roman"/>
          <w:color w:val="000000"/>
        </w:rPr>
        <w:t xml:space="preserve"> 543-551). Finally, Antigone is being </w:t>
      </w:r>
      <w:r>
        <w:rPr>
          <w:rFonts w:ascii="Times New Roman" w:hAnsi="Times New Roman"/>
          <w:color w:val="000000"/>
        </w:rPr>
        <w:t xml:space="preserve">loyal to her core </w:t>
      </w:r>
      <w:r>
        <w:rPr>
          <w:rFonts w:ascii="Times New Roman" w:hAnsi="Times New Roman"/>
          <w:i/>
          <w:color w:val="000000"/>
        </w:rPr>
        <w:t>oikos</w:t>
      </w:r>
      <w:r>
        <w:rPr>
          <w:rFonts w:ascii="Times New Roman" w:hAnsi="Times New Roman"/>
          <w:color w:val="000000"/>
        </w:rPr>
        <w:t xml:space="preserve"> in burying her brother Polyneices in defiance of her uncle Creon.</w:t>
      </w:r>
    </w:p>
    <w:p w:rsidR="00DE108D" w:rsidRDefault="008E65B0">
      <w:pPr>
        <w:spacing w:line="480" w:lineRule="auto"/>
        <w:jc w:val="both"/>
        <w:rPr>
          <w:rFonts w:ascii="Times New Roman" w:hAnsi="Times New Roman"/>
          <w:color w:val="000000"/>
        </w:rPr>
      </w:pPr>
      <w:r>
        <w:rPr>
          <w:rFonts w:ascii="Times New Roman" w:hAnsi="Times New Roman"/>
          <w:color w:val="000000"/>
        </w:rPr>
        <w:lastRenderedPageBreak/>
        <w:t xml:space="preserve">This leads to the most obvious parallel between the </w:t>
      </w:r>
      <w:r>
        <w:rPr>
          <w:rFonts w:ascii="Times New Roman" w:hAnsi="Times New Roman"/>
          <w:i/>
          <w:color w:val="000000"/>
        </w:rPr>
        <w:t>Histories</w:t>
      </w:r>
      <w:r>
        <w:rPr>
          <w:rFonts w:ascii="Times New Roman" w:hAnsi="Times New Roman"/>
          <w:color w:val="000000"/>
        </w:rPr>
        <w:t xml:space="preserve"> and Attic tragedy: the words of Intaphernes’ wife to Darius (3.118-119) and those of Antigone as she goes to her death (Soph. Ant. 903-912). In the </w:t>
      </w:r>
      <w:r>
        <w:rPr>
          <w:rFonts w:ascii="Times New Roman" w:hAnsi="Times New Roman"/>
          <w:i/>
          <w:color w:val="000000"/>
        </w:rPr>
        <w:t>Histories</w:t>
      </w:r>
      <w:r>
        <w:rPr>
          <w:rFonts w:ascii="Times New Roman" w:hAnsi="Times New Roman"/>
          <w:color w:val="000000"/>
        </w:rPr>
        <w:t>, Herodotus describes Intaphernes, who has been involved in a coup and has been arrested by Darius</w:t>
      </w:r>
      <w:r>
        <w:rPr>
          <w:rFonts w:ascii="Times New Roman" w:hAnsi="Times New Roman"/>
          <w:color w:val="000000"/>
        </w:rPr>
        <w:t>, along with all of his male kin. Darius intends to execute all of them. Intaphernes’ wife cries outside the doors of the palace every day, until Darius takes pity on her, and allows her to choose one life to save. To his surprise, she chooses her brother,</w:t>
      </w:r>
      <w:r>
        <w:rPr>
          <w:rFonts w:ascii="Times New Roman" w:hAnsi="Times New Roman"/>
          <w:color w:val="000000"/>
        </w:rPr>
        <w:t xml:space="preserve"> and when Darius asks why, she explains that she can always have another husband and more children, but with her parents dead, she can never have another brother. Darius, impressed by this, not only releases her brother, but her eldest son as well. Here, a</w:t>
      </w:r>
      <w:r w:rsidR="002D3F5B">
        <w:rPr>
          <w:rFonts w:ascii="Times New Roman" w:hAnsi="Times New Roman"/>
          <w:color w:val="000000"/>
        </w:rPr>
        <w:t>s Larson (2006:</w:t>
      </w:r>
      <w:r>
        <w:rPr>
          <w:rFonts w:ascii="Times New Roman" w:hAnsi="Times New Roman"/>
          <w:color w:val="000000"/>
        </w:rPr>
        <w:t xml:space="preserve"> 231) puts it, she has protected herself and her original </w:t>
      </w:r>
      <w:r>
        <w:rPr>
          <w:rFonts w:ascii="Times New Roman" w:hAnsi="Times New Roman"/>
          <w:i/>
          <w:color w:val="000000"/>
        </w:rPr>
        <w:t>oikos</w:t>
      </w:r>
      <w:r>
        <w:rPr>
          <w:rFonts w:ascii="Times New Roman" w:hAnsi="Times New Roman"/>
          <w:color w:val="000000"/>
        </w:rPr>
        <w:t xml:space="preserve">, and has also protected the continuity of her married </w:t>
      </w:r>
      <w:r>
        <w:rPr>
          <w:rFonts w:ascii="Times New Roman" w:hAnsi="Times New Roman"/>
          <w:i/>
          <w:color w:val="000000"/>
        </w:rPr>
        <w:t>oikos</w:t>
      </w:r>
      <w:r>
        <w:rPr>
          <w:rFonts w:ascii="Times New Roman" w:hAnsi="Times New Roman"/>
          <w:color w:val="000000"/>
        </w:rPr>
        <w:t xml:space="preserve"> almost as a side-effect.</w:t>
      </w:r>
    </w:p>
    <w:p w:rsidR="00DE108D" w:rsidRDefault="008E65B0">
      <w:pPr>
        <w:spacing w:line="480" w:lineRule="auto"/>
        <w:jc w:val="both"/>
        <w:rPr>
          <w:rFonts w:ascii="Times New Roman" w:hAnsi="Times New Roman"/>
        </w:rPr>
      </w:pPr>
      <w:r>
        <w:rPr>
          <w:rFonts w:ascii="Times New Roman" w:hAnsi="Times New Roman"/>
          <w:color w:val="000000"/>
        </w:rPr>
        <w:t>Antigone gives a similar reason for wanting to bury her brother, saying almost exactly the s</w:t>
      </w:r>
      <w:r>
        <w:rPr>
          <w:rFonts w:ascii="Times New Roman" w:hAnsi="Times New Roman"/>
          <w:color w:val="000000"/>
        </w:rPr>
        <w:t xml:space="preserve">ame thing, that she would not have done it for a husband or a child, but with both parents dead, she will never have another brother. While this makes sense for </w:t>
      </w:r>
      <w:r>
        <w:rPr>
          <w:rFonts w:ascii="Times New Roman" w:hAnsi="Times New Roman"/>
          <w:i/>
          <w:color w:val="000000"/>
        </w:rPr>
        <w:t>saving</w:t>
      </w:r>
      <w:r>
        <w:rPr>
          <w:rFonts w:ascii="Times New Roman" w:hAnsi="Times New Roman"/>
          <w:color w:val="000000"/>
        </w:rPr>
        <w:t xml:space="preserve"> a brother, it does not make sense for </w:t>
      </w:r>
      <w:r>
        <w:rPr>
          <w:rFonts w:ascii="Times New Roman" w:hAnsi="Times New Roman"/>
          <w:i/>
          <w:color w:val="000000"/>
        </w:rPr>
        <w:t>burying</w:t>
      </w:r>
      <w:r>
        <w:rPr>
          <w:rFonts w:ascii="Times New Roman" w:hAnsi="Times New Roman"/>
          <w:color w:val="000000"/>
        </w:rPr>
        <w:t xml:space="preserve"> one, and therefore causing her own death. </w:t>
      </w:r>
      <w:r>
        <w:rPr>
          <w:rFonts w:ascii="Times New Roman" w:hAnsi="Times New Roman"/>
          <w:color w:val="000000"/>
        </w:rPr>
        <w:t>However, it is a clear tribute to Herodotus by Sophocles, and further evidence of Sophocles’ admiration for the historian. So while in many places, it is Herodotus who draws on tragedy (and even Intaphernes’ wife shows features of a woman in tragedy, for e</w:t>
      </w:r>
      <w:r>
        <w:rPr>
          <w:rFonts w:ascii="Times New Roman" w:hAnsi="Times New Roman"/>
          <w:color w:val="000000"/>
        </w:rPr>
        <w:t xml:space="preserve">xample, in her eloquence), it is clear that in this instance, tragedy is drawing on the </w:t>
      </w:r>
      <w:r>
        <w:rPr>
          <w:rFonts w:ascii="Times New Roman" w:hAnsi="Times New Roman"/>
          <w:i/>
          <w:color w:val="000000"/>
        </w:rPr>
        <w:t>Histories</w:t>
      </w:r>
      <w:r>
        <w:rPr>
          <w:rFonts w:ascii="Times New Roman" w:hAnsi="Times New Roman"/>
          <w:color w:val="000000"/>
        </w:rPr>
        <w:t>.</w:t>
      </w:r>
    </w:p>
    <w:p w:rsidR="00DE108D" w:rsidRDefault="008E65B0">
      <w:pPr>
        <w:spacing w:line="480" w:lineRule="auto"/>
        <w:jc w:val="both"/>
        <w:rPr>
          <w:rFonts w:ascii="Times New Roman" w:hAnsi="Times New Roman"/>
        </w:rPr>
      </w:pPr>
      <w:r>
        <w:rPr>
          <w:rFonts w:ascii="Times New Roman" w:hAnsi="Times New Roman"/>
          <w:color w:val="000000"/>
        </w:rPr>
        <w:t xml:space="preserve">Last to be considered the </w:t>
      </w:r>
      <w:r>
        <w:rPr>
          <w:rFonts w:ascii="Times New Roman" w:hAnsi="Times New Roman"/>
          <w:i/>
          <w:color w:val="000000"/>
        </w:rPr>
        <w:t>Histories</w:t>
      </w:r>
      <w:r>
        <w:rPr>
          <w:rFonts w:ascii="Times New Roman" w:hAnsi="Times New Roman"/>
          <w:color w:val="000000"/>
        </w:rPr>
        <w:t xml:space="preserve"> relationship with Aeschylus’ </w:t>
      </w:r>
      <w:r>
        <w:rPr>
          <w:rFonts w:ascii="Times New Roman" w:hAnsi="Times New Roman"/>
          <w:i/>
          <w:color w:val="000000"/>
        </w:rPr>
        <w:t>Persians.</w:t>
      </w:r>
      <w:r>
        <w:rPr>
          <w:rFonts w:ascii="Times New Roman" w:hAnsi="Times New Roman"/>
          <w:color w:val="000000"/>
        </w:rPr>
        <w:t xml:space="preserve"> Obviously, there is an overlap here, in the recounting of the battle of Salamis, a</w:t>
      </w:r>
      <w:r>
        <w:rPr>
          <w:rFonts w:ascii="Times New Roman" w:hAnsi="Times New Roman"/>
          <w:color w:val="000000"/>
        </w:rPr>
        <w:t xml:space="preserve">nd the characters of Xerxes, Atossa, and Darius, who appears in the </w:t>
      </w:r>
      <w:r>
        <w:rPr>
          <w:rFonts w:ascii="Times New Roman" w:hAnsi="Times New Roman"/>
          <w:i/>
          <w:color w:val="000000"/>
        </w:rPr>
        <w:t xml:space="preserve">Histories </w:t>
      </w:r>
      <w:r>
        <w:rPr>
          <w:rFonts w:ascii="Times New Roman" w:hAnsi="Times New Roman"/>
          <w:color w:val="000000"/>
        </w:rPr>
        <w:t xml:space="preserve">as a living king, but as a ghost in the </w:t>
      </w:r>
      <w:r>
        <w:rPr>
          <w:rFonts w:ascii="Times New Roman" w:hAnsi="Times New Roman"/>
          <w:i/>
          <w:color w:val="000000"/>
        </w:rPr>
        <w:t>Persians.</w:t>
      </w:r>
      <w:r>
        <w:rPr>
          <w:rFonts w:ascii="Times New Roman" w:hAnsi="Times New Roman"/>
          <w:color w:val="000000"/>
        </w:rPr>
        <w:t xml:space="preserve"> Scholars such as Said (2002) and Dominick (2007) have identified a range of areas where Herodotus has used the </w:t>
      </w:r>
      <w:r>
        <w:rPr>
          <w:rFonts w:ascii="Times New Roman" w:hAnsi="Times New Roman"/>
          <w:i/>
          <w:color w:val="000000"/>
        </w:rPr>
        <w:t xml:space="preserve">Persians, </w:t>
      </w:r>
      <w:r>
        <w:rPr>
          <w:rFonts w:ascii="Times New Roman" w:hAnsi="Times New Roman"/>
          <w:color w:val="000000"/>
        </w:rPr>
        <w:t>althoug</w:t>
      </w:r>
      <w:r>
        <w:rPr>
          <w:rFonts w:ascii="Times New Roman" w:hAnsi="Times New Roman"/>
          <w:color w:val="000000"/>
        </w:rPr>
        <w:t>h sometimes these are in unexpecte</w:t>
      </w:r>
      <w:r w:rsidR="002D3F5B">
        <w:rPr>
          <w:rFonts w:ascii="Times New Roman" w:hAnsi="Times New Roman"/>
          <w:color w:val="000000"/>
        </w:rPr>
        <w:t>d ways. For example, Said (2002:</w:t>
      </w:r>
      <w:r>
        <w:rPr>
          <w:rFonts w:ascii="Times New Roman" w:hAnsi="Times New Roman"/>
          <w:color w:val="000000"/>
        </w:rPr>
        <w:t xml:space="preserve"> 138) describes how in the </w:t>
      </w:r>
      <w:r>
        <w:rPr>
          <w:rFonts w:ascii="Times New Roman" w:hAnsi="Times New Roman"/>
          <w:i/>
          <w:color w:val="000000"/>
        </w:rPr>
        <w:t>Persians</w:t>
      </w:r>
      <w:r>
        <w:rPr>
          <w:rFonts w:ascii="Times New Roman" w:hAnsi="Times New Roman"/>
          <w:color w:val="000000"/>
        </w:rPr>
        <w:t xml:space="preserve"> the ghost of Darius asks the Chorus </w:t>
      </w:r>
      <w:r>
        <w:rPr>
          <w:rFonts w:ascii="Times New Roman" w:hAnsi="Times New Roman"/>
          <w:color w:val="000000"/>
        </w:rPr>
        <w:lastRenderedPageBreak/>
        <w:t>to remember the victory of the Athenians, so they will not send another expedition (</w:t>
      </w:r>
      <w:r>
        <w:rPr>
          <w:rFonts w:ascii="Times New Roman" w:hAnsi="Times New Roman"/>
          <w:i/>
          <w:color w:val="000000"/>
        </w:rPr>
        <w:t xml:space="preserve">Aes. Per. </w:t>
      </w:r>
      <w:r>
        <w:rPr>
          <w:rFonts w:ascii="Times New Roman" w:hAnsi="Times New Roman"/>
          <w:color w:val="000000"/>
        </w:rPr>
        <w:t xml:space="preserve">824-7). Herodotus takes </w:t>
      </w:r>
      <w:r>
        <w:rPr>
          <w:rFonts w:ascii="Times New Roman" w:hAnsi="Times New Roman"/>
          <w:color w:val="000000"/>
        </w:rPr>
        <w:t xml:space="preserve">this, and turns in into the slave who is ordered to repeat </w:t>
      </w:r>
      <w:r w:rsidR="002D3F5B">
        <w:rPr>
          <w:rFonts w:ascii="Times New Roman" w:hAnsi="Times New Roman"/>
          <w:color w:val="000000"/>
        </w:rPr>
        <w:t xml:space="preserve">it </w:t>
      </w:r>
      <w:r>
        <w:rPr>
          <w:rFonts w:ascii="Times New Roman" w:hAnsi="Times New Roman"/>
          <w:color w:val="000000"/>
        </w:rPr>
        <w:t>to him three times at every meal, ‘Master, remember the Athenians,’ so he will not fail to take his revenge on them for the sack of S</w:t>
      </w:r>
      <w:r w:rsidR="002D3F5B">
        <w:rPr>
          <w:rFonts w:ascii="Times New Roman" w:hAnsi="Times New Roman"/>
          <w:color w:val="000000"/>
        </w:rPr>
        <w:t>ardis (5.105, 6.94). Said (2002:</w:t>
      </w:r>
      <w:r>
        <w:rPr>
          <w:rFonts w:ascii="Times New Roman" w:hAnsi="Times New Roman"/>
          <w:color w:val="000000"/>
        </w:rPr>
        <w:t xml:space="preserve"> 138) also points out that the g</w:t>
      </w:r>
      <w:r>
        <w:rPr>
          <w:rFonts w:ascii="Times New Roman" w:hAnsi="Times New Roman"/>
          <w:color w:val="000000"/>
        </w:rPr>
        <w:t>rief of the Persians at the end of the play, taking place at the arrival of Xerxes (</w:t>
      </w:r>
      <w:r>
        <w:rPr>
          <w:rFonts w:ascii="Times New Roman" w:hAnsi="Times New Roman"/>
          <w:i/>
          <w:color w:val="000000"/>
        </w:rPr>
        <w:t xml:space="preserve">Aes. Per. </w:t>
      </w:r>
      <w:r>
        <w:rPr>
          <w:rFonts w:ascii="Times New Roman" w:hAnsi="Times New Roman"/>
          <w:color w:val="000000"/>
        </w:rPr>
        <w:t xml:space="preserve">909), has been shifted to before the kings arrival in the </w:t>
      </w:r>
      <w:r>
        <w:rPr>
          <w:rFonts w:ascii="Times New Roman" w:hAnsi="Times New Roman"/>
          <w:i/>
          <w:color w:val="000000"/>
        </w:rPr>
        <w:t xml:space="preserve">Histories </w:t>
      </w:r>
      <w:r>
        <w:rPr>
          <w:rFonts w:ascii="Times New Roman" w:hAnsi="Times New Roman"/>
          <w:color w:val="000000"/>
        </w:rPr>
        <w:t>(8.99), though, she says, the latter clearly derives from the former. Xerxes arrival at the He</w:t>
      </w:r>
      <w:r>
        <w:rPr>
          <w:rFonts w:ascii="Times New Roman" w:hAnsi="Times New Roman"/>
          <w:color w:val="000000"/>
        </w:rPr>
        <w:t>llespont with barely any of his army (8.115) also seems to mirror those scene.</w:t>
      </w:r>
    </w:p>
    <w:p w:rsidR="00DE108D" w:rsidRDefault="008E65B0">
      <w:pPr>
        <w:spacing w:line="480" w:lineRule="auto"/>
        <w:jc w:val="both"/>
        <w:rPr>
          <w:rFonts w:ascii="Times New Roman" w:hAnsi="Times New Roman"/>
        </w:rPr>
      </w:pPr>
      <w:r>
        <w:rPr>
          <w:rFonts w:ascii="Times New Roman" w:hAnsi="Times New Roman"/>
          <w:color w:val="000000"/>
        </w:rPr>
        <w:t xml:space="preserve">Further, Xerxes in the </w:t>
      </w:r>
      <w:r>
        <w:rPr>
          <w:rFonts w:ascii="Times New Roman" w:hAnsi="Times New Roman"/>
          <w:i/>
          <w:color w:val="000000"/>
        </w:rPr>
        <w:t>Histories</w:t>
      </w:r>
      <w:r>
        <w:rPr>
          <w:rFonts w:ascii="Times New Roman" w:hAnsi="Times New Roman"/>
          <w:color w:val="000000"/>
        </w:rPr>
        <w:t xml:space="preserve"> is very much cast in the mould of the tragic figure that he appears as in the </w:t>
      </w:r>
      <w:r>
        <w:rPr>
          <w:rFonts w:ascii="Times New Roman" w:hAnsi="Times New Roman"/>
          <w:i/>
          <w:color w:val="000000"/>
        </w:rPr>
        <w:t>Persians.</w:t>
      </w:r>
      <w:r>
        <w:rPr>
          <w:rFonts w:ascii="Times New Roman" w:hAnsi="Times New Roman"/>
          <w:color w:val="000000"/>
        </w:rPr>
        <w:t xml:space="preserve"> Though Xerxes does not appear until the dying stages of </w:t>
      </w:r>
      <w:r>
        <w:rPr>
          <w:rFonts w:ascii="Times New Roman" w:hAnsi="Times New Roman"/>
          <w:color w:val="000000"/>
        </w:rPr>
        <w:t>the play, he has been fully expected to win by those he has left at home, as well as those with him. The Herald tells the Queen; ‘Had numbers counted, the barbarian warships surely should have won’ (</w:t>
      </w:r>
      <w:r>
        <w:rPr>
          <w:rFonts w:ascii="Times New Roman" w:hAnsi="Times New Roman"/>
          <w:i/>
          <w:color w:val="000000"/>
        </w:rPr>
        <w:t xml:space="preserve">Aes. Per. </w:t>
      </w:r>
      <w:r>
        <w:rPr>
          <w:rFonts w:ascii="Times New Roman" w:hAnsi="Times New Roman"/>
          <w:color w:val="000000"/>
        </w:rPr>
        <w:t>338-9), but they are defeated, and the extent o</w:t>
      </w:r>
      <w:r>
        <w:rPr>
          <w:rFonts w:ascii="Times New Roman" w:hAnsi="Times New Roman"/>
          <w:color w:val="000000"/>
        </w:rPr>
        <w:t xml:space="preserve">f Xerxes’ reversal is apparent at the end of the play. Similarly, Herodotus in Book Seven (7.60-99) outlines all the troops Xerxes had available to him, in a way reminiscent of Book Two of the Iliad; only a remnant survive to return later. Contributing to </w:t>
      </w:r>
      <w:r>
        <w:rPr>
          <w:rFonts w:ascii="Times New Roman" w:hAnsi="Times New Roman"/>
          <w:color w:val="000000"/>
        </w:rPr>
        <w:t>his fall was his impiety in burning the Acropolis, which the ghost of Darius also condemns in the Persians (</w:t>
      </w:r>
      <w:r>
        <w:rPr>
          <w:rFonts w:ascii="Times New Roman" w:hAnsi="Times New Roman"/>
          <w:i/>
          <w:color w:val="000000"/>
        </w:rPr>
        <w:t xml:space="preserve">Aes. Per. </w:t>
      </w:r>
      <w:r>
        <w:rPr>
          <w:rFonts w:ascii="Times New Roman" w:hAnsi="Times New Roman"/>
          <w:color w:val="000000"/>
        </w:rPr>
        <w:t>809-12).</w:t>
      </w:r>
    </w:p>
    <w:p w:rsidR="00DE108D" w:rsidRDefault="008E65B0">
      <w:pPr>
        <w:spacing w:line="480" w:lineRule="auto"/>
        <w:jc w:val="both"/>
        <w:rPr>
          <w:rFonts w:ascii="Times New Roman" w:hAnsi="Times New Roman"/>
        </w:rPr>
      </w:pPr>
      <w:r>
        <w:rPr>
          <w:rFonts w:ascii="Times New Roman" w:hAnsi="Times New Roman"/>
          <w:color w:val="000000"/>
        </w:rPr>
        <w:t xml:space="preserve">Like Oedipus and Clytemnestra, oracles and omens are also received by characters in the </w:t>
      </w:r>
      <w:r>
        <w:rPr>
          <w:rFonts w:ascii="Times New Roman" w:hAnsi="Times New Roman"/>
          <w:i/>
          <w:color w:val="000000"/>
        </w:rPr>
        <w:t xml:space="preserve">Persians, </w:t>
      </w:r>
      <w:r>
        <w:rPr>
          <w:rFonts w:ascii="Times New Roman" w:hAnsi="Times New Roman"/>
          <w:color w:val="000000"/>
        </w:rPr>
        <w:t>indicating the outcome of the w</w:t>
      </w:r>
      <w:r>
        <w:rPr>
          <w:rFonts w:ascii="Times New Roman" w:hAnsi="Times New Roman"/>
          <w:color w:val="000000"/>
        </w:rPr>
        <w:t>ar will be dire. Atossa receives a dream where Xerxes is trying to yoke two women to a chariot: the woman representing Persia is obedient, while the other, representing Greece, smashes the car. This is directly followed by an omen of an eagle fleeing while</w:t>
      </w:r>
      <w:r>
        <w:rPr>
          <w:rFonts w:ascii="Times New Roman" w:hAnsi="Times New Roman"/>
          <w:color w:val="000000"/>
        </w:rPr>
        <w:t xml:space="preserve"> a smaller falcon dives at its head (</w:t>
      </w:r>
      <w:r>
        <w:rPr>
          <w:rFonts w:ascii="Times New Roman" w:hAnsi="Times New Roman"/>
          <w:i/>
          <w:color w:val="000000"/>
        </w:rPr>
        <w:t xml:space="preserve">Aes. Per. </w:t>
      </w:r>
      <w:r>
        <w:rPr>
          <w:rFonts w:ascii="Times New Roman" w:hAnsi="Times New Roman"/>
          <w:color w:val="000000"/>
        </w:rPr>
        <w:t>176-211). Later, Darius describes an oracle that he believes is now coming true, though he does not give details of what it said (</w:t>
      </w:r>
      <w:r>
        <w:rPr>
          <w:rFonts w:ascii="Times New Roman" w:hAnsi="Times New Roman"/>
          <w:i/>
          <w:color w:val="000000"/>
        </w:rPr>
        <w:t xml:space="preserve">Aes. Per. </w:t>
      </w:r>
      <w:r>
        <w:rPr>
          <w:rFonts w:ascii="Times New Roman" w:hAnsi="Times New Roman"/>
          <w:color w:val="000000"/>
        </w:rPr>
        <w:t xml:space="preserve">739-41). Similarly, the </w:t>
      </w:r>
      <w:r>
        <w:rPr>
          <w:rFonts w:ascii="Times New Roman" w:hAnsi="Times New Roman"/>
          <w:i/>
          <w:color w:val="000000"/>
        </w:rPr>
        <w:t xml:space="preserve">Histories </w:t>
      </w:r>
      <w:r>
        <w:rPr>
          <w:rFonts w:ascii="Times New Roman" w:hAnsi="Times New Roman"/>
          <w:color w:val="000000"/>
        </w:rPr>
        <w:t>is full of dreams and omens that in</w:t>
      </w:r>
      <w:r>
        <w:rPr>
          <w:rFonts w:ascii="Times New Roman" w:hAnsi="Times New Roman"/>
          <w:color w:val="000000"/>
        </w:rPr>
        <w:t xml:space="preserve">dicate matters will not </w:t>
      </w:r>
      <w:r>
        <w:rPr>
          <w:rFonts w:ascii="Times New Roman" w:hAnsi="Times New Roman"/>
          <w:color w:val="000000"/>
        </w:rPr>
        <w:lastRenderedPageBreak/>
        <w:t>go t</w:t>
      </w:r>
      <w:r w:rsidR="002D3F5B">
        <w:rPr>
          <w:rFonts w:ascii="Times New Roman" w:hAnsi="Times New Roman"/>
          <w:color w:val="000000"/>
        </w:rPr>
        <w:t>he Persians way, and Said (2002:</w:t>
      </w:r>
      <w:r>
        <w:rPr>
          <w:rFonts w:ascii="Times New Roman" w:hAnsi="Times New Roman"/>
          <w:color w:val="000000"/>
        </w:rPr>
        <w:t xml:space="preserve"> 139) also sees Artabanus, Xerxes advisor who predicts the disaster, as a parallel to the dreams and portents in the </w:t>
      </w:r>
      <w:r>
        <w:rPr>
          <w:rFonts w:ascii="Times New Roman" w:hAnsi="Times New Roman"/>
          <w:i/>
          <w:color w:val="000000"/>
        </w:rPr>
        <w:t>Persians.</w:t>
      </w:r>
    </w:p>
    <w:p w:rsidR="00DE108D" w:rsidRDefault="008E65B0">
      <w:pPr>
        <w:spacing w:line="480" w:lineRule="auto"/>
        <w:jc w:val="both"/>
        <w:rPr>
          <w:rFonts w:ascii="Times New Roman" w:hAnsi="Times New Roman"/>
        </w:rPr>
      </w:pPr>
      <w:r>
        <w:rPr>
          <w:rFonts w:ascii="Times New Roman" w:hAnsi="Times New Roman"/>
          <w:color w:val="000000"/>
        </w:rPr>
        <w:t xml:space="preserve">With regard to Atossa herself, there is not much in the </w:t>
      </w:r>
      <w:r>
        <w:rPr>
          <w:rFonts w:ascii="Times New Roman" w:hAnsi="Times New Roman"/>
          <w:i/>
          <w:color w:val="000000"/>
        </w:rPr>
        <w:t>Histories</w:t>
      </w:r>
      <w:r>
        <w:rPr>
          <w:rFonts w:ascii="Times New Roman" w:hAnsi="Times New Roman"/>
          <w:color w:val="000000"/>
        </w:rPr>
        <w:t xml:space="preserve"> to </w:t>
      </w:r>
      <w:r>
        <w:rPr>
          <w:rFonts w:ascii="Times New Roman" w:hAnsi="Times New Roman"/>
          <w:color w:val="000000"/>
        </w:rPr>
        <w:t xml:space="preserve">indicate that she has been directly inspired by her character in the </w:t>
      </w:r>
      <w:r>
        <w:rPr>
          <w:rFonts w:ascii="Times New Roman" w:hAnsi="Times New Roman"/>
          <w:i/>
          <w:color w:val="000000"/>
        </w:rPr>
        <w:t>Persians</w:t>
      </w:r>
      <w:r>
        <w:rPr>
          <w:rFonts w:ascii="Times New Roman" w:hAnsi="Times New Roman"/>
          <w:color w:val="000000"/>
        </w:rPr>
        <w:t xml:space="preserve">. In the </w:t>
      </w:r>
      <w:r>
        <w:rPr>
          <w:rFonts w:ascii="Times New Roman" w:hAnsi="Times New Roman"/>
          <w:i/>
          <w:color w:val="000000"/>
        </w:rPr>
        <w:t>Histories</w:t>
      </w:r>
      <w:r>
        <w:rPr>
          <w:rFonts w:ascii="Times New Roman" w:hAnsi="Times New Roman"/>
          <w:color w:val="000000"/>
        </w:rPr>
        <w:t>, after a growth on her breast forces her to seek treatment, her Greek doctor Democedes asks that in return she does him a favour, to persuade Darius to invade G</w:t>
      </w:r>
      <w:r>
        <w:rPr>
          <w:rFonts w:ascii="Times New Roman" w:hAnsi="Times New Roman"/>
          <w:color w:val="000000"/>
        </w:rPr>
        <w:t xml:space="preserve">reece. Through pillow talk, she manipulates him into doing so, suggesting that he would prove himself a real man if he does this, and will make his people more confident in him, while she wants Greek handmaids from the expedition. Aside from the fact that </w:t>
      </w:r>
      <w:r>
        <w:rPr>
          <w:rFonts w:ascii="Times New Roman" w:hAnsi="Times New Roman"/>
          <w:color w:val="000000"/>
        </w:rPr>
        <w:t>she herself has been manipulated into doing this, she demonstrates skills worthy of Clytemnestra or Medea, influencing Darius and directing his actions, while simultaneously appearing feminine, using feminine agency in ‘pillow talk,’ and suggesting feminin</w:t>
      </w:r>
      <w:r>
        <w:rPr>
          <w:rFonts w:ascii="Times New Roman" w:hAnsi="Times New Roman"/>
          <w:color w:val="000000"/>
        </w:rPr>
        <w:t>e reasons for wanting him to invade Greece in the desire for exotic handmaids.</w:t>
      </w:r>
    </w:p>
    <w:p w:rsidR="00DE108D" w:rsidRDefault="008E65B0">
      <w:pPr>
        <w:spacing w:line="480" w:lineRule="auto"/>
        <w:jc w:val="both"/>
        <w:rPr>
          <w:rFonts w:ascii="Times New Roman" w:hAnsi="Times New Roman"/>
        </w:rPr>
      </w:pPr>
      <w:r>
        <w:rPr>
          <w:rFonts w:ascii="Times New Roman" w:hAnsi="Times New Roman"/>
          <w:color w:val="000000"/>
        </w:rPr>
        <w:t xml:space="preserve">Her only other appearance in the </w:t>
      </w:r>
      <w:r>
        <w:rPr>
          <w:rFonts w:ascii="Times New Roman" w:hAnsi="Times New Roman"/>
          <w:i/>
          <w:color w:val="000000"/>
        </w:rPr>
        <w:t>Histories</w:t>
      </w:r>
      <w:r>
        <w:rPr>
          <w:rFonts w:ascii="Times New Roman" w:hAnsi="Times New Roman"/>
          <w:color w:val="000000"/>
        </w:rPr>
        <w:t xml:space="preserve"> comes in Book Seven (7.3), where Darius designates his and Atossa’s son Xerxes as Crown Prince. Herodotus adds that Xerxes would have </w:t>
      </w:r>
      <w:r>
        <w:rPr>
          <w:rFonts w:ascii="Times New Roman" w:hAnsi="Times New Roman"/>
          <w:color w:val="000000"/>
        </w:rPr>
        <w:t>had the throne anyway, as ‘there was no limit to the influence wiel</w:t>
      </w:r>
      <w:r w:rsidR="002D3F5B">
        <w:rPr>
          <w:rFonts w:ascii="Times New Roman" w:hAnsi="Times New Roman"/>
          <w:color w:val="000000"/>
        </w:rPr>
        <w:t xml:space="preserve">ded by </w:t>
      </w:r>
      <w:proofErr w:type="spellStart"/>
      <w:r w:rsidR="002D3F5B">
        <w:rPr>
          <w:rFonts w:ascii="Times New Roman" w:hAnsi="Times New Roman"/>
          <w:color w:val="000000"/>
        </w:rPr>
        <w:t>Atossa</w:t>
      </w:r>
      <w:proofErr w:type="spellEnd"/>
      <w:r w:rsidR="002D3F5B">
        <w:rPr>
          <w:rFonts w:ascii="Times New Roman" w:hAnsi="Times New Roman"/>
          <w:color w:val="000000"/>
        </w:rPr>
        <w:t xml:space="preserve">.’ Dominick (2007: </w:t>
      </w:r>
      <w:r>
        <w:rPr>
          <w:rFonts w:ascii="Times New Roman" w:hAnsi="Times New Roman"/>
          <w:color w:val="000000"/>
        </w:rPr>
        <w:t xml:space="preserve">435) indicates that no other women in the </w:t>
      </w:r>
      <w:r>
        <w:rPr>
          <w:rFonts w:ascii="Times New Roman" w:hAnsi="Times New Roman"/>
          <w:i/>
          <w:color w:val="000000"/>
        </w:rPr>
        <w:t>Histories</w:t>
      </w:r>
      <w:r>
        <w:rPr>
          <w:rFonts w:ascii="Times New Roman" w:hAnsi="Times New Roman"/>
          <w:color w:val="000000"/>
        </w:rPr>
        <w:t xml:space="preserve"> is described in this way, and demonstrates how powerful she is, like another Clytemnestra, although it al</w:t>
      </w:r>
      <w:r>
        <w:rPr>
          <w:rFonts w:ascii="Times New Roman" w:hAnsi="Times New Roman"/>
          <w:color w:val="000000"/>
        </w:rPr>
        <w:t>so indicates her difference from ordinary Greek women, that she is acknowledged to hold such power.</w:t>
      </w:r>
    </w:p>
    <w:p w:rsidR="00DE108D" w:rsidRDefault="008E65B0">
      <w:pPr>
        <w:spacing w:line="480" w:lineRule="auto"/>
        <w:jc w:val="both"/>
        <w:rPr>
          <w:rFonts w:ascii="Times New Roman" w:hAnsi="Times New Roman"/>
        </w:rPr>
      </w:pPr>
      <w:r>
        <w:rPr>
          <w:rFonts w:ascii="Times New Roman" w:hAnsi="Times New Roman"/>
          <w:color w:val="000000"/>
        </w:rPr>
        <w:t xml:space="preserve">In the </w:t>
      </w:r>
      <w:r>
        <w:rPr>
          <w:rFonts w:ascii="Times New Roman" w:hAnsi="Times New Roman"/>
          <w:i/>
          <w:color w:val="000000"/>
        </w:rPr>
        <w:t>Persians</w:t>
      </w:r>
      <w:r>
        <w:rPr>
          <w:rFonts w:ascii="Times New Roman" w:hAnsi="Times New Roman"/>
          <w:color w:val="000000"/>
        </w:rPr>
        <w:t>, Atossa is also portrayed as powerful, as the Chorus, like that in the Agamemnon, defer to their Queen, here describing her as ‘the most maj</w:t>
      </w:r>
      <w:r>
        <w:rPr>
          <w:rFonts w:ascii="Times New Roman" w:hAnsi="Times New Roman"/>
          <w:color w:val="000000"/>
        </w:rPr>
        <w:t>estic Queen of the Persians’ (</w:t>
      </w:r>
      <w:r>
        <w:rPr>
          <w:rFonts w:ascii="Times New Roman" w:hAnsi="Times New Roman"/>
          <w:i/>
          <w:color w:val="000000"/>
        </w:rPr>
        <w:t xml:space="preserve">Aes. Per. </w:t>
      </w:r>
      <w:r>
        <w:rPr>
          <w:rFonts w:ascii="Times New Roman" w:hAnsi="Times New Roman"/>
          <w:color w:val="000000"/>
        </w:rPr>
        <w:t>155) and mother and wife of a god (</w:t>
      </w:r>
      <w:r>
        <w:rPr>
          <w:rFonts w:ascii="Times New Roman" w:hAnsi="Times New Roman"/>
          <w:i/>
          <w:color w:val="000000"/>
        </w:rPr>
        <w:t xml:space="preserve">Aes. Per. </w:t>
      </w:r>
      <w:r>
        <w:rPr>
          <w:rFonts w:ascii="Times New Roman" w:hAnsi="Times New Roman"/>
          <w:color w:val="000000"/>
        </w:rPr>
        <w:t>157). However, throughout the play she appears ignorant, not knowing anything about Greece or Athens in particular (</w:t>
      </w:r>
      <w:r>
        <w:rPr>
          <w:rFonts w:ascii="Times New Roman" w:hAnsi="Times New Roman"/>
          <w:i/>
          <w:color w:val="000000"/>
        </w:rPr>
        <w:t xml:space="preserve">Aes. Per. </w:t>
      </w:r>
      <w:r>
        <w:rPr>
          <w:rFonts w:ascii="Times New Roman" w:hAnsi="Times New Roman"/>
          <w:color w:val="000000"/>
        </w:rPr>
        <w:t>231-46). She is also overly concerned with we</w:t>
      </w:r>
      <w:r>
        <w:rPr>
          <w:rFonts w:ascii="Times New Roman" w:hAnsi="Times New Roman"/>
          <w:color w:val="000000"/>
        </w:rPr>
        <w:t>alth (</w:t>
      </w:r>
      <w:r>
        <w:rPr>
          <w:rFonts w:ascii="Times New Roman" w:hAnsi="Times New Roman"/>
          <w:i/>
          <w:color w:val="000000"/>
        </w:rPr>
        <w:t xml:space="preserve">Aes. Per. </w:t>
      </w:r>
      <w:r>
        <w:rPr>
          <w:rFonts w:ascii="Times New Roman" w:hAnsi="Times New Roman"/>
          <w:color w:val="000000"/>
        </w:rPr>
        <w:t>159-61, 752-8) and with her son (</w:t>
      </w:r>
      <w:r>
        <w:rPr>
          <w:rFonts w:ascii="Times New Roman" w:hAnsi="Times New Roman"/>
          <w:i/>
          <w:color w:val="000000"/>
        </w:rPr>
        <w:t xml:space="preserve">Aes. Per. </w:t>
      </w:r>
      <w:r>
        <w:rPr>
          <w:rFonts w:ascii="Times New Roman" w:hAnsi="Times New Roman"/>
          <w:color w:val="000000"/>
        </w:rPr>
        <w:t xml:space="preserve">169, 211-12, 350-2, </w:t>
      </w:r>
      <w:r w:rsidR="002D3F5B">
        <w:rPr>
          <w:rFonts w:ascii="Times New Roman" w:hAnsi="Times New Roman"/>
          <w:color w:val="000000"/>
        </w:rPr>
        <w:t>528-30 etc.). To Dominick (2007:</w:t>
      </w:r>
      <w:r>
        <w:rPr>
          <w:rFonts w:ascii="Times New Roman" w:hAnsi="Times New Roman"/>
          <w:color w:val="000000"/>
        </w:rPr>
        <w:t xml:space="preserve"> 437) the way Aeschylus </w:t>
      </w:r>
      <w:r>
        <w:rPr>
          <w:rFonts w:ascii="Times New Roman" w:hAnsi="Times New Roman"/>
          <w:color w:val="000000"/>
        </w:rPr>
        <w:lastRenderedPageBreak/>
        <w:t xml:space="preserve">portrays Atossa here, that such a woman could wield so much power, feminises Persian culture, and is a ‘reflection of </w:t>
      </w:r>
      <w:r>
        <w:rPr>
          <w:rFonts w:ascii="Times New Roman" w:hAnsi="Times New Roman"/>
          <w:color w:val="000000"/>
        </w:rPr>
        <w:t>negative views about women and non-Greeks.’</w:t>
      </w:r>
    </w:p>
    <w:p w:rsidR="00DE108D" w:rsidRDefault="008E65B0">
      <w:pPr>
        <w:spacing w:line="480" w:lineRule="auto"/>
        <w:jc w:val="both"/>
        <w:rPr>
          <w:rFonts w:ascii="Times New Roman" w:hAnsi="Times New Roman"/>
        </w:rPr>
      </w:pPr>
      <w:r>
        <w:rPr>
          <w:rFonts w:ascii="Times New Roman" w:hAnsi="Times New Roman"/>
          <w:color w:val="000000"/>
        </w:rPr>
        <w:t>Therefore, here is a similarity between Aeschylus’ portrayal of Atossa and Herodotus’. Both have a message to impart about Persian/barbarian society: it is ‘soft,’ with men, even kings, being ruled by powerful, b</w:t>
      </w:r>
      <w:r>
        <w:rPr>
          <w:rFonts w:ascii="Times New Roman" w:hAnsi="Times New Roman"/>
          <w:color w:val="000000"/>
        </w:rPr>
        <w:t>ut ignorant women, who are only concerned with wealth and possessions (i.e. handmaids). In which ca</w:t>
      </w:r>
      <w:r>
        <w:rPr>
          <w:rFonts w:ascii="Times New Roman" w:hAnsi="Times New Roman"/>
          <w:color w:val="000000"/>
        </w:rPr>
        <w:t>se</w:t>
      </w:r>
      <w:r>
        <w:rPr>
          <w:rFonts w:ascii="Times New Roman" w:hAnsi="Times New Roman"/>
          <w:color w:val="000000"/>
        </w:rPr>
        <w:t xml:space="preserve">, Herodotus is relying less on Aeschylus’ portrayal of Atossa, and more on an accepted Greek view of women and barbarians. </w:t>
      </w:r>
    </w:p>
    <w:p w:rsidR="00DE108D" w:rsidRDefault="008E65B0">
      <w:pPr>
        <w:spacing w:line="480" w:lineRule="auto"/>
        <w:jc w:val="both"/>
        <w:rPr>
          <w:rFonts w:ascii="Times New Roman" w:hAnsi="Times New Roman"/>
          <w:color w:val="000000"/>
        </w:rPr>
      </w:pPr>
      <w:r>
        <w:rPr>
          <w:rFonts w:ascii="Times New Roman" w:hAnsi="Times New Roman"/>
          <w:color w:val="000000"/>
        </w:rPr>
        <w:t>It is therefore possible to per</w:t>
      </w:r>
      <w:r>
        <w:rPr>
          <w:rFonts w:ascii="Times New Roman" w:hAnsi="Times New Roman"/>
          <w:color w:val="000000"/>
        </w:rPr>
        <w:t xml:space="preserve">ceive that there are occasions where Herodotus’ </w:t>
      </w:r>
      <w:r>
        <w:rPr>
          <w:rFonts w:ascii="Times New Roman" w:hAnsi="Times New Roman"/>
          <w:i/>
          <w:color w:val="000000"/>
        </w:rPr>
        <w:t>Histories</w:t>
      </w:r>
      <w:r>
        <w:rPr>
          <w:rFonts w:ascii="Times New Roman" w:hAnsi="Times New Roman"/>
          <w:color w:val="000000"/>
        </w:rPr>
        <w:t xml:space="preserve"> parallel Attic tragedy, sometimes closely. Some of his episodes have a structure similar to tragedy, while his work is filled with other themes, familiar from that genre, such as dreams, oracles, an</w:t>
      </w:r>
      <w:r>
        <w:rPr>
          <w:rFonts w:ascii="Times New Roman" w:hAnsi="Times New Roman"/>
          <w:color w:val="000000"/>
        </w:rPr>
        <w:t xml:space="preserve">d omens, the ‘tragic warner,’ who is usually ignored, and men who display </w:t>
      </w:r>
      <w:r>
        <w:rPr>
          <w:rFonts w:ascii="Times New Roman" w:hAnsi="Times New Roman"/>
          <w:i/>
          <w:color w:val="000000"/>
        </w:rPr>
        <w:t>hubris</w:t>
      </w:r>
      <w:r>
        <w:rPr>
          <w:rFonts w:ascii="Times New Roman" w:hAnsi="Times New Roman"/>
          <w:color w:val="000000"/>
        </w:rPr>
        <w:t>, undergoing reversal, and realising that their actions are to blame for the situation that they find themselves in. As catalysts for this are often the women of the Histories,</w:t>
      </w:r>
      <w:r>
        <w:rPr>
          <w:rFonts w:ascii="Times New Roman" w:hAnsi="Times New Roman"/>
          <w:color w:val="000000"/>
        </w:rPr>
        <w:t xml:space="preserve"> who take actions that put the men in impossible situations, or situations that lead to their downfall. These women are portrayed in ways that are familiar from tragedy, generally strong-willed, eloquent, occasionally blood thirsty, and sometimes masculine</w:t>
      </w:r>
      <w:r>
        <w:rPr>
          <w:rFonts w:ascii="Times New Roman" w:hAnsi="Times New Roman"/>
          <w:color w:val="000000"/>
        </w:rPr>
        <w:t xml:space="preserve">, but very far away from the accepted way Greek women are supposed to behave. This is because, with the exception of Artemisia, they are not Greek, but barbarian. Portraying them this way is Herodotus’ way of emphasising their difference from Greek women, </w:t>
      </w:r>
      <w:r>
        <w:rPr>
          <w:rFonts w:ascii="Times New Roman" w:hAnsi="Times New Roman"/>
          <w:color w:val="000000"/>
        </w:rPr>
        <w:t>and showing them, and the men they are acting upon, as different and often weak or soft. However, although there are cases where Herodotus has drawn on tragedy directly, as in the Atys episode, it is more likely that the areas described above are homologou</w:t>
      </w:r>
      <w:r>
        <w:rPr>
          <w:rFonts w:ascii="Times New Roman" w:hAnsi="Times New Roman"/>
          <w:color w:val="000000"/>
        </w:rPr>
        <w:t>s, that both Herodotus and tragedy are drawing on the same Greek beliefs ab</w:t>
      </w:r>
      <w:r w:rsidR="002D3F5B">
        <w:rPr>
          <w:rFonts w:ascii="Times New Roman" w:hAnsi="Times New Roman"/>
          <w:color w:val="000000"/>
        </w:rPr>
        <w:t>out how men and women should or</w:t>
      </w:r>
      <w:r>
        <w:rPr>
          <w:rFonts w:ascii="Times New Roman" w:hAnsi="Times New Roman"/>
          <w:color w:val="000000"/>
        </w:rPr>
        <w:t xml:space="preserve"> should not behave in order to emphasise the ‘otherness’ of tragic figures on the one hand, and barbarians on the other.</w:t>
      </w:r>
    </w:p>
    <w:p w:rsidR="002D3F5B" w:rsidRDefault="002D3F5B">
      <w:pPr>
        <w:spacing w:line="480" w:lineRule="auto"/>
        <w:jc w:val="both"/>
        <w:rPr>
          <w:rFonts w:ascii="Times New Roman" w:hAnsi="Times New Roman"/>
          <w:color w:val="000000"/>
        </w:rPr>
      </w:pPr>
      <w:r>
        <w:rPr>
          <w:rFonts w:ascii="Times New Roman" w:hAnsi="Times New Roman"/>
          <w:color w:val="000000"/>
        </w:rPr>
        <w:t>(4722 words)</w:t>
      </w:r>
    </w:p>
    <w:p w:rsidR="002D3F5B" w:rsidRDefault="002D3F5B" w:rsidP="002D3F5B">
      <w:pPr>
        <w:pStyle w:val="NormalWeb"/>
        <w:spacing w:line="360" w:lineRule="auto"/>
        <w:ind w:left="450" w:hanging="450"/>
        <w:jc w:val="both"/>
        <w:rPr>
          <w:u w:val="single"/>
        </w:rPr>
      </w:pPr>
      <w:r>
        <w:rPr>
          <w:u w:val="single"/>
        </w:rPr>
        <w:lastRenderedPageBreak/>
        <w:t>Primary Sources</w:t>
      </w:r>
    </w:p>
    <w:p w:rsidR="002D3F5B" w:rsidRDefault="002D3F5B" w:rsidP="002D3F5B">
      <w:pPr>
        <w:pStyle w:val="NormalWeb"/>
        <w:spacing w:before="280" w:beforeAutospacing="0" w:after="0" w:afterAutospacing="0" w:line="480" w:lineRule="auto"/>
        <w:jc w:val="both"/>
        <w:rPr>
          <w:color w:val="000000"/>
        </w:rPr>
      </w:pPr>
      <w:r>
        <w:rPr>
          <w:color w:val="000000"/>
        </w:rPr>
        <w:t xml:space="preserve">Aeschylus </w:t>
      </w:r>
      <w:r w:rsidRPr="00AC20C1">
        <w:rPr>
          <w:i/>
          <w:color w:val="000000"/>
        </w:rPr>
        <w:t>Agamemnon</w:t>
      </w:r>
      <w:r>
        <w:rPr>
          <w:color w:val="000000"/>
        </w:rPr>
        <w:t xml:space="preserve"> in </w:t>
      </w:r>
      <w:proofErr w:type="spellStart"/>
      <w:r>
        <w:rPr>
          <w:color w:val="000000"/>
        </w:rPr>
        <w:t>Grene</w:t>
      </w:r>
      <w:proofErr w:type="spellEnd"/>
      <w:r>
        <w:rPr>
          <w:color w:val="000000"/>
        </w:rPr>
        <w:t xml:space="preserve">, D., &amp; Lattimore, R. (eds.) 1953 </w:t>
      </w:r>
      <w:r w:rsidRPr="00AC20C1">
        <w:rPr>
          <w:i/>
          <w:color w:val="000000"/>
        </w:rPr>
        <w:t>Aeschylus I</w:t>
      </w:r>
      <w:r>
        <w:rPr>
          <w:i/>
          <w:color w:val="000000"/>
        </w:rPr>
        <w:t>I</w:t>
      </w:r>
      <w:r>
        <w:rPr>
          <w:color w:val="000000"/>
        </w:rPr>
        <w:t>, translated by Lattimore, R.</w:t>
      </w:r>
    </w:p>
    <w:p w:rsidR="002D3F5B" w:rsidRDefault="002D3F5B" w:rsidP="002D3F5B">
      <w:pPr>
        <w:pStyle w:val="NormalWeb"/>
        <w:spacing w:before="280" w:beforeAutospacing="0" w:after="0" w:afterAutospacing="0" w:line="480" w:lineRule="auto"/>
        <w:jc w:val="both"/>
        <w:rPr>
          <w:color w:val="000000"/>
        </w:rPr>
      </w:pPr>
      <w:r>
        <w:rPr>
          <w:color w:val="000000"/>
        </w:rPr>
        <w:t xml:space="preserve">Aeschylus </w:t>
      </w:r>
      <w:r w:rsidRPr="00AC20C1">
        <w:rPr>
          <w:i/>
          <w:color w:val="000000"/>
        </w:rPr>
        <w:t>Libation Bearers</w:t>
      </w:r>
      <w:r>
        <w:rPr>
          <w:color w:val="000000"/>
        </w:rPr>
        <w:t xml:space="preserve"> in </w:t>
      </w:r>
      <w:proofErr w:type="spellStart"/>
      <w:r>
        <w:rPr>
          <w:color w:val="000000"/>
        </w:rPr>
        <w:t>Grene</w:t>
      </w:r>
      <w:proofErr w:type="spellEnd"/>
      <w:r>
        <w:rPr>
          <w:color w:val="000000"/>
        </w:rPr>
        <w:t xml:space="preserve">, D., &amp; Lattimore, R. (eds.) 1953 </w:t>
      </w:r>
      <w:r w:rsidRPr="00AC20C1">
        <w:rPr>
          <w:i/>
          <w:color w:val="000000"/>
        </w:rPr>
        <w:t>Aeschylus II</w:t>
      </w:r>
      <w:r>
        <w:rPr>
          <w:color w:val="000000"/>
        </w:rPr>
        <w:t>, translated by Lattimore, R.</w:t>
      </w:r>
    </w:p>
    <w:p w:rsidR="002D3F5B" w:rsidRDefault="002D3F5B" w:rsidP="002D3F5B">
      <w:pPr>
        <w:pStyle w:val="NormalWeb"/>
        <w:spacing w:before="280" w:beforeAutospacing="0" w:after="0" w:afterAutospacing="0" w:line="480" w:lineRule="auto"/>
        <w:jc w:val="both"/>
        <w:rPr>
          <w:color w:val="000000"/>
        </w:rPr>
      </w:pPr>
      <w:r>
        <w:rPr>
          <w:color w:val="000000"/>
        </w:rPr>
        <w:t xml:space="preserve">Aeschylus </w:t>
      </w:r>
      <w:r w:rsidRPr="00AC20C1">
        <w:rPr>
          <w:i/>
          <w:color w:val="000000"/>
        </w:rPr>
        <w:t>Persians</w:t>
      </w:r>
      <w:r>
        <w:rPr>
          <w:color w:val="000000"/>
        </w:rPr>
        <w:t xml:space="preserve"> in </w:t>
      </w:r>
      <w:proofErr w:type="spellStart"/>
      <w:r>
        <w:rPr>
          <w:color w:val="000000"/>
        </w:rPr>
        <w:t>Grene</w:t>
      </w:r>
      <w:proofErr w:type="spellEnd"/>
      <w:r>
        <w:rPr>
          <w:color w:val="000000"/>
        </w:rPr>
        <w:t xml:space="preserve">, D., Lattimore, &amp; R. (eds.) 1956 </w:t>
      </w:r>
      <w:r w:rsidRPr="00AC20C1">
        <w:rPr>
          <w:i/>
          <w:color w:val="000000"/>
        </w:rPr>
        <w:t>Aeschylus I</w:t>
      </w:r>
      <w:r>
        <w:rPr>
          <w:color w:val="000000"/>
        </w:rPr>
        <w:t xml:space="preserve">, translated by </w:t>
      </w:r>
      <w:proofErr w:type="spellStart"/>
      <w:r>
        <w:rPr>
          <w:color w:val="000000"/>
        </w:rPr>
        <w:t>Bernadete</w:t>
      </w:r>
      <w:proofErr w:type="spellEnd"/>
      <w:r>
        <w:rPr>
          <w:color w:val="000000"/>
        </w:rPr>
        <w:t>, S.G.</w:t>
      </w:r>
    </w:p>
    <w:p w:rsidR="002D3F5B" w:rsidRDefault="002D3F5B" w:rsidP="002D3F5B">
      <w:pPr>
        <w:pStyle w:val="NormalWeb"/>
        <w:spacing w:before="280" w:beforeAutospacing="0" w:after="0" w:afterAutospacing="0" w:line="480" w:lineRule="auto"/>
        <w:jc w:val="both"/>
        <w:rPr>
          <w:color w:val="000000"/>
        </w:rPr>
      </w:pPr>
      <w:r>
        <w:rPr>
          <w:color w:val="000000"/>
        </w:rPr>
        <w:t xml:space="preserve">Euripides </w:t>
      </w:r>
      <w:r w:rsidRPr="00AC20C1">
        <w:rPr>
          <w:i/>
          <w:color w:val="000000"/>
        </w:rPr>
        <w:t>Hippolytus</w:t>
      </w:r>
      <w:r>
        <w:rPr>
          <w:color w:val="000000"/>
        </w:rPr>
        <w:t xml:space="preserve"> in </w:t>
      </w:r>
      <w:proofErr w:type="spellStart"/>
      <w:r>
        <w:rPr>
          <w:color w:val="000000"/>
        </w:rPr>
        <w:t>Grene</w:t>
      </w:r>
      <w:proofErr w:type="spellEnd"/>
      <w:r>
        <w:rPr>
          <w:color w:val="000000"/>
        </w:rPr>
        <w:t xml:space="preserve">, D., Lattimore, R. (eds.) 1942 </w:t>
      </w:r>
      <w:r>
        <w:rPr>
          <w:i/>
          <w:color w:val="000000"/>
        </w:rPr>
        <w:t>Euripides</w:t>
      </w:r>
      <w:r w:rsidRPr="00AC20C1">
        <w:rPr>
          <w:i/>
          <w:color w:val="000000"/>
        </w:rPr>
        <w:t xml:space="preserve"> I</w:t>
      </w:r>
      <w:r>
        <w:rPr>
          <w:color w:val="000000"/>
        </w:rPr>
        <w:t xml:space="preserve">, translated by </w:t>
      </w:r>
      <w:proofErr w:type="spellStart"/>
      <w:r>
        <w:rPr>
          <w:color w:val="000000"/>
        </w:rPr>
        <w:t>Grene</w:t>
      </w:r>
      <w:proofErr w:type="spellEnd"/>
      <w:r>
        <w:rPr>
          <w:color w:val="000000"/>
        </w:rPr>
        <w:t>, D.</w:t>
      </w:r>
    </w:p>
    <w:p w:rsidR="002D3F5B" w:rsidRDefault="002D3F5B" w:rsidP="002D3F5B">
      <w:pPr>
        <w:pStyle w:val="NormalWeb"/>
        <w:spacing w:before="280" w:beforeAutospacing="0" w:after="0" w:afterAutospacing="0" w:line="480" w:lineRule="auto"/>
        <w:jc w:val="both"/>
        <w:rPr>
          <w:color w:val="000000"/>
        </w:rPr>
      </w:pPr>
      <w:r>
        <w:rPr>
          <w:color w:val="000000"/>
        </w:rPr>
        <w:t xml:space="preserve">Euripides </w:t>
      </w:r>
      <w:r>
        <w:rPr>
          <w:i/>
          <w:iCs/>
          <w:color w:val="000000"/>
        </w:rPr>
        <w:t xml:space="preserve">Medea </w:t>
      </w:r>
      <w:r>
        <w:rPr>
          <w:color w:val="000000"/>
        </w:rPr>
        <w:t xml:space="preserve">in </w:t>
      </w:r>
      <w:proofErr w:type="spellStart"/>
      <w:r>
        <w:rPr>
          <w:color w:val="000000"/>
        </w:rPr>
        <w:t>Grene</w:t>
      </w:r>
      <w:proofErr w:type="spellEnd"/>
      <w:r>
        <w:rPr>
          <w:color w:val="000000"/>
        </w:rPr>
        <w:t xml:space="preserve">, D. &amp; Lattimore, R. (eds.) 1955, </w:t>
      </w:r>
      <w:r>
        <w:rPr>
          <w:i/>
          <w:iCs/>
          <w:color w:val="000000"/>
        </w:rPr>
        <w:t>Euripides I,</w:t>
      </w:r>
      <w:r>
        <w:rPr>
          <w:color w:val="000000"/>
        </w:rPr>
        <w:t xml:space="preserve"> translated by Warner, R., University of Chicago Press, Chicago.</w:t>
      </w:r>
    </w:p>
    <w:p w:rsidR="002D3F5B" w:rsidRDefault="002D3F5B" w:rsidP="002D3F5B">
      <w:pPr>
        <w:pStyle w:val="NormalWeb"/>
        <w:spacing w:before="280" w:beforeAutospacing="0" w:after="0" w:afterAutospacing="0" w:line="480" w:lineRule="auto"/>
        <w:jc w:val="both"/>
        <w:rPr>
          <w:lang w:val="en-GB" w:eastAsia="en-GB"/>
        </w:rPr>
      </w:pPr>
      <w:r>
        <w:rPr>
          <w:color w:val="000000"/>
        </w:rPr>
        <w:t xml:space="preserve">Herodotus, </w:t>
      </w:r>
      <w:r w:rsidRPr="0004744E">
        <w:rPr>
          <w:i/>
          <w:color w:val="000000"/>
        </w:rPr>
        <w:t>Histories</w:t>
      </w:r>
      <w:r>
        <w:rPr>
          <w:color w:val="000000"/>
        </w:rPr>
        <w:t xml:space="preserve"> translated by Holland, Tom, 2014, Penguin, London.</w:t>
      </w:r>
    </w:p>
    <w:p w:rsidR="002D3F5B" w:rsidRDefault="002D3F5B" w:rsidP="002D3F5B">
      <w:pPr>
        <w:pStyle w:val="NormalWeb"/>
        <w:spacing w:before="280" w:beforeAutospacing="0" w:after="0" w:afterAutospacing="0" w:line="480" w:lineRule="auto"/>
        <w:jc w:val="both"/>
        <w:rPr>
          <w:color w:val="000000"/>
        </w:rPr>
      </w:pPr>
      <w:r>
        <w:t xml:space="preserve">Sophocles </w:t>
      </w:r>
      <w:r w:rsidRPr="0004744E">
        <w:rPr>
          <w:i/>
        </w:rPr>
        <w:t>Antigone</w:t>
      </w:r>
      <w:r>
        <w:t xml:space="preserve"> </w:t>
      </w:r>
      <w:r>
        <w:rPr>
          <w:color w:val="000000"/>
        </w:rPr>
        <w:t xml:space="preserve">in </w:t>
      </w:r>
      <w:proofErr w:type="spellStart"/>
      <w:r>
        <w:rPr>
          <w:color w:val="000000"/>
        </w:rPr>
        <w:t>Grene</w:t>
      </w:r>
      <w:proofErr w:type="spellEnd"/>
      <w:r>
        <w:rPr>
          <w:color w:val="000000"/>
        </w:rPr>
        <w:t xml:space="preserve">, D., &amp; Lattimore, R. (eds.) 1954 </w:t>
      </w:r>
      <w:r>
        <w:rPr>
          <w:i/>
          <w:color w:val="000000"/>
        </w:rPr>
        <w:t>Sophocles</w:t>
      </w:r>
      <w:r w:rsidRPr="00AC20C1">
        <w:rPr>
          <w:i/>
          <w:color w:val="000000"/>
        </w:rPr>
        <w:t xml:space="preserve"> I</w:t>
      </w:r>
      <w:r>
        <w:rPr>
          <w:color w:val="000000"/>
        </w:rPr>
        <w:t xml:space="preserve">, translated by </w:t>
      </w:r>
      <w:proofErr w:type="spellStart"/>
      <w:r>
        <w:rPr>
          <w:color w:val="000000"/>
        </w:rPr>
        <w:t>Grene</w:t>
      </w:r>
      <w:proofErr w:type="spellEnd"/>
      <w:r>
        <w:rPr>
          <w:color w:val="000000"/>
        </w:rPr>
        <w:t>, D.</w:t>
      </w:r>
    </w:p>
    <w:p w:rsidR="002D3F5B" w:rsidRPr="0004744E" w:rsidRDefault="002D3F5B" w:rsidP="002D3F5B">
      <w:pPr>
        <w:pStyle w:val="NormalWeb"/>
        <w:spacing w:before="280" w:beforeAutospacing="0" w:after="0" w:afterAutospacing="0" w:line="480" w:lineRule="auto"/>
        <w:jc w:val="both"/>
        <w:rPr>
          <w:color w:val="000000"/>
        </w:rPr>
      </w:pPr>
      <w:r>
        <w:t xml:space="preserve">Sophocles </w:t>
      </w:r>
      <w:r>
        <w:rPr>
          <w:i/>
        </w:rPr>
        <w:t>Oedipus the King</w:t>
      </w:r>
      <w:r>
        <w:t xml:space="preserve"> </w:t>
      </w:r>
      <w:r>
        <w:rPr>
          <w:color w:val="000000"/>
        </w:rPr>
        <w:t xml:space="preserve">in </w:t>
      </w:r>
      <w:proofErr w:type="spellStart"/>
      <w:r>
        <w:rPr>
          <w:color w:val="000000"/>
        </w:rPr>
        <w:t>Grene</w:t>
      </w:r>
      <w:proofErr w:type="spellEnd"/>
      <w:r>
        <w:rPr>
          <w:color w:val="000000"/>
        </w:rPr>
        <w:t xml:space="preserve">, D., &amp; Lattimore, R. (eds.) 1942 </w:t>
      </w:r>
      <w:r>
        <w:rPr>
          <w:i/>
          <w:color w:val="000000"/>
        </w:rPr>
        <w:t>Sophocles</w:t>
      </w:r>
      <w:r w:rsidRPr="00AC20C1">
        <w:rPr>
          <w:i/>
          <w:color w:val="000000"/>
        </w:rPr>
        <w:t xml:space="preserve"> I</w:t>
      </w:r>
      <w:r>
        <w:rPr>
          <w:color w:val="000000"/>
        </w:rPr>
        <w:t xml:space="preserve">, translated by </w:t>
      </w:r>
      <w:proofErr w:type="spellStart"/>
      <w:r>
        <w:rPr>
          <w:color w:val="000000"/>
        </w:rPr>
        <w:t>Grene</w:t>
      </w:r>
      <w:proofErr w:type="spellEnd"/>
      <w:r>
        <w:rPr>
          <w:color w:val="000000"/>
        </w:rPr>
        <w:t>, D.</w:t>
      </w:r>
    </w:p>
    <w:p w:rsidR="002D3F5B" w:rsidRPr="00723ED7" w:rsidRDefault="002D3F5B" w:rsidP="002D3F5B">
      <w:pPr>
        <w:pStyle w:val="NormalWeb"/>
        <w:spacing w:line="360" w:lineRule="auto"/>
        <w:ind w:left="450" w:hanging="450"/>
        <w:jc w:val="both"/>
        <w:rPr>
          <w:u w:val="single"/>
        </w:rPr>
      </w:pPr>
      <w:r>
        <w:rPr>
          <w:u w:val="single"/>
        </w:rPr>
        <w:t>Bibliography</w:t>
      </w:r>
    </w:p>
    <w:p w:rsidR="002D3F5B" w:rsidRPr="00723ED7" w:rsidRDefault="002D3F5B" w:rsidP="002D3F5B">
      <w:pPr>
        <w:pStyle w:val="NormalWeb"/>
        <w:spacing w:line="360" w:lineRule="auto"/>
        <w:ind w:left="450" w:hanging="450"/>
        <w:jc w:val="both"/>
      </w:pPr>
      <w:proofErr w:type="spellStart"/>
      <w:r w:rsidRPr="00723ED7">
        <w:t>Chiasson</w:t>
      </w:r>
      <w:proofErr w:type="spellEnd"/>
      <w:r w:rsidRPr="00723ED7">
        <w:t xml:space="preserve">, C.C. 2003, "Herodotus' Use of Attic Tragedy in the Lydian Logos", </w:t>
      </w:r>
      <w:r w:rsidRPr="00723ED7">
        <w:rPr>
          <w:i/>
          <w:iCs/>
        </w:rPr>
        <w:t xml:space="preserve">Classical Antiquity, </w:t>
      </w:r>
      <w:r w:rsidRPr="00723ED7">
        <w:t xml:space="preserve">vol. 22, no. 1, pp. 5-35. </w:t>
      </w:r>
    </w:p>
    <w:p w:rsidR="002D3F5B" w:rsidRPr="00723ED7" w:rsidRDefault="002D3F5B" w:rsidP="002D3F5B">
      <w:pPr>
        <w:pStyle w:val="NormalWeb"/>
        <w:spacing w:line="360" w:lineRule="auto"/>
        <w:ind w:left="450" w:hanging="450"/>
        <w:jc w:val="both"/>
      </w:pPr>
      <w:r w:rsidRPr="00723ED7">
        <w:t xml:space="preserve">Croix, G.E.M.D.S. 1977, "Herodotus", </w:t>
      </w:r>
      <w:r w:rsidRPr="00723ED7">
        <w:rPr>
          <w:i/>
          <w:iCs/>
        </w:rPr>
        <w:t xml:space="preserve">Greece &amp; Rome, </w:t>
      </w:r>
      <w:r w:rsidRPr="00723ED7">
        <w:t xml:space="preserve">vol. 24, no. 2, pp. 130-148. </w:t>
      </w:r>
    </w:p>
    <w:p w:rsidR="002D3F5B" w:rsidRPr="00723ED7" w:rsidRDefault="002D3F5B" w:rsidP="002D3F5B">
      <w:pPr>
        <w:pStyle w:val="NormalWeb"/>
        <w:spacing w:line="360" w:lineRule="auto"/>
        <w:ind w:left="450" w:hanging="450"/>
        <w:jc w:val="both"/>
      </w:pPr>
      <w:r w:rsidRPr="00723ED7">
        <w:lastRenderedPageBreak/>
        <w:t xml:space="preserve">Dominick, Y.H. 2007, "Acting Other: </w:t>
      </w:r>
      <w:proofErr w:type="spellStart"/>
      <w:r w:rsidRPr="00723ED7">
        <w:t>Atossa</w:t>
      </w:r>
      <w:proofErr w:type="spellEnd"/>
      <w:r w:rsidRPr="00723ED7">
        <w:t xml:space="preserve"> and Instability in Herodotus", </w:t>
      </w:r>
      <w:proofErr w:type="gramStart"/>
      <w:r>
        <w:rPr>
          <w:i/>
          <w:iCs/>
        </w:rPr>
        <w:t>The</w:t>
      </w:r>
      <w:proofErr w:type="gramEnd"/>
      <w:r>
        <w:rPr>
          <w:i/>
          <w:iCs/>
        </w:rPr>
        <w:t xml:space="preserve"> Classical </w:t>
      </w:r>
      <w:r w:rsidRPr="00723ED7">
        <w:rPr>
          <w:i/>
          <w:iCs/>
        </w:rPr>
        <w:t xml:space="preserve">Quarterly, </w:t>
      </w:r>
      <w:r w:rsidRPr="00723ED7">
        <w:t xml:space="preserve">vol. 57, no. 2, pp. 432-444. </w:t>
      </w:r>
    </w:p>
    <w:p w:rsidR="002D3F5B" w:rsidRPr="00723ED7" w:rsidRDefault="002D3F5B" w:rsidP="002D3F5B">
      <w:pPr>
        <w:pStyle w:val="NormalWeb"/>
        <w:spacing w:line="360" w:lineRule="auto"/>
        <w:ind w:left="450" w:hanging="450"/>
        <w:jc w:val="both"/>
      </w:pPr>
      <w:proofErr w:type="spellStart"/>
      <w:r w:rsidRPr="00723ED7">
        <w:t>Fornara</w:t>
      </w:r>
      <w:proofErr w:type="spellEnd"/>
      <w:r w:rsidRPr="00723ED7">
        <w:t xml:space="preserve">, C.W. 1971, "Evidence for the Date of Herodotus' Publication", </w:t>
      </w:r>
      <w:proofErr w:type="gramStart"/>
      <w:r w:rsidRPr="00723ED7">
        <w:rPr>
          <w:i/>
          <w:iCs/>
        </w:rPr>
        <w:t>The</w:t>
      </w:r>
      <w:proofErr w:type="gramEnd"/>
      <w:r w:rsidRPr="00723ED7">
        <w:rPr>
          <w:i/>
          <w:iCs/>
        </w:rPr>
        <w:t xml:space="preserve"> Journal of Hellenic Studies, </w:t>
      </w:r>
      <w:r w:rsidRPr="00723ED7">
        <w:t xml:space="preserve">vol. 91, pp. 25-34. </w:t>
      </w:r>
    </w:p>
    <w:p w:rsidR="002D3F5B" w:rsidRPr="00723ED7" w:rsidRDefault="002D3F5B" w:rsidP="002D3F5B">
      <w:pPr>
        <w:pStyle w:val="NormalWeb"/>
        <w:spacing w:line="360" w:lineRule="auto"/>
        <w:ind w:left="450" w:hanging="450"/>
        <w:jc w:val="both"/>
      </w:pPr>
      <w:r w:rsidRPr="00723ED7">
        <w:t xml:space="preserve">Griffin, J. 2006, "Herodotus and Tragedy" in </w:t>
      </w:r>
      <w:r w:rsidRPr="00723ED7">
        <w:rPr>
          <w:i/>
          <w:iCs/>
        </w:rPr>
        <w:t>The Cambridge Companion to Herodotus</w:t>
      </w:r>
      <w:r w:rsidRPr="00723ED7">
        <w:t xml:space="preserve">, ed. </w:t>
      </w:r>
      <w:proofErr w:type="spellStart"/>
      <w:r w:rsidRPr="00723ED7">
        <w:t>Dewald</w:t>
      </w:r>
      <w:proofErr w:type="spellEnd"/>
      <w:r w:rsidRPr="00723ED7">
        <w:t xml:space="preserve">, Carolyn &amp; </w:t>
      </w:r>
      <w:proofErr w:type="spellStart"/>
      <w:r w:rsidRPr="00723ED7">
        <w:t>Marincola</w:t>
      </w:r>
      <w:proofErr w:type="spellEnd"/>
      <w:r w:rsidRPr="00723ED7">
        <w:t xml:space="preserve">, John, Cambridge University Press, Cambridge, pp. 46-59. </w:t>
      </w:r>
    </w:p>
    <w:p w:rsidR="002D3F5B" w:rsidRPr="00723ED7" w:rsidRDefault="002D3F5B" w:rsidP="002D3F5B">
      <w:pPr>
        <w:pStyle w:val="NormalWeb"/>
        <w:spacing w:line="360" w:lineRule="auto"/>
        <w:ind w:left="450" w:hanging="450"/>
        <w:jc w:val="both"/>
      </w:pPr>
      <w:r w:rsidRPr="00723ED7">
        <w:t>Larson, S. 2006, "</w:t>
      </w:r>
      <w:proofErr w:type="spellStart"/>
      <w:r w:rsidRPr="00723ED7">
        <w:t>Kandaules</w:t>
      </w:r>
      <w:proofErr w:type="spellEnd"/>
      <w:r w:rsidRPr="00723ED7">
        <w:t xml:space="preserve">' Wife, </w:t>
      </w:r>
      <w:proofErr w:type="spellStart"/>
      <w:r w:rsidRPr="00723ED7">
        <w:t>Masistes</w:t>
      </w:r>
      <w:proofErr w:type="spellEnd"/>
      <w:r w:rsidRPr="00723ED7">
        <w:t>' Wife: Herodotus' Narrative Strategy in Suppressing Names of Women: (</w:t>
      </w:r>
      <w:proofErr w:type="spellStart"/>
      <w:r w:rsidRPr="00723ED7">
        <w:t>Hdt</w:t>
      </w:r>
      <w:proofErr w:type="spellEnd"/>
      <w:r w:rsidRPr="00723ED7">
        <w:t xml:space="preserve">. 1.8-12 and 9.108-13)", </w:t>
      </w:r>
      <w:r w:rsidRPr="00723ED7">
        <w:rPr>
          <w:i/>
          <w:iCs/>
        </w:rPr>
        <w:t xml:space="preserve">The Classical Journal, </w:t>
      </w:r>
      <w:r w:rsidRPr="00723ED7">
        <w:t xml:space="preserve">vol. 101, no. 3, pp. 225-244. </w:t>
      </w:r>
    </w:p>
    <w:p w:rsidR="002D3F5B" w:rsidRPr="00723ED7" w:rsidRDefault="002D3F5B" w:rsidP="002D3F5B">
      <w:pPr>
        <w:pStyle w:val="NormalWeb"/>
        <w:spacing w:line="360" w:lineRule="auto"/>
        <w:ind w:left="450" w:hanging="450"/>
        <w:jc w:val="both"/>
      </w:pPr>
      <w:r w:rsidRPr="00723ED7">
        <w:t xml:space="preserve">Martyn, J. 1998, "Artemisia and Xerxes: A New Look at Herodotus' Account of Salamis", </w:t>
      </w:r>
      <w:r w:rsidRPr="00723ED7">
        <w:rPr>
          <w:i/>
          <w:iCs/>
        </w:rPr>
        <w:t xml:space="preserve">Ancient History Resources for Teachers, </w:t>
      </w:r>
      <w:r w:rsidRPr="00723ED7">
        <w:t xml:space="preserve">vol. 28, no. 1, pp. 15. </w:t>
      </w:r>
    </w:p>
    <w:p w:rsidR="002D3F5B" w:rsidRPr="00723ED7" w:rsidRDefault="002D3F5B" w:rsidP="002D3F5B">
      <w:pPr>
        <w:pStyle w:val="NormalWeb"/>
        <w:spacing w:line="360" w:lineRule="auto"/>
        <w:ind w:left="450" w:hanging="450"/>
        <w:jc w:val="both"/>
      </w:pPr>
      <w:proofErr w:type="spellStart"/>
      <w:r w:rsidRPr="00723ED7">
        <w:t>Saïd</w:t>
      </w:r>
      <w:proofErr w:type="spellEnd"/>
      <w:r w:rsidRPr="00723ED7">
        <w:t xml:space="preserve">, S. 2002, "Herodotus and Tragedy" in </w:t>
      </w:r>
      <w:r w:rsidRPr="00723ED7">
        <w:rPr>
          <w:i/>
          <w:iCs/>
        </w:rPr>
        <w:t>Brill's Companion to Herodotus</w:t>
      </w:r>
      <w:r>
        <w:t xml:space="preserve">, eds. E.J. Bakker, </w:t>
      </w:r>
      <w:r w:rsidRPr="00723ED7">
        <w:t>I.J.F. de Jong &amp; H.</w:t>
      </w:r>
      <w:r>
        <w:t xml:space="preserve"> van Wees, Brill Online Books, </w:t>
      </w:r>
      <w:r w:rsidRPr="00723ED7">
        <w:t xml:space="preserve"> pp. 117-147. </w:t>
      </w:r>
    </w:p>
    <w:p w:rsidR="002D3F5B" w:rsidRDefault="002D3F5B">
      <w:pPr>
        <w:spacing w:line="480" w:lineRule="auto"/>
        <w:jc w:val="both"/>
        <w:rPr>
          <w:rFonts w:ascii="Times New Roman" w:hAnsi="Times New Roman"/>
        </w:rPr>
      </w:pPr>
      <w:bookmarkStart w:id="0" w:name="_GoBack"/>
      <w:bookmarkEnd w:id="0"/>
    </w:p>
    <w:sectPr w:rsidR="002D3F5B">
      <w:headerReference w:type="default" r:id="rId6"/>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65B0" w:rsidRDefault="008E65B0" w:rsidP="00787A0C">
      <w:r>
        <w:separator/>
      </w:r>
    </w:p>
  </w:endnote>
  <w:endnote w:type="continuationSeparator" w:id="0">
    <w:p w:rsidR="008E65B0" w:rsidRDefault="008E65B0" w:rsidP="00787A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773904281"/>
      <w:docPartObj>
        <w:docPartGallery w:val="Page Numbers (Bottom of Page)"/>
        <w:docPartUnique/>
      </w:docPartObj>
    </w:sdtPr>
    <w:sdtEndPr>
      <w:rPr>
        <w:rStyle w:val="PageNumber"/>
      </w:rPr>
    </w:sdtEndPr>
    <w:sdtContent>
      <w:p w:rsidR="00787A0C" w:rsidRDefault="00787A0C" w:rsidP="00F912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87A0C" w:rsidRDefault="00787A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939483613"/>
      <w:docPartObj>
        <w:docPartGallery w:val="Page Numbers (Bottom of Page)"/>
        <w:docPartUnique/>
      </w:docPartObj>
    </w:sdtPr>
    <w:sdtEndPr>
      <w:rPr>
        <w:rStyle w:val="PageNumber"/>
      </w:rPr>
    </w:sdtEndPr>
    <w:sdtContent>
      <w:p w:rsidR="00787A0C" w:rsidRDefault="00787A0C" w:rsidP="00F912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2D3F5B">
          <w:rPr>
            <w:rStyle w:val="PageNumber"/>
            <w:noProof/>
          </w:rPr>
          <w:t>14</w:t>
        </w:r>
        <w:r>
          <w:rPr>
            <w:rStyle w:val="PageNumber"/>
          </w:rPr>
          <w:fldChar w:fldCharType="end"/>
        </w:r>
      </w:p>
    </w:sdtContent>
  </w:sdt>
  <w:p w:rsidR="00787A0C" w:rsidRDefault="00787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65B0" w:rsidRDefault="008E65B0" w:rsidP="00787A0C">
      <w:r>
        <w:separator/>
      </w:r>
    </w:p>
  </w:footnote>
  <w:footnote w:type="continuationSeparator" w:id="0">
    <w:p w:rsidR="008E65B0" w:rsidRDefault="008E65B0" w:rsidP="00787A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3F5B" w:rsidRDefault="002D3F5B">
    <w:pPr>
      <w:pStyle w:val="Header"/>
    </w:pPr>
    <w:r>
      <w:t>Jennifer Zoë Jackson</w:t>
    </w:r>
    <w:r>
      <w:ptab w:relativeTo="margin" w:alignment="center" w:leader="none"/>
    </w:r>
    <w:r>
      <w:t>1601704</w:t>
    </w:r>
    <w:r>
      <w:ptab w:relativeTo="margin" w:alignment="right" w:leader="none"/>
    </w:r>
    <w:r>
      <w:t>CLAH7018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2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2EB3"/>
    <w:rsid w:val="000254B6"/>
    <w:rsid w:val="00142EB3"/>
    <w:rsid w:val="00197220"/>
    <w:rsid w:val="002A3DD1"/>
    <w:rsid w:val="002D3F5B"/>
    <w:rsid w:val="00431009"/>
    <w:rsid w:val="005861EF"/>
    <w:rsid w:val="006D09C5"/>
    <w:rsid w:val="00787A0C"/>
    <w:rsid w:val="0080562F"/>
    <w:rsid w:val="008601AD"/>
    <w:rsid w:val="008E65B0"/>
    <w:rsid w:val="008F7799"/>
    <w:rsid w:val="009338EE"/>
    <w:rsid w:val="00AF6392"/>
    <w:rsid w:val="00B712BB"/>
    <w:rsid w:val="00BD5D41"/>
    <w:rsid w:val="00CB40CE"/>
    <w:rsid w:val="00CC035E"/>
    <w:rsid w:val="00D32FFD"/>
    <w:rsid w:val="00DA7B1B"/>
    <w:rsid w:val="00DE108D"/>
    <w:rsid w:val="00E846C4"/>
    <w:rsid w:val="00F50471"/>
    <w:rsid w:val="00F6160A"/>
    <w:rsid w:val="00FA2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1C4E3"/>
  <w15:docId w15:val="{049BA863-6F0B-4FAA-A8E3-D20B43EE7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87A0C"/>
    <w:pPr>
      <w:tabs>
        <w:tab w:val="center" w:pos="4680"/>
        <w:tab w:val="right" w:pos="9360"/>
      </w:tabs>
    </w:pPr>
  </w:style>
  <w:style w:type="character" w:customStyle="1" w:styleId="FooterChar">
    <w:name w:val="Footer Char"/>
    <w:basedOn w:val="DefaultParagraphFont"/>
    <w:link w:val="Footer"/>
    <w:uiPriority w:val="99"/>
    <w:rsid w:val="00787A0C"/>
  </w:style>
  <w:style w:type="character" w:styleId="PageNumber">
    <w:name w:val="page number"/>
    <w:basedOn w:val="DefaultParagraphFont"/>
    <w:uiPriority w:val="99"/>
    <w:semiHidden/>
    <w:unhideWhenUsed/>
    <w:rsid w:val="00787A0C"/>
  </w:style>
  <w:style w:type="paragraph" w:styleId="Header">
    <w:name w:val="header"/>
    <w:basedOn w:val="Normal"/>
    <w:link w:val="HeaderChar"/>
    <w:uiPriority w:val="99"/>
    <w:unhideWhenUsed/>
    <w:rsid w:val="002D3F5B"/>
    <w:pPr>
      <w:tabs>
        <w:tab w:val="center" w:pos="4513"/>
        <w:tab w:val="right" w:pos="9026"/>
      </w:tabs>
    </w:pPr>
  </w:style>
  <w:style w:type="character" w:customStyle="1" w:styleId="HeaderChar">
    <w:name w:val="Header Char"/>
    <w:basedOn w:val="DefaultParagraphFont"/>
    <w:link w:val="Header"/>
    <w:uiPriority w:val="99"/>
    <w:rsid w:val="002D3F5B"/>
  </w:style>
  <w:style w:type="paragraph" w:styleId="NormalWeb">
    <w:name w:val="Normal (Web)"/>
    <w:basedOn w:val="Normal"/>
    <w:uiPriority w:val="99"/>
    <w:semiHidden/>
    <w:unhideWhenUsed/>
    <w:rsid w:val="002D3F5B"/>
    <w:pPr>
      <w:spacing w:before="100" w:beforeAutospacing="1" w:after="100" w:afterAutospacing="1"/>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7485"/>
    <w:rsid w:val="00087485"/>
    <w:rsid w:val="00F00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4A255B3A66492CA8F881000393256A">
    <w:name w:val="994A255B3A66492CA8F881000393256A"/>
    <w:rsid w:val="000874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15</Pages>
  <Words>4489</Words>
  <Characters>25593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Jackson</dc:creator>
  <cp:keywords/>
  <dc:description/>
  <cp:lastModifiedBy>Zoe Jackson</cp:lastModifiedBy>
  <cp:revision>8</cp:revision>
  <dcterms:created xsi:type="dcterms:W3CDTF">2019-04-29T16:29:00Z</dcterms:created>
  <dcterms:modified xsi:type="dcterms:W3CDTF">2019-05-23T11:37:00Z</dcterms:modified>
</cp:coreProperties>
</file>